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82AAD">
      <w:pPr>
        <w:spacing w:line="360" w:lineRule="auto"/>
        <w:jc w:val="center"/>
        <w:rPr>
          <w:rFonts w:hint="eastAsia" w:ascii="宋体" w:hAnsi="宋体" w:cs="宋体"/>
          <w:b/>
          <w:sz w:val="44"/>
          <w:szCs w:val="48"/>
          <w:highlight w:val="none"/>
        </w:rPr>
      </w:pPr>
    </w:p>
    <w:p w14:paraId="330935A0">
      <w:pPr>
        <w:spacing w:line="360" w:lineRule="auto"/>
        <w:jc w:val="center"/>
        <w:rPr>
          <w:rFonts w:hint="eastAsia" w:ascii="宋体" w:hAnsi="宋体" w:cs="宋体"/>
          <w:b/>
          <w:sz w:val="44"/>
          <w:szCs w:val="48"/>
          <w:highlight w:val="none"/>
        </w:rPr>
      </w:pPr>
    </w:p>
    <w:p w14:paraId="7C7689E8">
      <w:pPr>
        <w:spacing w:line="360" w:lineRule="auto"/>
        <w:jc w:val="center"/>
        <w:rPr>
          <w:rFonts w:hint="eastAsia" w:ascii="宋体" w:hAnsi="宋体"/>
          <w:b/>
          <w:sz w:val="44"/>
          <w:szCs w:val="48"/>
          <w:highlight w:val="none"/>
        </w:rPr>
      </w:pPr>
      <w:r>
        <w:rPr>
          <w:rFonts w:hint="eastAsia" w:ascii="宋体" w:hAnsi="宋体"/>
          <w:b/>
          <w:sz w:val="44"/>
          <w:szCs w:val="48"/>
          <w:highlight w:val="none"/>
        </w:rPr>
        <w:t>花果山产业小镇综合配套工程建设项目</w:t>
      </w:r>
    </w:p>
    <w:p w14:paraId="0AC62E93">
      <w:pPr>
        <w:spacing w:line="360" w:lineRule="auto"/>
        <w:jc w:val="center"/>
        <w:rPr>
          <w:rFonts w:hint="eastAsia" w:ascii="宋体" w:hAnsi="宋体" w:cs="宋体"/>
          <w:sz w:val="32"/>
          <w:highlight w:val="none"/>
        </w:rPr>
      </w:pPr>
      <w:r>
        <w:rPr>
          <w:rFonts w:hint="eastAsia" w:ascii="宋体" w:hAnsi="宋体" w:cs="宋体"/>
          <w:b/>
          <w:sz w:val="44"/>
          <w:szCs w:val="48"/>
          <w:highlight w:val="none"/>
        </w:rPr>
        <w:t>土壤污染修复技术服务</w:t>
      </w:r>
    </w:p>
    <w:p w14:paraId="0F8B35D5">
      <w:pPr>
        <w:spacing w:line="360" w:lineRule="auto"/>
        <w:rPr>
          <w:rFonts w:hint="eastAsia" w:ascii="宋体" w:hAnsi="宋体" w:cs="宋体"/>
          <w:b/>
          <w:bCs/>
          <w:spacing w:val="40"/>
          <w:sz w:val="44"/>
          <w:szCs w:val="44"/>
          <w:highlight w:val="none"/>
        </w:rPr>
      </w:pPr>
    </w:p>
    <w:p w14:paraId="7F60492A">
      <w:pPr>
        <w:spacing w:line="360" w:lineRule="auto"/>
        <w:jc w:val="left"/>
        <w:rPr>
          <w:rFonts w:hint="eastAsia" w:ascii="宋体" w:hAnsi="宋体" w:cs="宋体"/>
          <w:sz w:val="36"/>
          <w:highlight w:val="none"/>
          <w:u w:val="single"/>
        </w:rPr>
      </w:pPr>
    </w:p>
    <w:p w14:paraId="2D347BFD">
      <w:pPr>
        <w:pStyle w:val="18"/>
        <w:ind w:left="0" w:leftChars="0" w:firstLine="0" w:firstLineChars="0"/>
        <w:rPr>
          <w:rFonts w:hint="eastAsia" w:ascii="宋体" w:hAnsi="宋体" w:eastAsia="宋体" w:cs="宋体"/>
          <w:color w:val="auto"/>
          <w:highlight w:val="none"/>
        </w:rPr>
      </w:pPr>
    </w:p>
    <w:p w14:paraId="0EB27F32">
      <w:pPr>
        <w:pStyle w:val="18"/>
        <w:ind w:left="0" w:leftChars="0" w:firstLine="0" w:firstLineChars="0"/>
        <w:rPr>
          <w:rFonts w:hint="eastAsia" w:ascii="宋体" w:hAnsi="宋体" w:eastAsia="宋体" w:cs="宋体"/>
          <w:color w:val="auto"/>
          <w:highlight w:val="none"/>
        </w:rPr>
      </w:pPr>
    </w:p>
    <w:p w14:paraId="0FCF50B0">
      <w:pPr>
        <w:pStyle w:val="18"/>
        <w:ind w:left="0" w:leftChars="0" w:firstLine="0" w:firstLineChars="0"/>
        <w:rPr>
          <w:rFonts w:hint="eastAsia" w:ascii="宋体" w:hAnsi="宋体" w:eastAsia="宋体" w:cs="宋体"/>
          <w:color w:val="auto"/>
          <w:highlight w:val="none"/>
        </w:rPr>
      </w:pPr>
    </w:p>
    <w:p w14:paraId="3967B77F">
      <w:pPr>
        <w:spacing w:line="360" w:lineRule="auto"/>
        <w:jc w:val="left"/>
        <w:rPr>
          <w:rFonts w:hint="eastAsia" w:ascii="宋体" w:hAnsi="宋体" w:cs="宋体"/>
          <w:sz w:val="36"/>
          <w:highlight w:val="none"/>
          <w:u w:val="single"/>
        </w:rPr>
      </w:pPr>
    </w:p>
    <w:p w14:paraId="5BC94588">
      <w:pPr>
        <w:spacing w:line="360" w:lineRule="auto"/>
        <w:jc w:val="center"/>
        <w:rPr>
          <w:rFonts w:hint="eastAsia" w:ascii="宋体" w:hAnsi="宋体" w:cs="宋体"/>
          <w:b/>
          <w:bCs/>
          <w:spacing w:val="26"/>
          <w:sz w:val="110"/>
          <w:szCs w:val="110"/>
          <w:highlight w:val="none"/>
        </w:rPr>
      </w:pPr>
      <w:r>
        <w:rPr>
          <w:rFonts w:hint="eastAsia" w:ascii="宋体" w:hAnsi="宋体" w:cs="宋体"/>
          <w:b/>
          <w:bCs/>
          <w:spacing w:val="26"/>
          <w:sz w:val="96"/>
          <w:szCs w:val="110"/>
          <w:highlight w:val="none"/>
        </w:rPr>
        <w:t>招标文件</w:t>
      </w:r>
    </w:p>
    <w:p w14:paraId="17ED5A34">
      <w:pPr>
        <w:spacing w:line="360" w:lineRule="auto"/>
        <w:rPr>
          <w:rFonts w:hint="eastAsia" w:ascii="宋体" w:hAnsi="宋体" w:cs="宋体"/>
          <w:sz w:val="32"/>
          <w:highlight w:val="none"/>
        </w:rPr>
      </w:pPr>
    </w:p>
    <w:p w14:paraId="4722B2A6">
      <w:pPr>
        <w:spacing w:line="360" w:lineRule="auto"/>
        <w:rPr>
          <w:rFonts w:hint="eastAsia" w:ascii="宋体" w:hAnsi="宋体" w:cs="宋体"/>
          <w:sz w:val="52"/>
          <w:highlight w:val="none"/>
        </w:rPr>
      </w:pPr>
    </w:p>
    <w:p w14:paraId="6A341E09">
      <w:pPr>
        <w:spacing w:line="360" w:lineRule="auto"/>
        <w:rPr>
          <w:rFonts w:hint="eastAsia" w:ascii="宋体" w:hAnsi="宋体" w:cs="宋体"/>
          <w:sz w:val="52"/>
          <w:highlight w:val="none"/>
        </w:rPr>
      </w:pPr>
    </w:p>
    <w:p w14:paraId="218C023D">
      <w:pPr>
        <w:pStyle w:val="18"/>
        <w:ind w:left="0" w:leftChars="0" w:firstLine="0" w:firstLineChars="0"/>
        <w:rPr>
          <w:rFonts w:hint="eastAsia" w:ascii="宋体" w:hAnsi="宋体" w:eastAsia="宋体" w:cs="宋体"/>
          <w:color w:val="auto"/>
          <w:highlight w:val="none"/>
        </w:rPr>
      </w:pPr>
    </w:p>
    <w:p w14:paraId="6B1D0A5C">
      <w:pPr>
        <w:pStyle w:val="18"/>
        <w:ind w:left="0" w:leftChars="0" w:firstLine="0" w:firstLineChars="0"/>
        <w:rPr>
          <w:rFonts w:hint="eastAsia" w:ascii="宋体" w:hAnsi="宋体" w:eastAsia="宋体" w:cs="宋体"/>
          <w:color w:val="auto"/>
          <w:highlight w:val="none"/>
        </w:rPr>
      </w:pPr>
    </w:p>
    <w:p w14:paraId="0093AFAB">
      <w:pPr>
        <w:spacing w:line="480" w:lineRule="auto"/>
        <w:jc w:val="center"/>
        <w:rPr>
          <w:rFonts w:hint="eastAsia" w:ascii="宋体" w:hAnsi="宋体" w:cs="宋体"/>
          <w:sz w:val="32"/>
          <w:szCs w:val="32"/>
          <w:highlight w:val="none"/>
        </w:rPr>
      </w:pPr>
      <w:r>
        <w:rPr>
          <w:rFonts w:hint="eastAsia" w:ascii="宋体" w:hAnsi="宋体" w:cs="宋体"/>
          <w:sz w:val="32"/>
          <w:szCs w:val="32"/>
          <w:highlight w:val="none"/>
        </w:rPr>
        <w:t>招标单位：广州市越秀区代建项目管理中心</w:t>
      </w:r>
    </w:p>
    <w:p w14:paraId="7B4C39DE">
      <w:pPr>
        <w:spacing w:line="480" w:lineRule="auto"/>
        <w:ind w:firstLine="1600" w:firstLineChars="500"/>
        <w:rPr>
          <w:rFonts w:hint="eastAsia" w:ascii="宋体" w:hAnsi="宋体" w:cs="宋体"/>
          <w:sz w:val="32"/>
          <w:szCs w:val="32"/>
          <w:highlight w:val="none"/>
        </w:rPr>
      </w:pPr>
      <w:r>
        <w:rPr>
          <w:rFonts w:hint="eastAsia" w:ascii="宋体" w:hAnsi="宋体" w:cs="宋体"/>
          <w:sz w:val="32"/>
          <w:szCs w:val="32"/>
          <w:highlight w:val="none"/>
        </w:rPr>
        <w:t>招标代理机构：广州珠江监理咨询集团有限公司</w:t>
      </w:r>
    </w:p>
    <w:p w14:paraId="015819A7">
      <w:pPr>
        <w:spacing w:line="360" w:lineRule="auto"/>
        <w:ind w:firstLine="2560" w:firstLineChars="800"/>
        <w:rPr>
          <w:rFonts w:hint="eastAsia" w:ascii="宋体" w:hAnsi="宋体" w:cs="宋体"/>
          <w:sz w:val="32"/>
          <w:highlight w:val="none"/>
        </w:rPr>
      </w:pPr>
      <w:r>
        <w:rPr>
          <w:rFonts w:hint="eastAsia" w:ascii="宋体" w:hAnsi="宋体" w:cs="宋体"/>
          <w:sz w:val="32"/>
          <w:szCs w:val="32"/>
          <w:highlight w:val="none"/>
        </w:rPr>
        <w:t>日     期：</w:t>
      </w:r>
      <w:r>
        <w:rPr>
          <w:rFonts w:hint="eastAsia" w:ascii="宋体" w:hAnsi="宋体" w:cs="宋体"/>
          <w:sz w:val="32"/>
          <w:highlight w:val="none"/>
          <w:u w:val="single"/>
        </w:rPr>
        <w:t>2025</w:t>
      </w:r>
      <w:r>
        <w:rPr>
          <w:rFonts w:hint="eastAsia" w:ascii="宋体" w:hAnsi="宋体" w:cs="宋体"/>
          <w:sz w:val="32"/>
          <w:highlight w:val="none"/>
        </w:rPr>
        <w:t>年</w:t>
      </w:r>
      <w:r>
        <w:rPr>
          <w:rFonts w:hint="eastAsia" w:ascii="宋体" w:hAnsi="宋体" w:cs="宋体"/>
          <w:sz w:val="32"/>
          <w:highlight w:val="none"/>
          <w:u w:val="single"/>
          <w:lang w:val="en-US" w:eastAsia="zh-CN"/>
        </w:rPr>
        <w:t>8</w:t>
      </w:r>
      <w:r>
        <w:rPr>
          <w:rFonts w:hint="eastAsia" w:ascii="宋体" w:hAnsi="宋体" w:cs="宋体"/>
          <w:sz w:val="32"/>
          <w:highlight w:val="none"/>
        </w:rPr>
        <w:t>月</w:t>
      </w:r>
    </w:p>
    <w:p w14:paraId="5624265A">
      <w:pPr>
        <w:wordWrap w:val="0"/>
        <w:spacing w:line="360" w:lineRule="auto"/>
        <w:rPr>
          <w:rFonts w:hint="eastAsia" w:ascii="宋体" w:hAnsi="宋体" w:cs="宋体"/>
          <w:sz w:val="24"/>
          <w:highlight w:val="none"/>
        </w:rPr>
        <w:sectPr>
          <w:headerReference r:id="rId4" w:type="first"/>
          <w:headerReference r:id="rId3" w:type="default"/>
          <w:footerReference r:id="rId5" w:type="default"/>
          <w:pgSz w:w="11906" w:h="16838"/>
          <w:pgMar w:top="1134" w:right="1134" w:bottom="1134" w:left="1134" w:header="851" w:footer="992" w:gutter="0"/>
          <w:pgNumType w:start="1"/>
          <w:cols w:space="720" w:num="1"/>
          <w:docGrid w:type="lines" w:linePitch="312" w:charSpace="0"/>
        </w:sectPr>
      </w:pPr>
      <w:r>
        <w:rPr>
          <w:rFonts w:hint="eastAsia" w:ascii="宋体" w:hAnsi="宋体" w:cs="宋体"/>
          <w:b/>
          <w:bCs/>
          <w:sz w:val="24"/>
          <w:szCs w:val="24"/>
          <w:highlight w:val="none"/>
        </w:rPr>
        <w:br w:type="page"/>
      </w:r>
    </w:p>
    <w:tbl>
      <w:tblPr>
        <w:tblStyle w:val="19"/>
        <w:tblW w:w="8640" w:type="dxa"/>
        <w:tblInd w:w="360" w:type="dxa"/>
        <w:tblLayout w:type="fixed"/>
        <w:tblCellMar>
          <w:top w:w="0" w:type="dxa"/>
          <w:left w:w="0" w:type="dxa"/>
          <w:bottom w:w="0" w:type="dxa"/>
          <w:right w:w="0" w:type="dxa"/>
        </w:tblCellMar>
      </w:tblPr>
      <w:tblGrid>
        <w:gridCol w:w="660"/>
        <w:gridCol w:w="500"/>
        <w:gridCol w:w="7260"/>
        <w:gridCol w:w="220"/>
      </w:tblGrid>
      <w:tr w14:paraId="785A352D">
        <w:tblPrEx>
          <w:tblCellMar>
            <w:top w:w="0" w:type="dxa"/>
            <w:left w:w="0" w:type="dxa"/>
            <w:bottom w:w="0" w:type="dxa"/>
            <w:right w:w="0" w:type="dxa"/>
          </w:tblCellMar>
        </w:tblPrEx>
        <w:trPr>
          <w:trHeight w:val="319" w:hRule="atLeast"/>
        </w:trPr>
        <w:tc>
          <w:tcPr>
            <w:tcW w:w="660" w:type="dxa"/>
            <w:vAlign w:val="bottom"/>
          </w:tcPr>
          <w:p w14:paraId="78F87C45">
            <w:pPr>
              <w:spacing w:line="0" w:lineRule="atLeast"/>
              <w:rPr>
                <w:rFonts w:hint="eastAsia" w:ascii="宋体" w:hAnsi="宋体" w:cs="宋体"/>
                <w:sz w:val="24"/>
                <w:highlight w:val="none"/>
              </w:rPr>
            </w:pPr>
          </w:p>
        </w:tc>
        <w:tc>
          <w:tcPr>
            <w:tcW w:w="500" w:type="dxa"/>
            <w:vAlign w:val="bottom"/>
          </w:tcPr>
          <w:p w14:paraId="1D93B303">
            <w:pPr>
              <w:spacing w:line="0" w:lineRule="atLeast"/>
              <w:rPr>
                <w:rFonts w:hint="eastAsia" w:ascii="宋体" w:hAnsi="宋体" w:cs="宋体"/>
                <w:sz w:val="24"/>
                <w:highlight w:val="none"/>
              </w:rPr>
            </w:pPr>
          </w:p>
        </w:tc>
        <w:tc>
          <w:tcPr>
            <w:tcW w:w="7260" w:type="dxa"/>
            <w:vAlign w:val="bottom"/>
          </w:tcPr>
          <w:p w14:paraId="74D2B53F">
            <w:pPr>
              <w:spacing w:after="240" w:line="320" w:lineRule="exact"/>
              <w:ind w:right="3573"/>
              <w:jc w:val="right"/>
              <w:rPr>
                <w:rFonts w:hint="eastAsia" w:ascii="宋体" w:hAnsi="宋体" w:cs="宋体"/>
                <w:b/>
                <w:sz w:val="28"/>
                <w:szCs w:val="28"/>
                <w:highlight w:val="none"/>
              </w:rPr>
            </w:pPr>
            <w:r>
              <w:rPr>
                <w:rFonts w:hint="eastAsia" w:ascii="宋体" w:hAnsi="宋体" w:cs="宋体"/>
                <w:b/>
                <w:sz w:val="32"/>
                <w:szCs w:val="28"/>
                <w:highlight w:val="none"/>
              </w:rPr>
              <w:t>目  录</w:t>
            </w:r>
          </w:p>
        </w:tc>
        <w:tc>
          <w:tcPr>
            <w:tcW w:w="220" w:type="dxa"/>
            <w:vAlign w:val="bottom"/>
          </w:tcPr>
          <w:p w14:paraId="5424FD11">
            <w:pPr>
              <w:spacing w:line="0" w:lineRule="atLeast"/>
              <w:rPr>
                <w:rFonts w:hint="eastAsia" w:ascii="宋体" w:hAnsi="宋体" w:cs="宋体"/>
                <w:sz w:val="24"/>
                <w:highlight w:val="none"/>
              </w:rPr>
            </w:pPr>
          </w:p>
        </w:tc>
      </w:tr>
    </w:tbl>
    <w:p w14:paraId="604FF20D">
      <w:pPr>
        <w:pStyle w:val="13"/>
        <w:tabs>
          <w:tab w:val="right" w:leader="dot" w:pos="9060"/>
        </w:tabs>
        <w:spacing w:line="360" w:lineRule="auto"/>
        <w:rPr>
          <w:rStyle w:val="21"/>
          <w:rFonts w:hint="eastAsia" w:ascii="宋体" w:hAnsi="宋体" w:cs="宋体"/>
          <w:b/>
          <w:color w:val="auto"/>
          <w:sz w:val="24"/>
          <w:szCs w:val="28"/>
          <w:highlight w:val="none"/>
        </w:rPr>
      </w:pPr>
      <w:r>
        <w:rPr>
          <w:rFonts w:hint="eastAsia" w:ascii="宋体" w:hAnsi="宋体" w:cs="宋体"/>
          <w:sz w:val="24"/>
          <w:szCs w:val="28"/>
          <w:highlight w:val="none"/>
        </w:rPr>
        <w:fldChar w:fldCharType="begin"/>
      </w:r>
      <w:r>
        <w:rPr>
          <w:rFonts w:hint="eastAsia" w:ascii="宋体" w:hAnsi="宋体" w:cs="宋体"/>
          <w:sz w:val="24"/>
          <w:szCs w:val="28"/>
          <w:highlight w:val="none"/>
        </w:rPr>
        <w:instrText xml:space="preserve"> TOC \o "1-3" \h \z \u </w:instrText>
      </w:r>
      <w:r>
        <w:rPr>
          <w:rFonts w:hint="eastAsia" w:ascii="宋体" w:hAnsi="宋体" w:cs="宋体"/>
          <w:sz w:val="24"/>
          <w:szCs w:val="28"/>
          <w:highlight w:val="none"/>
        </w:rPr>
        <w:fldChar w:fldCharType="separate"/>
      </w:r>
      <w:bookmarkStart w:id="0" w:name="OLE_LINK6"/>
      <w:r>
        <w:rPr>
          <w:rFonts w:hint="eastAsia"/>
          <w:highlight w:val="none"/>
        </w:rPr>
        <w:fldChar w:fldCharType="begin"/>
      </w:r>
      <w:r>
        <w:rPr>
          <w:highlight w:val="none"/>
        </w:rPr>
        <w:instrText xml:space="preserve"> HYPERLINK \l "_Toc102997567" </w:instrText>
      </w:r>
      <w:r>
        <w:rPr>
          <w:rFonts w:hint="eastAsia"/>
          <w:highlight w:val="none"/>
        </w:rPr>
        <w:fldChar w:fldCharType="separate"/>
      </w:r>
      <w:r>
        <w:rPr>
          <w:rStyle w:val="21"/>
          <w:rFonts w:hint="eastAsia" w:ascii="宋体" w:hAnsi="宋体" w:cs="宋体"/>
          <w:b/>
          <w:color w:val="auto"/>
          <w:sz w:val="24"/>
          <w:szCs w:val="28"/>
          <w:highlight w:val="none"/>
        </w:rPr>
        <w:t>第一章 招标公告</w:t>
      </w:r>
      <w:r>
        <w:rPr>
          <w:rStyle w:val="21"/>
          <w:rFonts w:hint="eastAsia" w:ascii="宋体" w:hAnsi="宋体" w:cs="宋体"/>
          <w:b/>
          <w:color w:val="auto"/>
          <w:sz w:val="24"/>
          <w:szCs w:val="28"/>
          <w:highlight w:val="none"/>
        </w:rPr>
        <w:tab/>
      </w:r>
      <w:r>
        <w:rPr>
          <w:rStyle w:val="21"/>
          <w:rFonts w:hint="eastAsia" w:ascii="宋体" w:hAnsi="宋体" w:cs="宋体"/>
          <w:b/>
          <w:color w:val="auto"/>
          <w:sz w:val="24"/>
          <w:szCs w:val="28"/>
          <w:highlight w:val="none"/>
        </w:rPr>
        <w:fldChar w:fldCharType="begin"/>
      </w:r>
      <w:r>
        <w:rPr>
          <w:rStyle w:val="21"/>
          <w:rFonts w:hint="eastAsia" w:ascii="宋体" w:hAnsi="宋体" w:cs="宋体"/>
          <w:b/>
          <w:color w:val="auto"/>
          <w:sz w:val="24"/>
          <w:szCs w:val="28"/>
          <w:highlight w:val="none"/>
        </w:rPr>
        <w:instrText xml:space="preserve"> PAGEREF _Toc102997567 \h </w:instrText>
      </w:r>
      <w:r>
        <w:rPr>
          <w:rStyle w:val="21"/>
          <w:rFonts w:hint="eastAsia" w:ascii="宋体" w:hAnsi="宋体" w:cs="宋体"/>
          <w:b/>
          <w:color w:val="auto"/>
          <w:sz w:val="24"/>
          <w:szCs w:val="28"/>
          <w:highlight w:val="none"/>
        </w:rPr>
        <w:fldChar w:fldCharType="separate"/>
      </w:r>
      <w:r>
        <w:rPr>
          <w:rStyle w:val="21"/>
          <w:rFonts w:hint="eastAsia" w:ascii="宋体" w:hAnsi="宋体" w:cs="宋体"/>
          <w:b/>
          <w:color w:val="auto"/>
          <w:sz w:val="24"/>
          <w:szCs w:val="28"/>
          <w:highlight w:val="none"/>
        </w:rPr>
        <w:t>3</w:t>
      </w:r>
      <w:r>
        <w:rPr>
          <w:rStyle w:val="21"/>
          <w:rFonts w:hint="eastAsia" w:ascii="宋体" w:hAnsi="宋体" w:cs="宋体"/>
          <w:b/>
          <w:color w:val="auto"/>
          <w:sz w:val="24"/>
          <w:szCs w:val="28"/>
          <w:highlight w:val="none"/>
        </w:rPr>
        <w:fldChar w:fldCharType="end"/>
      </w:r>
      <w:r>
        <w:rPr>
          <w:rStyle w:val="21"/>
          <w:rFonts w:hint="eastAsia" w:ascii="宋体" w:hAnsi="宋体" w:cs="宋体"/>
          <w:b/>
          <w:color w:val="auto"/>
          <w:sz w:val="24"/>
          <w:szCs w:val="28"/>
          <w:highlight w:val="none"/>
        </w:rPr>
        <w:fldChar w:fldCharType="end"/>
      </w:r>
      <w:bookmarkEnd w:id="0"/>
    </w:p>
    <w:p w14:paraId="7A2DE6BF">
      <w:pPr>
        <w:pStyle w:val="13"/>
        <w:tabs>
          <w:tab w:val="right" w:leader="dot" w:pos="9060"/>
        </w:tabs>
        <w:spacing w:line="360" w:lineRule="auto"/>
        <w:rPr>
          <w:rStyle w:val="21"/>
          <w:rFonts w:hint="eastAsia" w:ascii="宋体" w:hAnsi="宋体" w:cs="宋体"/>
          <w:b/>
          <w:color w:val="auto"/>
          <w:sz w:val="24"/>
          <w:szCs w:val="28"/>
          <w:highlight w:val="none"/>
        </w:rPr>
      </w:pPr>
      <w:r>
        <w:rPr>
          <w:highlight w:val="none"/>
        </w:rPr>
        <w:fldChar w:fldCharType="begin"/>
      </w:r>
      <w:r>
        <w:rPr>
          <w:highlight w:val="none"/>
        </w:rPr>
        <w:instrText xml:space="preserve"> HYPERLINK \l "_Toc102997568" </w:instrText>
      </w:r>
      <w:r>
        <w:rPr>
          <w:highlight w:val="none"/>
        </w:rPr>
        <w:fldChar w:fldCharType="separate"/>
      </w:r>
      <w:r>
        <w:rPr>
          <w:rStyle w:val="21"/>
          <w:rFonts w:hint="eastAsia" w:ascii="宋体" w:hAnsi="宋体" w:cs="宋体"/>
          <w:b/>
          <w:color w:val="auto"/>
          <w:sz w:val="24"/>
          <w:szCs w:val="28"/>
          <w:highlight w:val="none"/>
        </w:rPr>
        <w:t>第二章 投标人须知</w:t>
      </w:r>
      <w:r>
        <w:rPr>
          <w:rStyle w:val="21"/>
          <w:rFonts w:hint="eastAsia" w:ascii="宋体" w:hAnsi="宋体" w:cs="宋体"/>
          <w:b/>
          <w:color w:val="auto"/>
          <w:sz w:val="24"/>
          <w:szCs w:val="28"/>
          <w:highlight w:val="none"/>
        </w:rPr>
        <w:tab/>
      </w:r>
      <w:r>
        <w:rPr>
          <w:rStyle w:val="21"/>
          <w:rFonts w:hint="eastAsia" w:ascii="宋体" w:hAnsi="宋体" w:cs="宋体"/>
          <w:b/>
          <w:color w:val="auto"/>
          <w:sz w:val="24"/>
          <w:szCs w:val="28"/>
          <w:highlight w:val="none"/>
        </w:rPr>
        <w:fldChar w:fldCharType="begin"/>
      </w:r>
      <w:r>
        <w:rPr>
          <w:rStyle w:val="21"/>
          <w:rFonts w:hint="eastAsia" w:ascii="宋体" w:hAnsi="宋体" w:cs="宋体"/>
          <w:b/>
          <w:color w:val="auto"/>
          <w:sz w:val="24"/>
          <w:szCs w:val="28"/>
          <w:highlight w:val="none"/>
        </w:rPr>
        <w:instrText xml:space="preserve"> PAGEREF _Toc102997568 \h </w:instrText>
      </w:r>
      <w:r>
        <w:rPr>
          <w:rStyle w:val="21"/>
          <w:rFonts w:hint="eastAsia" w:ascii="宋体" w:hAnsi="宋体" w:cs="宋体"/>
          <w:b/>
          <w:color w:val="auto"/>
          <w:sz w:val="24"/>
          <w:szCs w:val="28"/>
          <w:highlight w:val="none"/>
        </w:rPr>
        <w:fldChar w:fldCharType="separate"/>
      </w:r>
      <w:r>
        <w:rPr>
          <w:rStyle w:val="21"/>
          <w:rFonts w:hint="eastAsia" w:ascii="宋体" w:hAnsi="宋体" w:cs="宋体"/>
          <w:b/>
          <w:color w:val="auto"/>
          <w:sz w:val="24"/>
          <w:szCs w:val="28"/>
          <w:highlight w:val="none"/>
        </w:rPr>
        <w:t>4</w:t>
      </w:r>
      <w:r>
        <w:rPr>
          <w:rStyle w:val="21"/>
          <w:rFonts w:hint="eastAsia" w:ascii="宋体" w:hAnsi="宋体" w:cs="宋体"/>
          <w:b/>
          <w:color w:val="auto"/>
          <w:sz w:val="24"/>
          <w:szCs w:val="28"/>
          <w:highlight w:val="none"/>
        </w:rPr>
        <w:fldChar w:fldCharType="end"/>
      </w:r>
      <w:r>
        <w:rPr>
          <w:rStyle w:val="21"/>
          <w:rFonts w:hint="eastAsia" w:ascii="宋体" w:hAnsi="宋体" w:cs="宋体"/>
          <w:b/>
          <w:color w:val="auto"/>
          <w:sz w:val="24"/>
          <w:szCs w:val="28"/>
          <w:highlight w:val="none"/>
        </w:rPr>
        <w:fldChar w:fldCharType="end"/>
      </w:r>
    </w:p>
    <w:p w14:paraId="2704EBDF">
      <w:pPr>
        <w:pStyle w:val="13"/>
        <w:tabs>
          <w:tab w:val="right" w:leader="dot" w:pos="9060"/>
        </w:tabs>
        <w:spacing w:line="360" w:lineRule="auto"/>
        <w:rPr>
          <w:rStyle w:val="21"/>
          <w:rFonts w:hint="eastAsia" w:ascii="宋体" w:hAnsi="宋体" w:cs="宋体"/>
          <w:b/>
          <w:color w:val="auto"/>
          <w:sz w:val="24"/>
          <w:szCs w:val="28"/>
          <w:highlight w:val="none"/>
        </w:rPr>
      </w:pPr>
      <w:r>
        <w:rPr>
          <w:highlight w:val="none"/>
        </w:rPr>
        <w:fldChar w:fldCharType="begin"/>
      </w:r>
      <w:r>
        <w:rPr>
          <w:highlight w:val="none"/>
        </w:rPr>
        <w:instrText xml:space="preserve"> HYPERLINK \l "_Toc102997628" </w:instrText>
      </w:r>
      <w:r>
        <w:rPr>
          <w:highlight w:val="none"/>
        </w:rPr>
        <w:fldChar w:fldCharType="separate"/>
      </w:r>
      <w:r>
        <w:rPr>
          <w:rStyle w:val="21"/>
          <w:rFonts w:hint="eastAsia" w:ascii="宋体" w:hAnsi="宋体" w:cs="宋体"/>
          <w:b/>
          <w:color w:val="auto"/>
          <w:sz w:val="24"/>
          <w:szCs w:val="28"/>
          <w:highlight w:val="none"/>
        </w:rPr>
        <w:t>第三章 评标办法</w:t>
      </w:r>
      <w:r>
        <w:rPr>
          <w:rStyle w:val="21"/>
          <w:rFonts w:hint="eastAsia" w:ascii="宋体" w:hAnsi="宋体" w:cs="宋体"/>
          <w:b/>
          <w:color w:val="auto"/>
          <w:sz w:val="24"/>
          <w:szCs w:val="28"/>
          <w:highlight w:val="none"/>
        </w:rPr>
        <w:tab/>
      </w:r>
      <w:r>
        <w:rPr>
          <w:rStyle w:val="21"/>
          <w:rFonts w:hint="eastAsia" w:ascii="宋体" w:hAnsi="宋体" w:cs="宋体"/>
          <w:b/>
          <w:color w:val="auto"/>
          <w:sz w:val="24"/>
          <w:szCs w:val="28"/>
          <w:highlight w:val="none"/>
        </w:rPr>
        <w:fldChar w:fldCharType="begin"/>
      </w:r>
      <w:r>
        <w:rPr>
          <w:rStyle w:val="21"/>
          <w:rFonts w:hint="eastAsia" w:ascii="宋体" w:hAnsi="宋体" w:cs="宋体"/>
          <w:b/>
          <w:color w:val="auto"/>
          <w:sz w:val="24"/>
          <w:szCs w:val="28"/>
          <w:highlight w:val="none"/>
        </w:rPr>
        <w:instrText xml:space="preserve"> PAGEREF _Toc102997628 \h </w:instrText>
      </w:r>
      <w:r>
        <w:rPr>
          <w:rStyle w:val="21"/>
          <w:rFonts w:hint="eastAsia" w:ascii="宋体" w:hAnsi="宋体" w:cs="宋体"/>
          <w:b/>
          <w:color w:val="auto"/>
          <w:sz w:val="24"/>
          <w:szCs w:val="28"/>
          <w:highlight w:val="none"/>
        </w:rPr>
        <w:fldChar w:fldCharType="separate"/>
      </w:r>
      <w:r>
        <w:rPr>
          <w:rStyle w:val="21"/>
          <w:rFonts w:hint="eastAsia" w:ascii="宋体" w:hAnsi="宋体" w:cs="宋体"/>
          <w:b/>
          <w:color w:val="auto"/>
          <w:sz w:val="24"/>
          <w:szCs w:val="28"/>
          <w:highlight w:val="none"/>
        </w:rPr>
        <w:t>28</w:t>
      </w:r>
      <w:r>
        <w:rPr>
          <w:rStyle w:val="21"/>
          <w:rFonts w:hint="eastAsia" w:ascii="宋体" w:hAnsi="宋体" w:cs="宋体"/>
          <w:b/>
          <w:color w:val="auto"/>
          <w:sz w:val="24"/>
          <w:szCs w:val="28"/>
          <w:highlight w:val="none"/>
        </w:rPr>
        <w:fldChar w:fldCharType="end"/>
      </w:r>
      <w:r>
        <w:rPr>
          <w:rStyle w:val="21"/>
          <w:rFonts w:hint="eastAsia" w:ascii="宋体" w:hAnsi="宋体" w:cs="宋体"/>
          <w:b/>
          <w:color w:val="auto"/>
          <w:sz w:val="24"/>
          <w:szCs w:val="28"/>
          <w:highlight w:val="none"/>
        </w:rPr>
        <w:fldChar w:fldCharType="end"/>
      </w:r>
    </w:p>
    <w:p w14:paraId="655BCCD9">
      <w:pPr>
        <w:pStyle w:val="13"/>
        <w:tabs>
          <w:tab w:val="right" w:leader="dot" w:pos="9060"/>
        </w:tabs>
        <w:spacing w:line="360" w:lineRule="auto"/>
        <w:rPr>
          <w:rStyle w:val="21"/>
          <w:rFonts w:hint="eastAsia" w:ascii="宋体" w:hAnsi="宋体" w:cs="宋体"/>
          <w:b/>
          <w:color w:val="auto"/>
          <w:sz w:val="24"/>
          <w:szCs w:val="28"/>
          <w:highlight w:val="none"/>
        </w:rPr>
      </w:pPr>
      <w:r>
        <w:rPr>
          <w:highlight w:val="none"/>
        </w:rPr>
        <w:fldChar w:fldCharType="begin"/>
      </w:r>
      <w:r>
        <w:rPr>
          <w:highlight w:val="none"/>
        </w:rPr>
        <w:instrText xml:space="preserve"> HYPERLINK \l "_Toc102997639" </w:instrText>
      </w:r>
      <w:r>
        <w:rPr>
          <w:highlight w:val="none"/>
        </w:rPr>
        <w:fldChar w:fldCharType="separate"/>
      </w:r>
      <w:r>
        <w:rPr>
          <w:rStyle w:val="21"/>
          <w:rFonts w:hint="eastAsia" w:ascii="宋体" w:hAnsi="宋体" w:cs="宋体"/>
          <w:b/>
          <w:color w:val="auto"/>
          <w:sz w:val="24"/>
          <w:szCs w:val="28"/>
          <w:highlight w:val="none"/>
        </w:rPr>
        <w:t>第四章 合同条款及格式</w:t>
      </w:r>
      <w:r>
        <w:rPr>
          <w:rStyle w:val="21"/>
          <w:rFonts w:hint="eastAsia" w:ascii="宋体" w:hAnsi="宋体" w:cs="宋体"/>
          <w:b/>
          <w:color w:val="auto"/>
          <w:sz w:val="24"/>
          <w:szCs w:val="28"/>
          <w:highlight w:val="none"/>
        </w:rPr>
        <w:tab/>
      </w:r>
      <w:r>
        <w:rPr>
          <w:rStyle w:val="21"/>
          <w:rFonts w:hint="eastAsia" w:ascii="宋体" w:hAnsi="宋体" w:cs="宋体"/>
          <w:b/>
          <w:color w:val="auto"/>
          <w:sz w:val="24"/>
          <w:szCs w:val="28"/>
          <w:highlight w:val="none"/>
        </w:rPr>
        <w:fldChar w:fldCharType="begin"/>
      </w:r>
      <w:r>
        <w:rPr>
          <w:rStyle w:val="21"/>
          <w:rFonts w:hint="eastAsia" w:ascii="宋体" w:hAnsi="宋体" w:cs="宋体"/>
          <w:b/>
          <w:color w:val="auto"/>
          <w:sz w:val="24"/>
          <w:szCs w:val="28"/>
          <w:highlight w:val="none"/>
        </w:rPr>
        <w:instrText xml:space="preserve"> PAGEREF _Toc102997639 \h </w:instrText>
      </w:r>
      <w:r>
        <w:rPr>
          <w:rStyle w:val="21"/>
          <w:rFonts w:hint="eastAsia" w:ascii="宋体" w:hAnsi="宋体" w:cs="宋体"/>
          <w:b/>
          <w:color w:val="auto"/>
          <w:sz w:val="24"/>
          <w:szCs w:val="28"/>
          <w:highlight w:val="none"/>
        </w:rPr>
        <w:fldChar w:fldCharType="separate"/>
      </w:r>
      <w:r>
        <w:rPr>
          <w:rStyle w:val="21"/>
          <w:rFonts w:hint="eastAsia" w:ascii="宋体" w:hAnsi="宋体" w:cs="宋体"/>
          <w:b/>
          <w:color w:val="auto"/>
          <w:sz w:val="24"/>
          <w:szCs w:val="28"/>
          <w:highlight w:val="none"/>
        </w:rPr>
        <w:t>39</w:t>
      </w:r>
      <w:r>
        <w:rPr>
          <w:rStyle w:val="21"/>
          <w:rFonts w:hint="eastAsia" w:ascii="宋体" w:hAnsi="宋体" w:cs="宋体"/>
          <w:b/>
          <w:color w:val="auto"/>
          <w:sz w:val="24"/>
          <w:szCs w:val="28"/>
          <w:highlight w:val="none"/>
        </w:rPr>
        <w:fldChar w:fldCharType="end"/>
      </w:r>
      <w:r>
        <w:rPr>
          <w:rStyle w:val="21"/>
          <w:rFonts w:hint="eastAsia" w:ascii="宋体" w:hAnsi="宋体" w:cs="宋体"/>
          <w:b/>
          <w:color w:val="auto"/>
          <w:sz w:val="24"/>
          <w:szCs w:val="28"/>
          <w:highlight w:val="none"/>
        </w:rPr>
        <w:fldChar w:fldCharType="end"/>
      </w:r>
    </w:p>
    <w:p w14:paraId="7F246606">
      <w:pPr>
        <w:pStyle w:val="13"/>
        <w:tabs>
          <w:tab w:val="right" w:leader="dot" w:pos="9060"/>
        </w:tabs>
        <w:spacing w:line="360" w:lineRule="auto"/>
        <w:rPr>
          <w:rStyle w:val="21"/>
          <w:rFonts w:hint="eastAsia" w:ascii="宋体" w:hAnsi="宋体" w:cs="宋体"/>
          <w:b/>
          <w:color w:val="auto"/>
          <w:sz w:val="24"/>
          <w:szCs w:val="28"/>
          <w:highlight w:val="none"/>
        </w:rPr>
      </w:pPr>
      <w:r>
        <w:rPr>
          <w:highlight w:val="none"/>
        </w:rPr>
        <w:fldChar w:fldCharType="begin"/>
      </w:r>
      <w:r>
        <w:rPr>
          <w:highlight w:val="none"/>
        </w:rPr>
        <w:instrText xml:space="preserve"> HYPERLINK \l "_Toc102997640" </w:instrText>
      </w:r>
      <w:r>
        <w:rPr>
          <w:highlight w:val="none"/>
        </w:rPr>
        <w:fldChar w:fldCharType="separate"/>
      </w:r>
      <w:r>
        <w:rPr>
          <w:rStyle w:val="21"/>
          <w:rFonts w:hint="eastAsia" w:ascii="宋体" w:hAnsi="宋体" w:cs="宋体"/>
          <w:b/>
          <w:color w:val="auto"/>
          <w:sz w:val="24"/>
          <w:szCs w:val="28"/>
          <w:highlight w:val="none"/>
        </w:rPr>
        <w:t>第五章 委托人要求</w:t>
      </w:r>
      <w:r>
        <w:rPr>
          <w:rStyle w:val="21"/>
          <w:rFonts w:hint="eastAsia" w:ascii="宋体" w:hAnsi="宋体" w:cs="宋体"/>
          <w:b/>
          <w:color w:val="auto"/>
          <w:sz w:val="24"/>
          <w:szCs w:val="28"/>
          <w:highlight w:val="none"/>
        </w:rPr>
        <w:tab/>
      </w:r>
      <w:r>
        <w:rPr>
          <w:rStyle w:val="21"/>
          <w:rFonts w:hint="eastAsia" w:ascii="宋体" w:hAnsi="宋体" w:cs="宋体"/>
          <w:b/>
          <w:color w:val="auto"/>
          <w:sz w:val="24"/>
          <w:szCs w:val="28"/>
          <w:highlight w:val="none"/>
        </w:rPr>
        <w:fldChar w:fldCharType="begin"/>
      </w:r>
      <w:r>
        <w:rPr>
          <w:rStyle w:val="21"/>
          <w:rFonts w:hint="eastAsia" w:ascii="宋体" w:hAnsi="宋体" w:cs="宋体"/>
          <w:b/>
          <w:color w:val="auto"/>
          <w:sz w:val="24"/>
          <w:szCs w:val="28"/>
          <w:highlight w:val="none"/>
        </w:rPr>
        <w:instrText xml:space="preserve"> PAGEREF _Toc102997640 \h </w:instrText>
      </w:r>
      <w:r>
        <w:rPr>
          <w:rStyle w:val="21"/>
          <w:rFonts w:hint="eastAsia" w:ascii="宋体" w:hAnsi="宋体" w:cs="宋体"/>
          <w:b/>
          <w:color w:val="auto"/>
          <w:sz w:val="24"/>
          <w:szCs w:val="28"/>
          <w:highlight w:val="none"/>
        </w:rPr>
        <w:fldChar w:fldCharType="separate"/>
      </w:r>
      <w:r>
        <w:rPr>
          <w:rStyle w:val="21"/>
          <w:rFonts w:hint="eastAsia" w:ascii="宋体" w:hAnsi="宋体" w:cs="宋体"/>
          <w:b/>
          <w:color w:val="auto"/>
          <w:sz w:val="24"/>
          <w:szCs w:val="28"/>
          <w:highlight w:val="none"/>
        </w:rPr>
        <w:t>40</w:t>
      </w:r>
      <w:r>
        <w:rPr>
          <w:rStyle w:val="21"/>
          <w:rFonts w:hint="eastAsia" w:ascii="宋体" w:hAnsi="宋体" w:cs="宋体"/>
          <w:b/>
          <w:color w:val="auto"/>
          <w:sz w:val="24"/>
          <w:szCs w:val="28"/>
          <w:highlight w:val="none"/>
        </w:rPr>
        <w:fldChar w:fldCharType="end"/>
      </w:r>
      <w:r>
        <w:rPr>
          <w:rStyle w:val="21"/>
          <w:rFonts w:hint="eastAsia" w:ascii="宋体" w:hAnsi="宋体" w:cs="宋体"/>
          <w:b/>
          <w:color w:val="auto"/>
          <w:sz w:val="24"/>
          <w:szCs w:val="28"/>
          <w:highlight w:val="none"/>
        </w:rPr>
        <w:fldChar w:fldCharType="end"/>
      </w:r>
    </w:p>
    <w:p w14:paraId="683A8A91">
      <w:pPr>
        <w:pStyle w:val="13"/>
        <w:tabs>
          <w:tab w:val="right" w:leader="dot" w:pos="9060"/>
        </w:tabs>
        <w:spacing w:line="360" w:lineRule="auto"/>
        <w:rPr>
          <w:rFonts w:hint="eastAsia" w:ascii="宋体" w:hAnsi="宋体" w:cs="宋体"/>
          <w:sz w:val="24"/>
          <w:szCs w:val="28"/>
          <w:highlight w:val="none"/>
        </w:rPr>
      </w:pPr>
      <w:r>
        <w:rPr>
          <w:highlight w:val="none"/>
        </w:rPr>
        <w:fldChar w:fldCharType="begin"/>
      </w:r>
      <w:r>
        <w:rPr>
          <w:highlight w:val="none"/>
        </w:rPr>
        <w:instrText xml:space="preserve"> HYPERLINK \l "_Toc102997644" </w:instrText>
      </w:r>
      <w:r>
        <w:rPr>
          <w:highlight w:val="none"/>
        </w:rPr>
        <w:fldChar w:fldCharType="separate"/>
      </w:r>
      <w:r>
        <w:rPr>
          <w:rStyle w:val="21"/>
          <w:rFonts w:hint="eastAsia" w:ascii="宋体" w:hAnsi="宋体" w:cs="宋体"/>
          <w:b/>
          <w:color w:val="auto"/>
          <w:sz w:val="24"/>
          <w:szCs w:val="28"/>
          <w:highlight w:val="none"/>
        </w:rPr>
        <w:t>第六章 投标文件格式</w:t>
      </w:r>
      <w:r>
        <w:rPr>
          <w:rStyle w:val="21"/>
          <w:rFonts w:hint="eastAsia" w:ascii="宋体" w:hAnsi="宋体" w:cs="宋体"/>
          <w:b/>
          <w:color w:val="auto"/>
          <w:sz w:val="24"/>
          <w:szCs w:val="28"/>
          <w:highlight w:val="none"/>
        </w:rPr>
        <w:tab/>
      </w:r>
      <w:r>
        <w:rPr>
          <w:rStyle w:val="21"/>
          <w:rFonts w:hint="eastAsia" w:ascii="宋体" w:hAnsi="宋体" w:cs="宋体"/>
          <w:b/>
          <w:color w:val="auto"/>
          <w:sz w:val="24"/>
          <w:szCs w:val="28"/>
          <w:highlight w:val="none"/>
        </w:rPr>
        <w:fldChar w:fldCharType="begin"/>
      </w:r>
      <w:r>
        <w:rPr>
          <w:rStyle w:val="21"/>
          <w:rFonts w:hint="eastAsia" w:ascii="宋体" w:hAnsi="宋体" w:cs="宋体"/>
          <w:b/>
          <w:color w:val="auto"/>
          <w:sz w:val="24"/>
          <w:szCs w:val="28"/>
          <w:highlight w:val="none"/>
        </w:rPr>
        <w:instrText xml:space="preserve"> PAGEREF _Toc102997644 \h </w:instrText>
      </w:r>
      <w:r>
        <w:rPr>
          <w:rStyle w:val="21"/>
          <w:rFonts w:hint="eastAsia" w:ascii="宋体" w:hAnsi="宋体" w:cs="宋体"/>
          <w:b/>
          <w:color w:val="auto"/>
          <w:sz w:val="24"/>
          <w:szCs w:val="28"/>
          <w:highlight w:val="none"/>
        </w:rPr>
        <w:fldChar w:fldCharType="separate"/>
      </w:r>
      <w:r>
        <w:rPr>
          <w:rStyle w:val="21"/>
          <w:rFonts w:hint="eastAsia" w:ascii="宋体" w:hAnsi="宋体" w:cs="宋体"/>
          <w:b/>
          <w:color w:val="auto"/>
          <w:sz w:val="24"/>
          <w:szCs w:val="28"/>
          <w:highlight w:val="none"/>
        </w:rPr>
        <w:t>71</w:t>
      </w:r>
      <w:r>
        <w:rPr>
          <w:rStyle w:val="21"/>
          <w:rFonts w:hint="eastAsia" w:ascii="宋体" w:hAnsi="宋体" w:cs="宋体"/>
          <w:b/>
          <w:color w:val="auto"/>
          <w:sz w:val="24"/>
          <w:szCs w:val="28"/>
          <w:highlight w:val="none"/>
        </w:rPr>
        <w:fldChar w:fldCharType="end"/>
      </w:r>
      <w:r>
        <w:rPr>
          <w:rStyle w:val="21"/>
          <w:rFonts w:hint="eastAsia" w:ascii="宋体" w:hAnsi="宋体" w:cs="宋体"/>
          <w:b/>
          <w:color w:val="auto"/>
          <w:sz w:val="24"/>
          <w:szCs w:val="28"/>
          <w:highlight w:val="none"/>
        </w:rPr>
        <w:fldChar w:fldCharType="end"/>
      </w:r>
    </w:p>
    <w:p w14:paraId="72C6044C">
      <w:pPr>
        <w:spacing w:line="360" w:lineRule="auto"/>
        <w:rPr>
          <w:rFonts w:hint="eastAsia" w:ascii="宋体" w:hAnsi="宋体" w:cs="宋体"/>
          <w:highlight w:val="none"/>
        </w:rPr>
      </w:pPr>
      <w:r>
        <w:rPr>
          <w:rFonts w:hint="eastAsia" w:ascii="宋体" w:hAnsi="宋体" w:cs="宋体"/>
          <w:b/>
          <w:bCs/>
          <w:sz w:val="24"/>
          <w:szCs w:val="28"/>
          <w:highlight w:val="none"/>
          <w:lang w:val="zh-CN"/>
        </w:rPr>
        <w:fldChar w:fldCharType="end"/>
      </w:r>
    </w:p>
    <w:p w14:paraId="550579A6">
      <w:pPr>
        <w:tabs>
          <w:tab w:val="left" w:leader="dot" w:pos="8760"/>
        </w:tabs>
        <w:spacing w:line="270" w:lineRule="exact"/>
        <w:rPr>
          <w:rFonts w:hint="eastAsia" w:ascii="宋体" w:hAnsi="宋体" w:cs="宋体"/>
          <w:highlight w:val="none"/>
        </w:rPr>
        <w:sectPr>
          <w:pgSz w:w="11906" w:h="16838"/>
          <w:pgMar w:top="1418" w:right="1418" w:bottom="1418" w:left="1418" w:header="851" w:footer="992" w:gutter="0"/>
          <w:cols w:space="720" w:num="1"/>
          <w:docGrid w:type="lines" w:linePitch="312" w:charSpace="0"/>
        </w:sectPr>
      </w:pPr>
    </w:p>
    <w:p w14:paraId="304628BB">
      <w:pPr>
        <w:spacing w:line="491" w:lineRule="exact"/>
        <w:jc w:val="center"/>
        <w:rPr>
          <w:rFonts w:hint="eastAsia" w:ascii="宋体" w:hAnsi="宋体" w:cs="宋体"/>
          <w:b/>
          <w:sz w:val="43"/>
          <w:highlight w:val="none"/>
        </w:rPr>
      </w:pPr>
    </w:p>
    <w:p w14:paraId="7B7429F3">
      <w:pPr>
        <w:spacing w:line="360" w:lineRule="auto"/>
        <w:jc w:val="center"/>
        <w:outlineLvl w:val="1"/>
        <w:rPr>
          <w:rFonts w:hint="eastAsia" w:ascii="宋体" w:hAnsi="宋体" w:cs="宋体"/>
          <w:b/>
          <w:sz w:val="44"/>
          <w:highlight w:val="none"/>
        </w:rPr>
      </w:pPr>
      <w:bookmarkStart w:id="1" w:name="_Toc102997567"/>
      <w:r>
        <w:rPr>
          <w:rFonts w:hint="eastAsia" w:ascii="宋体" w:hAnsi="宋体" w:cs="宋体"/>
          <w:b/>
          <w:sz w:val="44"/>
          <w:highlight w:val="none"/>
        </w:rPr>
        <w:t>第一章 招标公告</w:t>
      </w:r>
      <w:bookmarkEnd w:id="1"/>
    </w:p>
    <w:p w14:paraId="46045E95">
      <w:pPr>
        <w:spacing w:line="360" w:lineRule="auto"/>
        <w:jc w:val="center"/>
        <w:rPr>
          <w:rFonts w:hint="eastAsia" w:ascii="宋体" w:hAnsi="宋体" w:cs="宋体"/>
          <w:b/>
          <w:sz w:val="43"/>
          <w:highlight w:val="none"/>
        </w:rPr>
      </w:pPr>
      <w:r>
        <w:rPr>
          <w:rFonts w:hint="eastAsia" w:ascii="宋体" w:hAnsi="宋体" w:cs="宋体"/>
          <w:b/>
          <w:sz w:val="43"/>
          <w:highlight w:val="none"/>
        </w:rPr>
        <w:t>（另册）</w:t>
      </w:r>
    </w:p>
    <w:p w14:paraId="5DD964AD">
      <w:pPr>
        <w:spacing w:line="491" w:lineRule="exact"/>
        <w:jc w:val="center"/>
        <w:rPr>
          <w:rFonts w:hint="eastAsia" w:ascii="宋体" w:hAnsi="宋体" w:cs="宋体"/>
          <w:b/>
          <w:sz w:val="44"/>
          <w:highlight w:val="none"/>
        </w:rPr>
      </w:pPr>
    </w:p>
    <w:p w14:paraId="1BCECEED">
      <w:pPr>
        <w:spacing w:line="491" w:lineRule="exact"/>
        <w:jc w:val="center"/>
        <w:rPr>
          <w:rFonts w:hint="eastAsia" w:ascii="宋体" w:hAnsi="宋体" w:cs="宋体"/>
          <w:b/>
          <w:sz w:val="44"/>
          <w:highlight w:val="none"/>
        </w:rPr>
      </w:pPr>
    </w:p>
    <w:p w14:paraId="76C2B5C3">
      <w:pPr>
        <w:spacing w:line="491" w:lineRule="exact"/>
        <w:jc w:val="center"/>
        <w:rPr>
          <w:rFonts w:hint="eastAsia" w:ascii="宋体" w:hAnsi="宋体" w:cs="宋体"/>
          <w:b/>
          <w:sz w:val="44"/>
          <w:highlight w:val="none"/>
        </w:rPr>
      </w:pPr>
    </w:p>
    <w:p w14:paraId="2AD28217">
      <w:pPr>
        <w:spacing w:line="491" w:lineRule="exact"/>
        <w:jc w:val="center"/>
        <w:rPr>
          <w:rFonts w:hint="eastAsia" w:ascii="宋体" w:hAnsi="宋体" w:cs="宋体"/>
          <w:b/>
          <w:sz w:val="44"/>
          <w:highlight w:val="none"/>
        </w:rPr>
      </w:pPr>
    </w:p>
    <w:p w14:paraId="3B13D8C7">
      <w:pPr>
        <w:spacing w:line="491" w:lineRule="exact"/>
        <w:jc w:val="center"/>
        <w:rPr>
          <w:rFonts w:hint="eastAsia" w:ascii="宋体" w:hAnsi="宋体" w:cs="宋体"/>
          <w:b/>
          <w:sz w:val="44"/>
          <w:highlight w:val="none"/>
        </w:rPr>
      </w:pPr>
    </w:p>
    <w:p w14:paraId="62D52621">
      <w:pPr>
        <w:spacing w:line="491" w:lineRule="exact"/>
        <w:jc w:val="center"/>
        <w:rPr>
          <w:rFonts w:hint="eastAsia" w:ascii="宋体" w:hAnsi="宋体" w:cs="宋体"/>
          <w:b/>
          <w:sz w:val="44"/>
          <w:highlight w:val="none"/>
        </w:rPr>
        <w:sectPr>
          <w:footerReference r:id="rId8" w:type="first"/>
          <w:headerReference r:id="rId6" w:type="default"/>
          <w:footerReference r:id="rId7" w:type="default"/>
          <w:pgSz w:w="11907" w:h="16839"/>
          <w:pgMar w:top="1440" w:right="1440" w:bottom="1418" w:left="1440" w:header="993" w:footer="749" w:gutter="0"/>
          <w:cols w:space="720" w:num="1"/>
          <w:titlePg/>
          <w:docGrid w:linePitch="360" w:charSpace="0"/>
        </w:sectPr>
      </w:pPr>
    </w:p>
    <w:p w14:paraId="303F282C">
      <w:pPr>
        <w:pStyle w:val="2"/>
        <w:jc w:val="center"/>
        <w:rPr>
          <w:rFonts w:hint="eastAsia" w:ascii="宋体" w:hAnsi="宋体" w:eastAsia="宋体" w:cs="宋体"/>
          <w:highlight w:val="none"/>
        </w:rPr>
      </w:pPr>
      <w:bookmarkStart w:id="2" w:name="_Toc102997568"/>
      <w:r>
        <w:rPr>
          <w:rFonts w:hint="eastAsia" w:ascii="宋体" w:hAnsi="宋体" w:eastAsia="宋体" w:cs="宋体"/>
          <w:highlight w:val="none"/>
        </w:rPr>
        <w:t>第二章 投标人须知</w:t>
      </w:r>
      <w:bookmarkEnd w:id="2"/>
    </w:p>
    <w:p w14:paraId="10F70E43">
      <w:pPr>
        <w:spacing w:line="201" w:lineRule="exact"/>
        <w:rPr>
          <w:rFonts w:hint="eastAsia" w:ascii="宋体" w:hAnsi="宋体" w:cs="宋体"/>
          <w:highlight w:val="none"/>
        </w:rPr>
      </w:pPr>
    </w:p>
    <w:p w14:paraId="380465F6">
      <w:pPr>
        <w:spacing w:line="366" w:lineRule="exact"/>
        <w:jc w:val="center"/>
        <w:outlineLvl w:val="2"/>
        <w:rPr>
          <w:rFonts w:hint="eastAsia" w:ascii="宋体" w:hAnsi="宋体" w:cs="宋体"/>
          <w:b/>
          <w:sz w:val="32"/>
          <w:highlight w:val="none"/>
        </w:rPr>
      </w:pPr>
      <w:bookmarkStart w:id="3" w:name="_Toc102997569"/>
      <w:r>
        <w:rPr>
          <w:rFonts w:hint="eastAsia" w:ascii="宋体" w:hAnsi="宋体" w:cs="宋体"/>
          <w:b/>
          <w:sz w:val="32"/>
          <w:highlight w:val="none"/>
        </w:rPr>
        <w:t>投标人须知前附表</w:t>
      </w:r>
      <w:bookmarkEnd w:id="3"/>
    </w:p>
    <w:p w14:paraId="7B1AAEB1">
      <w:pPr>
        <w:rPr>
          <w:rFonts w:hint="eastAsia" w:ascii="宋体" w:hAnsi="宋体" w:cs="宋体"/>
          <w:highlight w:val="none"/>
        </w:rPr>
      </w:pPr>
    </w:p>
    <w:tbl>
      <w:tblPr>
        <w:tblStyle w:val="19"/>
        <w:tblW w:w="9606" w:type="dxa"/>
        <w:tblInd w:w="0" w:type="dxa"/>
        <w:tblLayout w:type="fixed"/>
        <w:tblCellMar>
          <w:top w:w="0" w:type="dxa"/>
          <w:left w:w="108" w:type="dxa"/>
          <w:bottom w:w="0" w:type="dxa"/>
          <w:right w:w="108" w:type="dxa"/>
        </w:tblCellMar>
      </w:tblPr>
      <w:tblGrid>
        <w:gridCol w:w="1165"/>
        <w:gridCol w:w="2345"/>
        <w:gridCol w:w="6096"/>
      </w:tblGrid>
      <w:tr w14:paraId="08CECBF5">
        <w:tblPrEx>
          <w:tblCellMar>
            <w:top w:w="0" w:type="dxa"/>
            <w:left w:w="108" w:type="dxa"/>
            <w:bottom w:w="0" w:type="dxa"/>
            <w:right w:w="108" w:type="dxa"/>
          </w:tblCellMar>
        </w:tblPrEx>
        <w:trPr>
          <w:tblHeader/>
        </w:trPr>
        <w:tc>
          <w:tcPr>
            <w:tcW w:w="1165" w:type="dxa"/>
            <w:tcBorders>
              <w:top w:val="single" w:color="auto" w:sz="4" w:space="0"/>
              <w:left w:val="single" w:color="auto" w:sz="4" w:space="0"/>
              <w:bottom w:val="single" w:color="auto" w:sz="4" w:space="0"/>
              <w:right w:val="single" w:color="auto" w:sz="4" w:space="0"/>
            </w:tcBorders>
            <w:vAlign w:val="center"/>
          </w:tcPr>
          <w:p w14:paraId="09FEC83D">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条款号</w:t>
            </w:r>
          </w:p>
        </w:tc>
        <w:tc>
          <w:tcPr>
            <w:tcW w:w="2345" w:type="dxa"/>
            <w:tcBorders>
              <w:top w:val="single" w:color="auto" w:sz="4" w:space="0"/>
              <w:left w:val="single" w:color="auto" w:sz="4" w:space="0"/>
              <w:bottom w:val="single" w:color="auto" w:sz="4" w:space="0"/>
              <w:right w:val="single" w:color="auto" w:sz="4" w:space="0"/>
            </w:tcBorders>
            <w:vAlign w:val="center"/>
          </w:tcPr>
          <w:p w14:paraId="7213631A">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条款名称</w:t>
            </w:r>
          </w:p>
        </w:tc>
        <w:tc>
          <w:tcPr>
            <w:tcW w:w="6096" w:type="dxa"/>
            <w:tcBorders>
              <w:top w:val="single" w:color="auto" w:sz="4" w:space="0"/>
              <w:left w:val="single" w:color="auto" w:sz="4" w:space="0"/>
              <w:bottom w:val="single" w:color="auto" w:sz="4" w:space="0"/>
              <w:right w:val="single" w:color="auto" w:sz="4" w:space="0"/>
            </w:tcBorders>
            <w:vAlign w:val="center"/>
          </w:tcPr>
          <w:p w14:paraId="490E0D48">
            <w:pPr>
              <w:spacing w:line="360" w:lineRule="auto"/>
              <w:ind w:right="107" w:rightChars="51"/>
              <w:jc w:val="center"/>
              <w:rPr>
                <w:rFonts w:hint="eastAsia" w:ascii="宋体" w:hAnsi="宋体" w:cs="宋体"/>
                <w:b/>
                <w:sz w:val="24"/>
                <w:szCs w:val="24"/>
                <w:highlight w:val="none"/>
              </w:rPr>
            </w:pPr>
            <w:r>
              <w:rPr>
                <w:rFonts w:hint="eastAsia" w:ascii="宋体" w:hAnsi="宋体" w:cs="宋体"/>
                <w:b/>
                <w:sz w:val="24"/>
                <w:szCs w:val="24"/>
                <w:highlight w:val="none"/>
              </w:rPr>
              <w:t>编列内容</w:t>
            </w:r>
          </w:p>
        </w:tc>
      </w:tr>
      <w:tr w14:paraId="0708AFD7">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119B4F7">
            <w:pPr>
              <w:spacing w:line="360" w:lineRule="auto"/>
              <w:rPr>
                <w:rFonts w:hint="eastAsia" w:ascii="宋体" w:hAnsi="宋体" w:cs="宋体"/>
                <w:sz w:val="24"/>
                <w:szCs w:val="24"/>
                <w:highlight w:val="none"/>
              </w:rPr>
            </w:pPr>
            <w:r>
              <w:rPr>
                <w:rFonts w:hint="eastAsia" w:ascii="宋体" w:hAnsi="宋体" w:cs="宋体"/>
                <w:sz w:val="24"/>
                <w:szCs w:val="24"/>
                <w:highlight w:val="none"/>
              </w:rPr>
              <w:t>1.1.2</w:t>
            </w:r>
          </w:p>
        </w:tc>
        <w:tc>
          <w:tcPr>
            <w:tcW w:w="2345" w:type="dxa"/>
            <w:tcBorders>
              <w:top w:val="single" w:color="auto" w:sz="4" w:space="0"/>
              <w:left w:val="single" w:color="auto" w:sz="4" w:space="0"/>
              <w:bottom w:val="single" w:color="auto" w:sz="4" w:space="0"/>
              <w:right w:val="single" w:color="auto" w:sz="4" w:space="0"/>
            </w:tcBorders>
            <w:vAlign w:val="center"/>
          </w:tcPr>
          <w:p w14:paraId="1833D893">
            <w:pPr>
              <w:spacing w:line="360" w:lineRule="auto"/>
              <w:rPr>
                <w:rFonts w:hint="eastAsia" w:ascii="宋体" w:hAnsi="宋体" w:cs="宋体"/>
                <w:sz w:val="24"/>
                <w:szCs w:val="24"/>
                <w:highlight w:val="none"/>
              </w:rPr>
            </w:pPr>
            <w:r>
              <w:rPr>
                <w:rFonts w:hint="eastAsia" w:ascii="宋体" w:hAnsi="宋体" w:cs="宋体"/>
                <w:sz w:val="24"/>
                <w:szCs w:val="24"/>
                <w:highlight w:val="none"/>
              </w:rPr>
              <w:t>招标人</w:t>
            </w:r>
          </w:p>
        </w:tc>
        <w:tc>
          <w:tcPr>
            <w:tcW w:w="6096" w:type="dxa"/>
            <w:tcBorders>
              <w:top w:val="single" w:color="auto" w:sz="4" w:space="0"/>
              <w:left w:val="single" w:color="auto" w:sz="4" w:space="0"/>
              <w:bottom w:val="single" w:color="auto" w:sz="4" w:space="0"/>
              <w:right w:val="single" w:color="auto" w:sz="4" w:space="0"/>
            </w:tcBorders>
            <w:vAlign w:val="center"/>
          </w:tcPr>
          <w:p w14:paraId="19E994B9">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名称：</w:t>
            </w:r>
            <w:r>
              <w:rPr>
                <w:rFonts w:hint="eastAsia" w:ascii="宋体" w:hAnsi="宋体" w:cs="宋体"/>
                <w:sz w:val="24"/>
                <w:szCs w:val="24"/>
                <w:highlight w:val="none"/>
                <w:u w:val="single"/>
              </w:rPr>
              <w:t>广州市越秀区代建项目管理中心</w:t>
            </w:r>
          </w:p>
          <w:p w14:paraId="2D366930">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szCs w:val="24"/>
                <w:highlight w:val="none"/>
                <w:u w:val="single"/>
              </w:rPr>
              <w:t>广州市越秀区东华西路永胜街51号</w:t>
            </w:r>
          </w:p>
          <w:p w14:paraId="19D30A8B">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u w:val="single"/>
              </w:rPr>
              <w:t>杜工</w:t>
            </w:r>
          </w:p>
          <w:p w14:paraId="1C404803">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电话：</w:t>
            </w:r>
            <w:r>
              <w:rPr>
                <w:rFonts w:hint="eastAsia" w:ascii="宋体" w:hAnsi="宋体" w:cs="宋体"/>
                <w:sz w:val="24"/>
                <w:szCs w:val="24"/>
                <w:highlight w:val="none"/>
                <w:u w:val="single"/>
              </w:rPr>
              <w:t>020-83520212</w:t>
            </w:r>
            <w:r>
              <w:rPr>
                <w:rFonts w:hint="eastAsia" w:ascii="宋体" w:hAnsi="宋体" w:cs="宋体"/>
                <w:sz w:val="24"/>
                <w:szCs w:val="24"/>
                <w:highlight w:val="none"/>
              </w:rPr>
              <w:t xml:space="preserve"> </w:t>
            </w:r>
          </w:p>
        </w:tc>
      </w:tr>
      <w:tr w14:paraId="597D0162">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E4AAC71">
            <w:pPr>
              <w:spacing w:line="360" w:lineRule="auto"/>
              <w:rPr>
                <w:rFonts w:hint="eastAsia" w:ascii="宋体" w:hAnsi="宋体" w:cs="宋体"/>
                <w:sz w:val="24"/>
                <w:szCs w:val="24"/>
                <w:highlight w:val="none"/>
              </w:rPr>
            </w:pPr>
            <w:r>
              <w:rPr>
                <w:rFonts w:hint="eastAsia" w:ascii="宋体" w:hAnsi="宋体" w:cs="宋体"/>
                <w:sz w:val="24"/>
                <w:szCs w:val="24"/>
                <w:highlight w:val="none"/>
              </w:rPr>
              <w:t>1.1.3</w:t>
            </w:r>
          </w:p>
        </w:tc>
        <w:tc>
          <w:tcPr>
            <w:tcW w:w="2345" w:type="dxa"/>
            <w:tcBorders>
              <w:top w:val="single" w:color="auto" w:sz="4" w:space="0"/>
              <w:left w:val="single" w:color="auto" w:sz="4" w:space="0"/>
              <w:bottom w:val="single" w:color="auto" w:sz="4" w:space="0"/>
              <w:right w:val="single" w:color="auto" w:sz="4" w:space="0"/>
            </w:tcBorders>
            <w:vAlign w:val="center"/>
          </w:tcPr>
          <w:p w14:paraId="34BF21BA">
            <w:pPr>
              <w:spacing w:line="360" w:lineRule="auto"/>
              <w:rPr>
                <w:rFonts w:hint="eastAsia" w:ascii="宋体" w:hAnsi="宋体" w:cs="宋体"/>
                <w:sz w:val="24"/>
                <w:szCs w:val="24"/>
                <w:highlight w:val="none"/>
              </w:rPr>
            </w:pPr>
            <w:r>
              <w:rPr>
                <w:rFonts w:hint="eastAsia" w:ascii="宋体" w:hAnsi="宋体" w:cs="宋体"/>
                <w:sz w:val="24"/>
                <w:szCs w:val="24"/>
                <w:highlight w:val="none"/>
              </w:rPr>
              <w:t>招标代理机构</w:t>
            </w:r>
          </w:p>
        </w:tc>
        <w:tc>
          <w:tcPr>
            <w:tcW w:w="6096" w:type="dxa"/>
            <w:tcBorders>
              <w:top w:val="single" w:color="auto" w:sz="4" w:space="0"/>
              <w:left w:val="single" w:color="auto" w:sz="4" w:space="0"/>
              <w:bottom w:val="single" w:color="auto" w:sz="4" w:space="0"/>
              <w:right w:val="single" w:color="auto" w:sz="4" w:space="0"/>
            </w:tcBorders>
            <w:vAlign w:val="center"/>
          </w:tcPr>
          <w:p w14:paraId="23263E5D">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名称：</w:t>
            </w:r>
            <w:r>
              <w:rPr>
                <w:rFonts w:hint="eastAsia" w:ascii="宋体" w:hAnsi="宋体" w:cs="宋体"/>
                <w:sz w:val="24"/>
                <w:szCs w:val="24"/>
                <w:highlight w:val="none"/>
                <w:u w:val="single"/>
              </w:rPr>
              <w:t>广州珠江监理咨询集团有限公司</w:t>
            </w:r>
          </w:p>
          <w:p w14:paraId="556CC285">
            <w:pPr>
              <w:spacing w:line="360" w:lineRule="auto"/>
              <w:rPr>
                <w:rFonts w:hint="eastAsia"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szCs w:val="24"/>
                <w:highlight w:val="none"/>
                <w:u w:val="single"/>
              </w:rPr>
              <w:t>广州市越秀区永泰路50号101房</w:t>
            </w:r>
          </w:p>
          <w:p w14:paraId="0699BF14">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u w:val="single"/>
              </w:rPr>
              <w:t>张工、叶工</w:t>
            </w:r>
          </w:p>
          <w:p w14:paraId="3B39E266">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电话：</w:t>
            </w:r>
            <w:r>
              <w:rPr>
                <w:rFonts w:hint="eastAsia" w:ascii="宋体" w:hAnsi="宋体" w:cs="宋体"/>
                <w:sz w:val="24"/>
                <w:szCs w:val="24"/>
                <w:highlight w:val="none"/>
                <w:u w:val="single"/>
              </w:rPr>
              <w:t>020-83492175-813</w:t>
            </w:r>
          </w:p>
        </w:tc>
      </w:tr>
      <w:tr w14:paraId="201960D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0116BB5">
            <w:pPr>
              <w:spacing w:line="360" w:lineRule="auto"/>
              <w:rPr>
                <w:rFonts w:hint="eastAsia" w:ascii="宋体" w:hAnsi="宋体" w:cs="宋体"/>
                <w:sz w:val="24"/>
                <w:szCs w:val="24"/>
                <w:highlight w:val="none"/>
              </w:rPr>
            </w:pPr>
            <w:r>
              <w:rPr>
                <w:rFonts w:hint="eastAsia" w:ascii="宋体" w:hAnsi="宋体" w:cs="宋体"/>
                <w:sz w:val="24"/>
                <w:szCs w:val="24"/>
                <w:highlight w:val="none"/>
              </w:rPr>
              <w:t>1.1.4</w:t>
            </w:r>
          </w:p>
        </w:tc>
        <w:tc>
          <w:tcPr>
            <w:tcW w:w="2345" w:type="dxa"/>
            <w:tcBorders>
              <w:top w:val="single" w:color="auto" w:sz="4" w:space="0"/>
              <w:left w:val="single" w:color="auto" w:sz="4" w:space="0"/>
              <w:bottom w:val="single" w:color="auto" w:sz="4" w:space="0"/>
              <w:right w:val="single" w:color="auto" w:sz="4" w:space="0"/>
            </w:tcBorders>
            <w:vAlign w:val="center"/>
          </w:tcPr>
          <w:p w14:paraId="763C5C37">
            <w:pPr>
              <w:spacing w:line="360" w:lineRule="auto"/>
              <w:rPr>
                <w:rFonts w:hint="eastAsia" w:ascii="宋体" w:hAnsi="宋体" w:cs="宋体"/>
                <w:sz w:val="24"/>
                <w:szCs w:val="24"/>
                <w:highlight w:val="none"/>
              </w:rPr>
            </w:pPr>
            <w:r>
              <w:rPr>
                <w:rFonts w:hint="eastAsia" w:ascii="宋体" w:hAnsi="宋体" w:cs="宋体"/>
                <w:sz w:val="24"/>
                <w:szCs w:val="24"/>
                <w:highlight w:val="none"/>
              </w:rPr>
              <w:t>招标项目名称</w:t>
            </w:r>
          </w:p>
        </w:tc>
        <w:tc>
          <w:tcPr>
            <w:tcW w:w="6096" w:type="dxa"/>
            <w:tcBorders>
              <w:top w:val="single" w:color="auto" w:sz="4" w:space="0"/>
              <w:left w:val="single" w:color="auto" w:sz="4" w:space="0"/>
              <w:bottom w:val="single" w:color="auto" w:sz="4" w:space="0"/>
              <w:right w:val="single" w:color="auto" w:sz="4" w:space="0"/>
            </w:tcBorders>
            <w:vAlign w:val="center"/>
          </w:tcPr>
          <w:p w14:paraId="1F628534">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花果山产业小镇综合配套工程建设项目土壤污染修复技术服务</w:t>
            </w:r>
          </w:p>
        </w:tc>
      </w:tr>
      <w:tr w14:paraId="09E62069">
        <w:tblPrEx>
          <w:tblCellMar>
            <w:top w:w="0" w:type="dxa"/>
            <w:left w:w="108" w:type="dxa"/>
            <w:bottom w:w="0" w:type="dxa"/>
            <w:right w:w="108" w:type="dxa"/>
          </w:tblCellMar>
        </w:tblPrEx>
        <w:trPr>
          <w:trHeight w:val="514" w:hRule="atLeast"/>
        </w:trPr>
        <w:tc>
          <w:tcPr>
            <w:tcW w:w="1165" w:type="dxa"/>
            <w:tcBorders>
              <w:top w:val="single" w:color="auto" w:sz="4" w:space="0"/>
              <w:left w:val="single" w:color="auto" w:sz="4" w:space="0"/>
              <w:bottom w:val="single" w:color="auto" w:sz="4" w:space="0"/>
              <w:right w:val="single" w:color="auto" w:sz="4" w:space="0"/>
            </w:tcBorders>
            <w:vAlign w:val="center"/>
          </w:tcPr>
          <w:p w14:paraId="7D634FE8">
            <w:pPr>
              <w:spacing w:line="360" w:lineRule="auto"/>
              <w:rPr>
                <w:rFonts w:hint="eastAsia" w:ascii="宋体" w:hAnsi="宋体" w:cs="宋体"/>
                <w:sz w:val="24"/>
                <w:szCs w:val="24"/>
                <w:highlight w:val="none"/>
              </w:rPr>
            </w:pPr>
            <w:r>
              <w:rPr>
                <w:rFonts w:hint="eastAsia" w:ascii="宋体" w:hAnsi="宋体" w:cs="宋体"/>
                <w:sz w:val="24"/>
                <w:szCs w:val="24"/>
                <w:highlight w:val="none"/>
              </w:rPr>
              <w:t>1.1.5</w:t>
            </w:r>
          </w:p>
        </w:tc>
        <w:tc>
          <w:tcPr>
            <w:tcW w:w="2345" w:type="dxa"/>
            <w:tcBorders>
              <w:top w:val="single" w:color="auto" w:sz="4" w:space="0"/>
              <w:left w:val="single" w:color="auto" w:sz="4" w:space="0"/>
              <w:bottom w:val="single" w:color="auto" w:sz="4" w:space="0"/>
              <w:right w:val="single" w:color="auto" w:sz="4" w:space="0"/>
            </w:tcBorders>
            <w:vAlign w:val="center"/>
          </w:tcPr>
          <w:p w14:paraId="2DDAB343">
            <w:pPr>
              <w:spacing w:line="360" w:lineRule="auto"/>
              <w:rPr>
                <w:rFonts w:hint="eastAsia" w:ascii="宋体" w:hAnsi="宋体" w:cs="宋体"/>
                <w:sz w:val="24"/>
                <w:szCs w:val="24"/>
                <w:highlight w:val="none"/>
              </w:rPr>
            </w:pPr>
            <w:r>
              <w:rPr>
                <w:rFonts w:hint="eastAsia" w:ascii="宋体" w:hAnsi="宋体" w:cs="宋体"/>
                <w:sz w:val="24"/>
                <w:szCs w:val="24"/>
                <w:highlight w:val="none"/>
              </w:rPr>
              <w:t>项目建设地点</w:t>
            </w:r>
          </w:p>
        </w:tc>
        <w:tc>
          <w:tcPr>
            <w:tcW w:w="6096" w:type="dxa"/>
            <w:tcBorders>
              <w:top w:val="single" w:color="auto" w:sz="4" w:space="0"/>
              <w:left w:val="single" w:color="auto" w:sz="4" w:space="0"/>
              <w:bottom w:val="single" w:color="auto" w:sz="4" w:space="0"/>
              <w:right w:val="single" w:color="auto" w:sz="4" w:space="0"/>
            </w:tcBorders>
            <w:vAlign w:val="center"/>
          </w:tcPr>
          <w:p w14:paraId="4BA3C4C0">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详见招标公告。</w:t>
            </w:r>
          </w:p>
        </w:tc>
      </w:tr>
      <w:tr w14:paraId="4B23BB64">
        <w:tblPrEx>
          <w:tblCellMar>
            <w:top w:w="0" w:type="dxa"/>
            <w:left w:w="108" w:type="dxa"/>
            <w:bottom w:w="0" w:type="dxa"/>
            <w:right w:w="108" w:type="dxa"/>
          </w:tblCellMar>
        </w:tblPrEx>
        <w:trPr>
          <w:trHeight w:val="551" w:hRule="atLeast"/>
        </w:trPr>
        <w:tc>
          <w:tcPr>
            <w:tcW w:w="1165" w:type="dxa"/>
            <w:tcBorders>
              <w:top w:val="single" w:color="auto" w:sz="4" w:space="0"/>
              <w:left w:val="single" w:color="auto" w:sz="4" w:space="0"/>
              <w:bottom w:val="single" w:color="auto" w:sz="4" w:space="0"/>
              <w:right w:val="single" w:color="auto" w:sz="4" w:space="0"/>
            </w:tcBorders>
            <w:vAlign w:val="center"/>
          </w:tcPr>
          <w:p w14:paraId="7FA62E02">
            <w:pPr>
              <w:spacing w:line="360" w:lineRule="auto"/>
              <w:rPr>
                <w:rFonts w:hint="eastAsia" w:ascii="宋体" w:hAnsi="宋体" w:cs="宋体"/>
                <w:sz w:val="24"/>
                <w:szCs w:val="24"/>
                <w:highlight w:val="none"/>
              </w:rPr>
            </w:pPr>
            <w:r>
              <w:rPr>
                <w:rFonts w:hint="eastAsia" w:ascii="宋体" w:hAnsi="宋体" w:cs="宋体"/>
                <w:sz w:val="24"/>
                <w:szCs w:val="24"/>
                <w:highlight w:val="none"/>
              </w:rPr>
              <w:t>1.1.6</w:t>
            </w:r>
          </w:p>
        </w:tc>
        <w:tc>
          <w:tcPr>
            <w:tcW w:w="2345" w:type="dxa"/>
            <w:tcBorders>
              <w:top w:val="single" w:color="auto" w:sz="4" w:space="0"/>
              <w:left w:val="single" w:color="auto" w:sz="4" w:space="0"/>
              <w:bottom w:val="single" w:color="auto" w:sz="4" w:space="0"/>
              <w:right w:val="single" w:color="auto" w:sz="4" w:space="0"/>
            </w:tcBorders>
            <w:vAlign w:val="center"/>
          </w:tcPr>
          <w:p w14:paraId="119D1E71">
            <w:pPr>
              <w:spacing w:line="360" w:lineRule="auto"/>
              <w:rPr>
                <w:rFonts w:hint="eastAsia" w:ascii="宋体" w:hAnsi="宋体" w:cs="宋体"/>
                <w:sz w:val="24"/>
                <w:szCs w:val="24"/>
                <w:highlight w:val="none"/>
              </w:rPr>
            </w:pPr>
            <w:r>
              <w:rPr>
                <w:rFonts w:hint="eastAsia" w:ascii="宋体" w:hAnsi="宋体" w:cs="宋体"/>
                <w:sz w:val="24"/>
                <w:szCs w:val="24"/>
                <w:highlight w:val="none"/>
              </w:rPr>
              <w:t>项目建设规模</w:t>
            </w:r>
          </w:p>
        </w:tc>
        <w:tc>
          <w:tcPr>
            <w:tcW w:w="6096" w:type="dxa"/>
            <w:tcBorders>
              <w:top w:val="single" w:color="auto" w:sz="4" w:space="0"/>
              <w:left w:val="single" w:color="auto" w:sz="4" w:space="0"/>
              <w:bottom w:val="single" w:color="auto" w:sz="4" w:space="0"/>
              <w:right w:val="single" w:color="auto" w:sz="4" w:space="0"/>
            </w:tcBorders>
            <w:vAlign w:val="center"/>
          </w:tcPr>
          <w:p w14:paraId="402DFFC9">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详见招标公告。</w:t>
            </w:r>
          </w:p>
        </w:tc>
      </w:tr>
      <w:tr w14:paraId="7E969C99">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D53307B">
            <w:pPr>
              <w:spacing w:line="360" w:lineRule="auto"/>
              <w:rPr>
                <w:rFonts w:hint="eastAsia" w:ascii="宋体" w:hAnsi="宋体" w:cs="宋体"/>
                <w:sz w:val="24"/>
                <w:szCs w:val="24"/>
                <w:highlight w:val="none"/>
              </w:rPr>
            </w:pPr>
            <w:r>
              <w:rPr>
                <w:rFonts w:hint="eastAsia" w:ascii="宋体" w:hAnsi="宋体" w:cs="宋体"/>
                <w:sz w:val="24"/>
                <w:szCs w:val="24"/>
                <w:highlight w:val="none"/>
              </w:rPr>
              <w:t>1.1.7</w:t>
            </w:r>
          </w:p>
        </w:tc>
        <w:tc>
          <w:tcPr>
            <w:tcW w:w="2345" w:type="dxa"/>
            <w:tcBorders>
              <w:top w:val="single" w:color="auto" w:sz="4" w:space="0"/>
              <w:left w:val="single" w:color="auto" w:sz="4" w:space="0"/>
              <w:bottom w:val="single" w:color="auto" w:sz="4" w:space="0"/>
              <w:right w:val="single" w:color="auto" w:sz="4" w:space="0"/>
            </w:tcBorders>
            <w:vAlign w:val="center"/>
          </w:tcPr>
          <w:p w14:paraId="2C46E059">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承包方式</w:t>
            </w:r>
          </w:p>
        </w:tc>
        <w:tc>
          <w:tcPr>
            <w:tcW w:w="6096" w:type="dxa"/>
            <w:tcBorders>
              <w:top w:val="single" w:color="auto" w:sz="4" w:space="0"/>
              <w:left w:val="single" w:color="auto" w:sz="4" w:space="0"/>
              <w:bottom w:val="single" w:color="auto" w:sz="4" w:space="0"/>
              <w:right w:val="single" w:color="auto" w:sz="4" w:space="0"/>
            </w:tcBorders>
            <w:vAlign w:val="center"/>
          </w:tcPr>
          <w:p w14:paraId="53B22755">
            <w:pPr>
              <w:snapToGrid w:val="0"/>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采用综合单价包干，工作内容和工作量以实际发生数量为准。与完成工作相关的其他一切费用（包括但不限于人工、材料、设备、专家咨询、交通、补贴、税费、规费及不可预见费用等），投标人请自行考虑一并计入综合单价中。</w:t>
            </w:r>
          </w:p>
        </w:tc>
      </w:tr>
      <w:tr w14:paraId="2B364F8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C09D8C1">
            <w:pPr>
              <w:spacing w:line="360" w:lineRule="auto"/>
              <w:rPr>
                <w:rFonts w:hint="eastAsia" w:ascii="宋体" w:hAnsi="宋体" w:cs="宋体"/>
                <w:sz w:val="24"/>
                <w:szCs w:val="24"/>
                <w:highlight w:val="none"/>
              </w:rPr>
            </w:pPr>
            <w:r>
              <w:rPr>
                <w:rFonts w:hint="eastAsia" w:ascii="宋体" w:hAnsi="宋体" w:cs="宋体"/>
                <w:sz w:val="24"/>
                <w:szCs w:val="24"/>
                <w:highlight w:val="none"/>
              </w:rPr>
              <w:t>1.2.1</w:t>
            </w:r>
          </w:p>
        </w:tc>
        <w:tc>
          <w:tcPr>
            <w:tcW w:w="2345" w:type="dxa"/>
            <w:tcBorders>
              <w:top w:val="single" w:color="auto" w:sz="4" w:space="0"/>
              <w:left w:val="single" w:color="auto" w:sz="4" w:space="0"/>
              <w:bottom w:val="single" w:color="auto" w:sz="4" w:space="0"/>
              <w:right w:val="single" w:color="auto" w:sz="4" w:space="0"/>
            </w:tcBorders>
            <w:vAlign w:val="center"/>
          </w:tcPr>
          <w:p w14:paraId="0CC6D6EC">
            <w:pPr>
              <w:spacing w:line="360" w:lineRule="auto"/>
              <w:rPr>
                <w:rFonts w:hint="eastAsia" w:ascii="宋体" w:hAnsi="宋体" w:cs="宋体"/>
                <w:sz w:val="24"/>
                <w:szCs w:val="24"/>
                <w:highlight w:val="none"/>
              </w:rPr>
            </w:pPr>
            <w:r>
              <w:rPr>
                <w:rFonts w:hint="eastAsia" w:ascii="宋体" w:hAnsi="宋体" w:cs="宋体"/>
                <w:sz w:val="24"/>
                <w:szCs w:val="24"/>
                <w:highlight w:val="none"/>
              </w:rPr>
              <w:t>资金来源及比例</w:t>
            </w:r>
          </w:p>
        </w:tc>
        <w:tc>
          <w:tcPr>
            <w:tcW w:w="6096" w:type="dxa"/>
            <w:tcBorders>
              <w:top w:val="single" w:color="auto" w:sz="4" w:space="0"/>
              <w:left w:val="single" w:color="auto" w:sz="4" w:space="0"/>
              <w:bottom w:val="single" w:color="auto" w:sz="4" w:space="0"/>
              <w:right w:val="single" w:color="auto" w:sz="4" w:space="0"/>
            </w:tcBorders>
            <w:vAlign w:val="center"/>
          </w:tcPr>
          <w:p w14:paraId="7A9F8247">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详见招标公告。</w:t>
            </w:r>
          </w:p>
        </w:tc>
      </w:tr>
      <w:tr w14:paraId="3BDE0F2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257ACD8">
            <w:pPr>
              <w:spacing w:line="360" w:lineRule="auto"/>
              <w:rPr>
                <w:rFonts w:hint="eastAsia" w:ascii="宋体" w:hAnsi="宋体" w:cs="宋体"/>
                <w:sz w:val="24"/>
                <w:szCs w:val="24"/>
                <w:highlight w:val="none"/>
              </w:rPr>
            </w:pPr>
            <w:r>
              <w:rPr>
                <w:rFonts w:hint="eastAsia" w:ascii="宋体" w:hAnsi="宋体" w:cs="宋体"/>
                <w:sz w:val="24"/>
                <w:szCs w:val="24"/>
                <w:highlight w:val="none"/>
              </w:rPr>
              <w:t>1.2.2</w:t>
            </w:r>
          </w:p>
        </w:tc>
        <w:tc>
          <w:tcPr>
            <w:tcW w:w="2345" w:type="dxa"/>
            <w:tcBorders>
              <w:top w:val="single" w:color="auto" w:sz="4" w:space="0"/>
              <w:left w:val="single" w:color="auto" w:sz="4" w:space="0"/>
              <w:bottom w:val="single" w:color="auto" w:sz="4" w:space="0"/>
              <w:right w:val="single" w:color="auto" w:sz="4" w:space="0"/>
            </w:tcBorders>
            <w:vAlign w:val="center"/>
          </w:tcPr>
          <w:p w14:paraId="76876612">
            <w:pPr>
              <w:spacing w:line="360" w:lineRule="auto"/>
              <w:rPr>
                <w:rFonts w:hint="eastAsia" w:ascii="宋体" w:hAnsi="宋体" w:cs="宋体"/>
                <w:sz w:val="24"/>
                <w:szCs w:val="24"/>
                <w:highlight w:val="none"/>
              </w:rPr>
            </w:pPr>
            <w:r>
              <w:rPr>
                <w:rFonts w:hint="eastAsia" w:ascii="宋体" w:hAnsi="宋体" w:cs="宋体"/>
                <w:sz w:val="24"/>
                <w:szCs w:val="24"/>
                <w:highlight w:val="none"/>
              </w:rPr>
              <w:t>资金落实情况</w:t>
            </w:r>
          </w:p>
        </w:tc>
        <w:tc>
          <w:tcPr>
            <w:tcW w:w="6096" w:type="dxa"/>
            <w:tcBorders>
              <w:top w:val="single" w:color="auto" w:sz="4" w:space="0"/>
              <w:left w:val="single" w:color="auto" w:sz="4" w:space="0"/>
              <w:bottom w:val="single" w:color="auto" w:sz="4" w:space="0"/>
              <w:right w:val="single" w:color="auto" w:sz="4" w:space="0"/>
            </w:tcBorders>
            <w:vAlign w:val="center"/>
          </w:tcPr>
          <w:p w14:paraId="561F40EC">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已落实。</w:t>
            </w:r>
          </w:p>
        </w:tc>
      </w:tr>
      <w:tr w14:paraId="6498F1C9">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7BFAE22">
            <w:pPr>
              <w:spacing w:line="360" w:lineRule="auto"/>
              <w:rPr>
                <w:rFonts w:hint="eastAsia" w:ascii="宋体" w:hAnsi="宋体" w:cs="宋体"/>
                <w:sz w:val="24"/>
                <w:szCs w:val="24"/>
                <w:highlight w:val="none"/>
              </w:rPr>
            </w:pPr>
            <w:r>
              <w:rPr>
                <w:rFonts w:hint="eastAsia" w:ascii="宋体" w:hAnsi="宋体" w:cs="宋体"/>
                <w:sz w:val="24"/>
                <w:szCs w:val="24"/>
                <w:highlight w:val="none"/>
              </w:rPr>
              <w:t>1.3.1</w:t>
            </w:r>
          </w:p>
        </w:tc>
        <w:tc>
          <w:tcPr>
            <w:tcW w:w="2345" w:type="dxa"/>
            <w:tcBorders>
              <w:top w:val="single" w:color="auto" w:sz="4" w:space="0"/>
              <w:left w:val="single" w:color="auto" w:sz="4" w:space="0"/>
              <w:bottom w:val="single" w:color="auto" w:sz="4" w:space="0"/>
              <w:right w:val="single" w:color="auto" w:sz="4" w:space="0"/>
            </w:tcBorders>
            <w:vAlign w:val="center"/>
          </w:tcPr>
          <w:p w14:paraId="6A846555">
            <w:pPr>
              <w:spacing w:line="360" w:lineRule="auto"/>
              <w:rPr>
                <w:rFonts w:hint="eastAsia" w:ascii="宋体" w:hAnsi="宋体" w:cs="宋体"/>
                <w:sz w:val="24"/>
                <w:szCs w:val="24"/>
                <w:highlight w:val="none"/>
              </w:rPr>
            </w:pPr>
            <w:r>
              <w:rPr>
                <w:rFonts w:hint="eastAsia" w:ascii="宋体" w:hAnsi="宋体" w:cs="宋体"/>
                <w:sz w:val="24"/>
                <w:szCs w:val="24"/>
                <w:highlight w:val="none"/>
              </w:rPr>
              <w:t>招标范围</w:t>
            </w:r>
          </w:p>
        </w:tc>
        <w:tc>
          <w:tcPr>
            <w:tcW w:w="6096" w:type="dxa"/>
            <w:tcBorders>
              <w:top w:val="single" w:color="auto" w:sz="4" w:space="0"/>
              <w:left w:val="single" w:color="auto" w:sz="4" w:space="0"/>
              <w:bottom w:val="single" w:color="auto" w:sz="4" w:space="0"/>
              <w:right w:val="single" w:color="auto" w:sz="4" w:space="0"/>
            </w:tcBorders>
            <w:vAlign w:val="center"/>
          </w:tcPr>
          <w:p w14:paraId="1987263B">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详见招标公告。</w:t>
            </w:r>
          </w:p>
        </w:tc>
      </w:tr>
      <w:tr w14:paraId="7544727D">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CE1C8DF">
            <w:pPr>
              <w:spacing w:line="360" w:lineRule="auto"/>
              <w:rPr>
                <w:rFonts w:hint="eastAsia" w:ascii="宋体" w:hAnsi="宋体" w:cs="宋体"/>
                <w:sz w:val="24"/>
                <w:szCs w:val="24"/>
                <w:highlight w:val="none"/>
              </w:rPr>
            </w:pPr>
            <w:r>
              <w:rPr>
                <w:rFonts w:hint="eastAsia" w:ascii="宋体" w:hAnsi="宋体" w:cs="宋体"/>
                <w:sz w:val="24"/>
                <w:szCs w:val="24"/>
                <w:highlight w:val="none"/>
              </w:rPr>
              <w:t>1.3.2</w:t>
            </w:r>
          </w:p>
        </w:tc>
        <w:tc>
          <w:tcPr>
            <w:tcW w:w="2345" w:type="dxa"/>
            <w:tcBorders>
              <w:top w:val="single" w:color="auto" w:sz="4" w:space="0"/>
              <w:left w:val="single" w:color="auto" w:sz="4" w:space="0"/>
              <w:bottom w:val="single" w:color="auto" w:sz="4" w:space="0"/>
              <w:right w:val="single" w:color="auto" w:sz="4" w:space="0"/>
            </w:tcBorders>
            <w:vAlign w:val="center"/>
          </w:tcPr>
          <w:p w14:paraId="34B40C42">
            <w:pPr>
              <w:spacing w:line="360" w:lineRule="auto"/>
              <w:rPr>
                <w:rFonts w:hint="eastAsia" w:ascii="宋体" w:hAnsi="宋体" w:cs="宋体"/>
                <w:sz w:val="24"/>
                <w:szCs w:val="24"/>
                <w:highlight w:val="none"/>
              </w:rPr>
            </w:pPr>
            <w:r>
              <w:rPr>
                <w:rFonts w:hint="eastAsia" w:ascii="宋体" w:hAnsi="宋体" w:cs="宋体"/>
                <w:sz w:val="24"/>
                <w:szCs w:val="24"/>
                <w:highlight w:val="none"/>
              </w:rPr>
              <w:t>服务期限</w:t>
            </w:r>
          </w:p>
        </w:tc>
        <w:tc>
          <w:tcPr>
            <w:tcW w:w="6096" w:type="dxa"/>
            <w:tcBorders>
              <w:top w:val="single" w:color="auto" w:sz="4" w:space="0"/>
              <w:left w:val="single" w:color="auto" w:sz="4" w:space="0"/>
              <w:bottom w:val="single" w:color="auto" w:sz="4" w:space="0"/>
              <w:right w:val="single" w:color="auto" w:sz="4" w:space="0"/>
            </w:tcBorders>
            <w:vAlign w:val="center"/>
          </w:tcPr>
          <w:p w14:paraId="3CC48FEE">
            <w:pPr>
              <w:spacing w:line="360" w:lineRule="auto"/>
              <w:ind w:right="107" w:rightChars="51"/>
              <w:rPr>
                <w:rFonts w:hint="eastAsia" w:ascii="宋体" w:hAnsi="宋体" w:cs="宋体"/>
                <w:sz w:val="24"/>
                <w:szCs w:val="24"/>
                <w:highlight w:val="none"/>
              </w:rPr>
            </w:pPr>
            <w:bookmarkStart w:id="4" w:name="OLE_LINK12"/>
            <w:r>
              <w:rPr>
                <w:rFonts w:hint="eastAsia" w:ascii="宋体" w:hAnsi="宋体" w:cs="宋体"/>
                <w:bCs/>
                <w:sz w:val="24"/>
                <w:szCs w:val="24"/>
                <w:highlight w:val="none"/>
              </w:rPr>
              <w:t>本项目施工总工期计划为</w:t>
            </w:r>
            <w:r>
              <w:rPr>
                <w:rFonts w:hint="eastAsia" w:ascii="宋体" w:hAnsi="宋体" w:cs="宋体"/>
                <w:bCs/>
                <w:sz w:val="24"/>
                <w:szCs w:val="24"/>
                <w:highlight w:val="none"/>
                <w:lang w:val="en-US" w:eastAsia="zh-CN"/>
              </w:rPr>
              <w:t>18</w:t>
            </w:r>
            <w:r>
              <w:rPr>
                <w:rFonts w:hint="eastAsia" w:ascii="宋体" w:hAnsi="宋体" w:cs="宋体"/>
                <w:bCs/>
                <w:sz w:val="24"/>
                <w:szCs w:val="24"/>
                <w:highlight w:val="none"/>
              </w:rPr>
              <w:t>个月（不含支护桩施工时间），计划2025年10月开工，</w:t>
            </w:r>
            <w:bookmarkStart w:id="547" w:name="_GoBack"/>
            <w:r>
              <w:rPr>
                <w:rFonts w:hint="eastAsia" w:ascii="宋体" w:hAnsi="宋体" w:cs="宋体"/>
                <w:bCs/>
                <w:sz w:val="24"/>
                <w:szCs w:val="24"/>
                <w:highlight w:val="none"/>
              </w:rPr>
              <w:t>2027年</w:t>
            </w:r>
            <w:bookmarkEnd w:id="547"/>
            <w:r>
              <w:rPr>
                <w:rFonts w:hint="eastAsia" w:ascii="宋体" w:hAnsi="宋体" w:cs="宋体"/>
                <w:bCs/>
                <w:sz w:val="24"/>
                <w:szCs w:val="24"/>
                <w:highlight w:val="none"/>
                <w:lang w:val="en-US" w:eastAsia="zh-CN"/>
              </w:rPr>
              <w:t>4</w:t>
            </w:r>
            <w:r>
              <w:rPr>
                <w:rFonts w:hint="eastAsia" w:ascii="宋体" w:hAnsi="宋体" w:cs="宋体"/>
                <w:bCs/>
                <w:sz w:val="24"/>
                <w:szCs w:val="24"/>
                <w:highlight w:val="none"/>
              </w:rPr>
              <w:t>月完工移交。</w:t>
            </w:r>
            <w:bookmarkEnd w:id="4"/>
          </w:p>
        </w:tc>
      </w:tr>
      <w:tr w14:paraId="4B5696A4">
        <w:tblPrEx>
          <w:tblCellMar>
            <w:top w:w="0" w:type="dxa"/>
            <w:left w:w="108" w:type="dxa"/>
            <w:bottom w:w="0" w:type="dxa"/>
            <w:right w:w="108" w:type="dxa"/>
          </w:tblCellMar>
        </w:tblPrEx>
        <w:trPr>
          <w:trHeight w:val="372" w:hRule="atLeast"/>
        </w:trPr>
        <w:tc>
          <w:tcPr>
            <w:tcW w:w="1165" w:type="dxa"/>
            <w:tcBorders>
              <w:top w:val="single" w:color="auto" w:sz="4" w:space="0"/>
              <w:left w:val="single" w:color="auto" w:sz="4" w:space="0"/>
              <w:bottom w:val="single" w:color="auto" w:sz="4" w:space="0"/>
              <w:right w:val="single" w:color="auto" w:sz="4" w:space="0"/>
            </w:tcBorders>
            <w:vAlign w:val="center"/>
          </w:tcPr>
          <w:p w14:paraId="64D360CE">
            <w:pPr>
              <w:spacing w:line="360" w:lineRule="auto"/>
              <w:rPr>
                <w:rFonts w:hint="eastAsia" w:ascii="宋体" w:hAnsi="宋体" w:cs="宋体"/>
                <w:sz w:val="24"/>
                <w:szCs w:val="24"/>
                <w:highlight w:val="none"/>
              </w:rPr>
            </w:pPr>
            <w:r>
              <w:rPr>
                <w:rFonts w:hint="eastAsia" w:ascii="宋体" w:hAnsi="宋体" w:cs="宋体"/>
                <w:sz w:val="24"/>
                <w:szCs w:val="24"/>
                <w:highlight w:val="none"/>
              </w:rPr>
              <w:t>1.3.3</w:t>
            </w:r>
          </w:p>
        </w:tc>
        <w:tc>
          <w:tcPr>
            <w:tcW w:w="2345" w:type="dxa"/>
            <w:tcBorders>
              <w:top w:val="single" w:color="auto" w:sz="4" w:space="0"/>
              <w:left w:val="single" w:color="auto" w:sz="4" w:space="0"/>
              <w:bottom w:val="single" w:color="auto" w:sz="4" w:space="0"/>
              <w:right w:val="single" w:color="auto" w:sz="4" w:space="0"/>
            </w:tcBorders>
            <w:vAlign w:val="center"/>
          </w:tcPr>
          <w:p w14:paraId="0DCE1867">
            <w:pPr>
              <w:spacing w:line="360" w:lineRule="auto"/>
              <w:rPr>
                <w:rFonts w:hint="eastAsia" w:ascii="宋体" w:hAnsi="宋体" w:cs="宋体"/>
                <w:sz w:val="24"/>
                <w:szCs w:val="24"/>
                <w:highlight w:val="none"/>
              </w:rPr>
            </w:pPr>
            <w:r>
              <w:rPr>
                <w:rFonts w:hint="eastAsia" w:ascii="宋体" w:hAnsi="宋体" w:cs="宋体"/>
                <w:sz w:val="24"/>
                <w:szCs w:val="24"/>
                <w:highlight w:val="none"/>
              </w:rPr>
              <w:t>质量标准</w:t>
            </w:r>
          </w:p>
        </w:tc>
        <w:tc>
          <w:tcPr>
            <w:tcW w:w="6096" w:type="dxa"/>
            <w:tcBorders>
              <w:top w:val="single" w:color="auto" w:sz="4" w:space="0"/>
              <w:left w:val="single" w:color="auto" w:sz="4" w:space="0"/>
              <w:bottom w:val="single" w:color="auto" w:sz="4" w:space="0"/>
              <w:right w:val="single" w:color="auto" w:sz="4" w:space="0"/>
            </w:tcBorders>
            <w:vAlign w:val="center"/>
          </w:tcPr>
          <w:p w14:paraId="4E3AC97E">
            <w:pPr>
              <w:widowControl/>
              <w:spacing w:line="360" w:lineRule="auto"/>
              <w:ind w:right="107" w:rightChars="51"/>
              <w:jc w:val="left"/>
              <w:rPr>
                <w:rFonts w:hint="eastAsia" w:ascii="宋体" w:hAnsi="宋体" w:cs="宋体"/>
                <w:sz w:val="24"/>
                <w:szCs w:val="24"/>
                <w:highlight w:val="none"/>
                <w:u w:val="single"/>
              </w:rPr>
            </w:pPr>
            <w:r>
              <w:rPr>
                <w:rFonts w:hint="eastAsia" w:ascii="宋体" w:hAnsi="宋体" w:cs="宋体"/>
                <w:bCs/>
                <w:sz w:val="24"/>
                <w:szCs w:val="24"/>
                <w:highlight w:val="none"/>
              </w:rPr>
              <w:t>移出建设用地土壤污染风险管控和修复名录清单，取得有关生态环境主管部门批准选址涉及该污染地块的建设项目环境影响报告书或者报告表。</w:t>
            </w:r>
          </w:p>
        </w:tc>
      </w:tr>
      <w:tr w14:paraId="3D937D3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69A98AE">
            <w:pPr>
              <w:spacing w:line="360" w:lineRule="auto"/>
              <w:rPr>
                <w:rFonts w:hint="eastAsia" w:ascii="宋体" w:hAnsi="宋体" w:cs="宋体"/>
                <w:sz w:val="24"/>
                <w:szCs w:val="24"/>
                <w:highlight w:val="none"/>
              </w:rPr>
            </w:pPr>
            <w:r>
              <w:rPr>
                <w:rFonts w:hint="eastAsia" w:ascii="宋体" w:hAnsi="宋体" w:cs="宋体"/>
                <w:sz w:val="24"/>
                <w:szCs w:val="24"/>
                <w:highlight w:val="none"/>
              </w:rPr>
              <w:t>1.4.1</w:t>
            </w:r>
          </w:p>
        </w:tc>
        <w:tc>
          <w:tcPr>
            <w:tcW w:w="2345" w:type="dxa"/>
            <w:tcBorders>
              <w:top w:val="single" w:color="auto" w:sz="4" w:space="0"/>
              <w:left w:val="single" w:color="auto" w:sz="4" w:space="0"/>
              <w:bottom w:val="single" w:color="auto" w:sz="4" w:space="0"/>
              <w:right w:val="single" w:color="auto" w:sz="4" w:space="0"/>
            </w:tcBorders>
            <w:vAlign w:val="center"/>
          </w:tcPr>
          <w:p w14:paraId="03D2AE6C">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投标人资质条件、能力、信誉</w:t>
            </w:r>
          </w:p>
        </w:tc>
        <w:tc>
          <w:tcPr>
            <w:tcW w:w="6096" w:type="dxa"/>
            <w:tcBorders>
              <w:top w:val="single" w:color="auto" w:sz="4" w:space="0"/>
              <w:left w:val="single" w:color="auto" w:sz="4" w:space="0"/>
              <w:bottom w:val="single" w:color="auto" w:sz="4" w:space="0"/>
              <w:right w:val="single" w:color="auto" w:sz="4" w:space="0"/>
            </w:tcBorders>
            <w:vAlign w:val="center"/>
          </w:tcPr>
          <w:p w14:paraId="658D7E7D">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（1）资质要求：</w:t>
            </w:r>
            <w:r>
              <w:rPr>
                <w:rFonts w:hint="eastAsia" w:ascii="宋体" w:hAnsi="宋体" w:cs="宋体"/>
                <w:sz w:val="24"/>
                <w:szCs w:val="24"/>
                <w:highlight w:val="none"/>
                <w:u w:val="single"/>
              </w:rPr>
              <w:t>见招标公告投标人资格要求；</w:t>
            </w:r>
          </w:p>
          <w:p w14:paraId="5E448F1E">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（2）项目负责人要求：</w:t>
            </w:r>
            <w:r>
              <w:rPr>
                <w:rFonts w:hint="eastAsia" w:ascii="宋体" w:hAnsi="宋体" w:cs="宋体"/>
                <w:sz w:val="24"/>
                <w:szCs w:val="24"/>
                <w:highlight w:val="none"/>
                <w:u w:val="single"/>
              </w:rPr>
              <w:t>见招标公告投标人资格要求；</w:t>
            </w:r>
          </w:p>
          <w:p w14:paraId="02EB8254">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（3）其他要求：</w:t>
            </w:r>
            <w:r>
              <w:rPr>
                <w:rFonts w:hint="eastAsia" w:ascii="宋体" w:hAnsi="宋体" w:cs="宋体"/>
                <w:sz w:val="24"/>
                <w:szCs w:val="24"/>
                <w:highlight w:val="none"/>
                <w:u w:val="single"/>
              </w:rPr>
              <w:t>见招标公告投标人资格要求。</w:t>
            </w:r>
          </w:p>
        </w:tc>
      </w:tr>
      <w:tr w14:paraId="5D77A91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0BAD9BF">
            <w:pPr>
              <w:spacing w:line="360" w:lineRule="auto"/>
              <w:rPr>
                <w:rFonts w:hint="eastAsia" w:ascii="宋体" w:hAnsi="宋体" w:cs="宋体"/>
                <w:sz w:val="24"/>
                <w:szCs w:val="24"/>
                <w:highlight w:val="none"/>
              </w:rPr>
            </w:pPr>
            <w:r>
              <w:rPr>
                <w:rFonts w:hint="eastAsia" w:ascii="宋体" w:hAnsi="宋体" w:cs="宋体"/>
                <w:sz w:val="24"/>
                <w:szCs w:val="24"/>
                <w:highlight w:val="none"/>
              </w:rPr>
              <w:t>1.4.2</w:t>
            </w:r>
          </w:p>
        </w:tc>
        <w:tc>
          <w:tcPr>
            <w:tcW w:w="2345" w:type="dxa"/>
            <w:tcBorders>
              <w:top w:val="single" w:color="auto" w:sz="4" w:space="0"/>
              <w:left w:val="single" w:color="auto" w:sz="4" w:space="0"/>
              <w:bottom w:val="single" w:color="auto" w:sz="4" w:space="0"/>
              <w:right w:val="single" w:color="auto" w:sz="4" w:space="0"/>
            </w:tcBorders>
            <w:vAlign w:val="center"/>
          </w:tcPr>
          <w:p w14:paraId="632B50AE">
            <w:pPr>
              <w:spacing w:line="360" w:lineRule="auto"/>
              <w:rPr>
                <w:rFonts w:hint="eastAsia" w:ascii="宋体" w:hAnsi="宋体" w:cs="宋体"/>
                <w:sz w:val="24"/>
                <w:szCs w:val="24"/>
                <w:highlight w:val="none"/>
              </w:rPr>
            </w:pPr>
            <w:r>
              <w:rPr>
                <w:rFonts w:hint="eastAsia" w:ascii="宋体" w:hAnsi="宋体" w:cs="宋体"/>
                <w:sz w:val="24"/>
                <w:szCs w:val="24"/>
                <w:highlight w:val="none"/>
              </w:rPr>
              <w:t>是否接受联合体投标</w:t>
            </w:r>
          </w:p>
        </w:tc>
        <w:tc>
          <w:tcPr>
            <w:tcW w:w="6096" w:type="dxa"/>
            <w:tcBorders>
              <w:top w:val="single" w:color="auto" w:sz="4" w:space="0"/>
              <w:left w:val="single" w:color="auto" w:sz="4" w:space="0"/>
              <w:bottom w:val="single" w:color="auto" w:sz="4" w:space="0"/>
              <w:right w:val="single" w:color="auto" w:sz="4" w:space="0"/>
            </w:tcBorders>
            <w:vAlign w:val="center"/>
          </w:tcPr>
          <w:p w14:paraId="718842B5">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■不接受</w:t>
            </w:r>
          </w:p>
          <w:p w14:paraId="49AECBF7">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□接受，应满足下列要求：</w:t>
            </w:r>
            <w:r>
              <w:rPr>
                <w:rFonts w:hint="eastAsia" w:ascii="宋体" w:hAnsi="宋体" w:cs="宋体"/>
                <w:sz w:val="24"/>
                <w:szCs w:val="24"/>
                <w:highlight w:val="none"/>
                <w:u w:val="single"/>
              </w:rPr>
              <w:t>/。</w:t>
            </w:r>
          </w:p>
        </w:tc>
      </w:tr>
      <w:tr w14:paraId="54B073A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7F72646">
            <w:pPr>
              <w:spacing w:line="360" w:lineRule="auto"/>
              <w:rPr>
                <w:rFonts w:hint="eastAsia" w:ascii="宋体" w:hAnsi="宋体" w:cs="宋体"/>
                <w:sz w:val="24"/>
                <w:szCs w:val="24"/>
                <w:highlight w:val="none"/>
              </w:rPr>
            </w:pPr>
            <w:r>
              <w:rPr>
                <w:rFonts w:hint="eastAsia" w:ascii="宋体" w:hAnsi="宋体" w:cs="宋体"/>
                <w:sz w:val="24"/>
                <w:szCs w:val="24"/>
                <w:highlight w:val="none"/>
              </w:rPr>
              <w:t>1.4.3</w:t>
            </w:r>
          </w:p>
        </w:tc>
        <w:tc>
          <w:tcPr>
            <w:tcW w:w="2345" w:type="dxa"/>
            <w:tcBorders>
              <w:top w:val="single" w:color="auto" w:sz="4" w:space="0"/>
              <w:left w:val="single" w:color="auto" w:sz="4" w:space="0"/>
              <w:bottom w:val="single" w:color="auto" w:sz="4" w:space="0"/>
              <w:right w:val="single" w:color="auto" w:sz="4" w:space="0"/>
            </w:tcBorders>
            <w:vAlign w:val="center"/>
          </w:tcPr>
          <w:p w14:paraId="5991CFDC">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投标人不得存在的其他情形</w:t>
            </w:r>
          </w:p>
        </w:tc>
        <w:tc>
          <w:tcPr>
            <w:tcW w:w="6096" w:type="dxa"/>
            <w:tcBorders>
              <w:top w:val="single" w:color="auto" w:sz="4" w:space="0"/>
              <w:left w:val="single" w:color="auto" w:sz="4" w:space="0"/>
              <w:bottom w:val="single" w:color="auto" w:sz="4" w:space="0"/>
              <w:right w:val="single" w:color="auto" w:sz="4" w:space="0"/>
            </w:tcBorders>
            <w:vAlign w:val="center"/>
          </w:tcPr>
          <w:p w14:paraId="5F3A3261">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w:t>
            </w:r>
          </w:p>
        </w:tc>
      </w:tr>
      <w:tr w14:paraId="668C15CD">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9711860">
            <w:pPr>
              <w:spacing w:line="360" w:lineRule="auto"/>
              <w:rPr>
                <w:rFonts w:hint="eastAsia" w:ascii="宋体" w:hAnsi="宋体" w:cs="宋体"/>
                <w:sz w:val="24"/>
                <w:szCs w:val="24"/>
                <w:highlight w:val="none"/>
              </w:rPr>
            </w:pPr>
            <w:r>
              <w:rPr>
                <w:rFonts w:hint="eastAsia" w:ascii="宋体" w:hAnsi="宋体" w:cs="宋体"/>
                <w:sz w:val="24"/>
                <w:szCs w:val="24"/>
                <w:highlight w:val="none"/>
              </w:rPr>
              <w:t>1.9.1</w:t>
            </w:r>
          </w:p>
        </w:tc>
        <w:tc>
          <w:tcPr>
            <w:tcW w:w="2345" w:type="dxa"/>
            <w:tcBorders>
              <w:top w:val="single" w:color="auto" w:sz="4" w:space="0"/>
              <w:left w:val="single" w:color="auto" w:sz="4" w:space="0"/>
              <w:bottom w:val="single" w:color="auto" w:sz="4" w:space="0"/>
              <w:right w:val="single" w:color="auto" w:sz="4" w:space="0"/>
            </w:tcBorders>
            <w:vAlign w:val="center"/>
          </w:tcPr>
          <w:p w14:paraId="4DAF5CAC">
            <w:pPr>
              <w:spacing w:line="360" w:lineRule="auto"/>
              <w:rPr>
                <w:rFonts w:hint="eastAsia" w:ascii="宋体" w:hAnsi="宋体" w:cs="宋体"/>
                <w:sz w:val="24"/>
                <w:szCs w:val="24"/>
                <w:highlight w:val="none"/>
              </w:rPr>
            </w:pPr>
            <w:r>
              <w:rPr>
                <w:rFonts w:hint="eastAsia" w:ascii="宋体" w:hAnsi="宋体" w:cs="宋体"/>
                <w:sz w:val="24"/>
                <w:szCs w:val="24"/>
                <w:highlight w:val="none"/>
              </w:rPr>
              <w:t>踏勘现场</w:t>
            </w:r>
          </w:p>
        </w:tc>
        <w:tc>
          <w:tcPr>
            <w:tcW w:w="6096" w:type="dxa"/>
            <w:tcBorders>
              <w:top w:val="single" w:color="auto" w:sz="4" w:space="0"/>
              <w:left w:val="single" w:color="auto" w:sz="4" w:space="0"/>
              <w:bottom w:val="single" w:color="auto" w:sz="4" w:space="0"/>
              <w:right w:val="single" w:color="auto" w:sz="4" w:space="0"/>
            </w:tcBorders>
            <w:vAlign w:val="center"/>
          </w:tcPr>
          <w:p w14:paraId="647A5EED">
            <w:pPr>
              <w:topLinePunct/>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rPr>
              <w:t>■不组织</w:t>
            </w:r>
            <w:r>
              <w:rPr>
                <w:rFonts w:hint="eastAsia" w:ascii="宋体" w:hAnsi="宋体" w:cs="宋体"/>
                <w:sz w:val="24"/>
                <w:szCs w:val="24"/>
                <w:highlight w:val="none"/>
                <w:u w:val="single"/>
              </w:rPr>
              <w:t>，由投标人自行现场考察。</w:t>
            </w:r>
          </w:p>
          <w:p w14:paraId="363089AF">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□组织，踏勘时间：</w:t>
            </w:r>
            <w:r>
              <w:rPr>
                <w:rFonts w:hint="eastAsia" w:ascii="宋体" w:hAnsi="宋体" w:cs="宋体"/>
                <w:sz w:val="24"/>
                <w:szCs w:val="24"/>
                <w:highlight w:val="none"/>
                <w:u w:val="single"/>
              </w:rPr>
              <w:t>/</w:t>
            </w:r>
          </w:p>
          <w:p w14:paraId="49F87B4B">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踏勘集中地点：</w:t>
            </w:r>
            <w:r>
              <w:rPr>
                <w:rFonts w:hint="eastAsia" w:ascii="宋体" w:hAnsi="宋体" w:cs="宋体"/>
                <w:sz w:val="24"/>
                <w:szCs w:val="24"/>
                <w:highlight w:val="none"/>
                <w:u w:val="single"/>
              </w:rPr>
              <w:t>/</w:t>
            </w:r>
          </w:p>
        </w:tc>
      </w:tr>
      <w:tr w14:paraId="4490EDA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0865AB24">
            <w:pPr>
              <w:spacing w:line="360" w:lineRule="auto"/>
              <w:rPr>
                <w:rFonts w:hint="eastAsia" w:ascii="宋体" w:hAnsi="宋体" w:cs="宋体"/>
                <w:sz w:val="24"/>
                <w:szCs w:val="24"/>
                <w:highlight w:val="none"/>
              </w:rPr>
            </w:pPr>
            <w:r>
              <w:rPr>
                <w:rFonts w:hint="eastAsia" w:ascii="宋体" w:hAnsi="宋体" w:cs="宋体"/>
                <w:sz w:val="24"/>
                <w:szCs w:val="24"/>
                <w:highlight w:val="none"/>
              </w:rPr>
              <w:t>1.10.1</w:t>
            </w:r>
          </w:p>
        </w:tc>
        <w:tc>
          <w:tcPr>
            <w:tcW w:w="2345" w:type="dxa"/>
            <w:tcBorders>
              <w:top w:val="single" w:color="auto" w:sz="4" w:space="0"/>
              <w:left w:val="single" w:color="auto" w:sz="4" w:space="0"/>
              <w:bottom w:val="single" w:color="auto" w:sz="4" w:space="0"/>
              <w:right w:val="single" w:color="auto" w:sz="4" w:space="0"/>
            </w:tcBorders>
            <w:vAlign w:val="center"/>
          </w:tcPr>
          <w:p w14:paraId="056BB286">
            <w:pPr>
              <w:spacing w:line="360" w:lineRule="auto"/>
              <w:rPr>
                <w:rFonts w:hint="eastAsia" w:ascii="宋体" w:hAnsi="宋体" w:cs="宋体"/>
                <w:sz w:val="24"/>
                <w:szCs w:val="24"/>
                <w:highlight w:val="none"/>
              </w:rPr>
            </w:pPr>
            <w:r>
              <w:rPr>
                <w:rFonts w:hint="eastAsia" w:ascii="宋体" w:hAnsi="宋体" w:cs="宋体"/>
                <w:sz w:val="24"/>
                <w:szCs w:val="24"/>
                <w:highlight w:val="none"/>
              </w:rPr>
              <w:t>投标预备会</w:t>
            </w:r>
          </w:p>
        </w:tc>
        <w:tc>
          <w:tcPr>
            <w:tcW w:w="6096" w:type="dxa"/>
            <w:tcBorders>
              <w:top w:val="single" w:color="auto" w:sz="4" w:space="0"/>
              <w:left w:val="single" w:color="auto" w:sz="4" w:space="0"/>
              <w:bottom w:val="single" w:color="auto" w:sz="4" w:space="0"/>
              <w:right w:val="single" w:color="auto" w:sz="4" w:space="0"/>
            </w:tcBorders>
            <w:vAlign w:val="center"/>
          </w:tcPr>
          <w:p w14:paraId="0C8C21F9">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■不召开</w:t>
            </w:r>
          </w:p>
          <w:p w14:paraId="1615D57C">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□召开，召开时间：</w:t>
            </w:r>
            <w:r>
              <w:rPr>
                <w:rFonts w:hint="eastAsia" w:ascii="宋体" w:hAnsi="宋体" w:cs="宋体"/>
                <w:sz w:val="24"/>
                <w:szCs w:val="24"/>
                <w:highlight w:val="none"/>
                <w:u w:val="single"/>
              </w:rPr>
              <w:t>/</w:t>
            </w:r>
          </w:p>
          <w:p w14:paraId="3C3B6448">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召开地点：</w:t>
            </w:r>
            <w:r>
              <w:rPr>
                <w:rFonts w:hint="eastAsia" w:ascii="宋体" w:hAnsi="宋体" w:cs="宋体"/>
                <w:sz w:val="24"/>
                <w:szCs w:val="24"/>
                <w:highlight w:val="none"/>
                <w:u w:val="single"/>
              </w:rPr>
              <w:t>/</w:t>
            </w:r>
          </w:p>
        </w:tc>
      </w:tr>
      <w:tr w14:paraId="1EC7D420">
        <w:tblPrEx>
          <w:tblCellMar>
            <w:top w:w="0" w:type="dxa"/>
            <w:left w:w="108" w:type="dxa"/>
            <w:bottom w:w="0" w:type="dxa"/>
            <w:right w:w="108" w:type="dxa"/>
          </w:tblCellMar>
        </w:tblPrEx>
        <w:tc>
          <w:tcPr>
            <w:tcW w:w="1165" w:type="dxa"/>
            <w:vMerge w:val="restart"/>
            <w:tcBorders>
              <w:top w:val="single" w:color="auto" w:sz="4" w:space="0"/>
              <w:left w:val="single" w:color="auto" w:sz="4" w:space="0"/>
              <w:right w:val="single" w:color="auto" w:sz="4" w:space="0"/>
            </w:tcBorders>
            <w:vAlign w:val="center"/>
          </w:tcPr>
          <w:p w14:paraId="31117EB8">
            <w:pPr>
              <w:spacing w:line="360" w:lineRule="auto"/>
              <w:rPr>
                <w:rFonts w:hint="eastAsia" w:ascii="宋体" w:hAnsi="宋体" w:cs="宋体"/>
                <w:sz w:val="24"/>
                <w:szCs w:val="24"/>
                <w:highlight w:val="none"/>
              </w:rPr>
            </w:pPr>
            <w:r>
              <w:rPr>
                <w:rFonts w:hint="eastAsia" w:ascii="宋体" w:hAnsi="宋体" w:cs="宋体"/>
                <w:sz w:val="24"/>
                <w:szCs w:val="24"/>
                <w:highlight w:val="none"/>
              </w:rPr>
              <w:t>1.10.2</w:t>
            </w:r>
          </w:p>
        </w:tc>
        <w:tc>
          <w:tcPr>
            <w:tcW w:w="2345" w:type="dxa"/>
            <w:vMerge w:val="restart"/>
            <w:tcBorders>
              <w:top w:val="single" w:color="auto" w:sz="4" w:space="0"/>
              <w:left w:val="single" w:color="auto" w:sz="4" w:space="0"/>
              <w:right w:val="single" w:color="auto" w:sz="4" w:space="0"/>
            </w:tcBorders>
            <w:vAlign w:val="center"/>
          </w:tcPr>
          <w:p w14:paraId="66ED51CE">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投标人在投标预备会前提出问题</w:t>
            </w:r>
          </w:p>
        </w:tc>
        <w:tc>
          <w:tcPr>
            <w:tcW w:w="6096" w:type="dxa"/>
            <w:tcBorders>
              <w:top w:val="single" w:color="auto" w:sz="4" w:space="0"/>
              <w:left w:val="single" w:color="auto" w:sz="4" w:space="0"/>
              <w:bottom w:val="single" w:color="auto" w:sz="4" w:space="0"/>
              <w:right w:val="single" w:color="auto" w:sz="4" w:space="0"/>
            </w:tcBorders>
            <w:vAlign w:val="center"/>
          </w:tcPr>
          <w:p w14:paraId="4D5E2949">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时间：</w:t>
            </w:r>
            <w:r>
              <w:rPr>
                <w:rFonts w:hint="eastAsia" w:ascii="宋体" w:hAnsi="宋体" w:cs="宋体"/>
                <w:sz w:val="24"/>
                <w:szCs w:val="24"/>
                <w:highlight w:val="none"/>
                <w:u w:val="single"/>
              </w:rPr>
              <w:t>/</w:t>
            </w:r>
          </w:p>
        </w:tc>
      </w:tr>
      <w:tr w14:paraId="223F421A">
        <w:tblPrEx>
          <w:tblCellMar>
            <w:top w:w="0" w:type="dxa"/>
            <w:left w:w="108" w:type="dxa"/>
            <w:bottom w:w="0" w:type="dxa"/>
            <w:right w:w="108" w:type="dxa"/>
          </w:tblCellMar>
        </w:tblPrEx>
        <w:tc>
          <w:tcPr>
            <w:tcW w:w="1165" w:type="dxa"/>
            <w:vMerge w:val="continue"/>
            <w:tcBorders>
              <w:left w:val="single" w:color="auto" w:sz="4" w:space="0"/>
              <w:bottom w:val="single" w:color="auto" w:sz="4" w:space="0"/>
              <w:right w:val="single" w:color="auto" w:sz="4" w:space="0"/>
            </w:tcBorders>
            <w:vAlign w:val="center"/>
          </w:tcPr>
          <w:p w14:paraId="5EAD184D">
            <w:pPr>
              <w:spacing w:line="360" w:lineRule="auto"/>
              <w:rPr>
                <w:rFonts w:hint="eastAsia" w:ascii="宋体" w:hAnsi="宋体" w:cs="宋体"/>
                <w:sz w:val="24"/>
                <w:szCs w:val="24"/>
                <w:highlight w:val="none"/>
              </w:rPr>
            </w:pPr>
          </w:p>
        </w:tc>
        <w:tc>
          <w:tcPr>
            <w:tcW w:w="2345" w:type="dxa"/>
            <w:vMerge w:val="continue"/>
            <w:tcBorders>
              <w:left w:val="single" w:color="auto" w:sz="4" w:space="0"/>
              <w:bottom w:val="single" w:color="auto" w:sz="4" w:space="0"/>
              <w:right w:val="single" w:color="auto" w:sz="4" w:space="0"/>
            </w:tcBorders>
            <w:vAlign w:val="center"/>
          </w:tcPr>
          <w:p w14:paraId="09B00F7B">
            <w:pPr>
              <w:spacing w:line="360" w:lineRule="auto"/>
              <w:rPr>
                <w:rFonts w:hint="eastAsia" w:ascii="宋体" w:hAnsi="宋体" w:cs="宋体"/>
                <w:sz w:val="24"/>
                <w:szCs w:val="24"/>
                <w:highlight w:val="none"/>
              </w:rPr>
            </w:pPr>
          </w:p>
        </w:tc>
        <w:tc>
          <w:tcPr>
            <w:tcW w:w="6096" w:type="dxa"/>
            <w:tcBorders>
              <w:top w:val="single" w:color="auto" w:sz="4" w:space="0"/>
              <w:left w:val="single" w:color="auto" w:sz="4" w:space="0"/>
              <w:bottom w:val="single" w:color="auto" w:sz="4" w:space="0"/>
              <w:right w:val="single" w:color="auto" w:sz="4" w:space="0"/>
            </w:tcBorders>
            <w:vAlign w:val="center"/>
          </w:tcPr>
          <w:p w14:paraId="6074B56D">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形式：</w:t>
            </w:r>
            <w:r>
              <w:rPr>
                <w:rFonts w:hint="eastAsia" w:ascii="宋体" w:hAnsi="宋体" w:cs="宋体"/>
                <w:sz w:val="24"/>
                <w:szCs w:val="24"/>
                <w:highlight w:val="none"/>
                <w:u w:val="single"/>
              </w:rPr>
              <w:t>/</w:t>
            </w:r>
          </w:p>
        </w:tc>
      </w:tr>
      <w:tr w14:paraId="5C6BFC3F">
        <w:tblPrEx>
          <w:tblCellMar>
            <w:top w:w="0" w:type="dxa"/>
            <w:left w:w="108" w:type="dxa"/>
            <w:bottom w:w="0" w:type="dxa"/>
            <w:right w:w="108" w:type="dxa"/>
          </w:tblCellMar>
        </w:tblPrEx>
        <w:tc>
          <w:tcPr>
            <w:tcW w:w="1165" w:type="dxa"/>
            <w:tcBorders>
              <w:left w:val="single" w:color="auto" w:sz="4" w:space="0"/>
              <w:bottom w:val="single" w:color="auto" w:sz="4" w:space="0"/>
              <w:right w:val="single" w:color="auto" w:sz="4" w:space="0"/>
            </w:tcBorders>
            <w:vAlign w:val="center"/>
          </w:tcPr>
          <w:p w14:paraId="218700F9">
            <w:pPr>
              <w:spacing w:line="360" w:lineRule="auto"/>
              <w:rPr>
                <w:rFonts w:hint="eastAsia" w:ascii="宋体" w:hAnsi="宋体" w:cs="宋体"/>
                <w:sz w:val="24"/>
                <w:szCs w:val="24"/>
                <w:highlight w:val="none"/>
              </w:rPr>
            </w:pPr>
            <w:r>
              <w:rPr>
                <w:rFonts w:hint="eastAsia" w:ascii="宋体" w:hAnsi="宋体" w:cs="宋体"/>
                <w:sz w:val="24"/>
                <w:szCs w:val="24"/>
                <w:highlight w:val="none"/>
              </w:rPr>
              <w:t>1.10.3</w:t>
            </w:r>
          </w:p>
        </w:tc>
        <w:tc>
          <w:tcPr>
            <w:tcW w:w="2345" w:type="dxa"/>
            <w:tcBorders>
              <w:left w:val="single" w:color="auto" w:sz="4" w:space="0"/>
              <w:bottom w:val="single" w:color="auto" w:sz="4" w:space="0"/>
              <w:right w:val="single" w:color="auto" w:sz="4" w:space="0"/>
            </w:tcBorders>
            <w:vAlign w:val="center"/>
          </w:tcPr>
          <w:p w14:paraId="1FA7F1BD">
            <w:pPr>
              <w:spacing w:line="360" w:lineRule="auto"/>
              <w:rPr>
                <w:rFonts w:hint="eastAsia" w:ascii="宋体" w:hAnsi="宋体" w:cs="宋体"/>
                <w:sz w:val="24"/>
                <w:szCs w:val="24"/>
                <w:highlight w:val="none"/>
              </w:rPr>
            </w:pPr>
            <w:r>
              <w:rPr>
                <w:rFonts w:hint="eastAsia" w:ascii="宋体" w:hAnsi="宋体" w:cs="宋体"/>
                <w:sz w:val="24"/>
                <w:szCs w:val="24"/>
                <w:highlight w:val="none"/>
              </w:rPr>
              <w:t>招标文件澄清发出的形式</w:t>
            </w:r>
          </w:p>
        </w:tc>
        <w:tc>
          <w:tcPr>
            <w:tcW w:w="6096" w:type="dxa"/>
            <w:tcBorders>
              <w:top w:val="single" w:color="auto" w:sz="4" w:space="0"/>
              <w:left w:val="single" w:color="auto" w:sz="4" w:space="0"/>
              <w:bottom w:val="single" w:color="auto" w:sz="4" w:space="0"/>
              <w:right w:val="single" w:color="auto" w:sz="4" w:space="0"/>
            </w:tcBorders>
            <w:vAlign w:val="center"/>
          </w:tcPr>
          <w:p w14:paraId="7AA1C617">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w:t>
            </w:r>
          </w:p>
        </w:tc>
      </w:tr>
      <w:tr w14:paraId="6A04399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2A98ACF">
            <w:pPr>
              <w:spacing w:line="360" w:lineRule="auto"/>
              <w:rPr>
                <w:rFonts w:hint="eastAsia" w:ascii="宋体" w:hAnsi="宋体" w:cs="宋体"/>
                <w:sz w:val="24"/>
                <w:szCs w:val="24"/>
                <w:highlight w:val="none"/>
              </w:rPr>
            </w:pPr>
            <w:r>
              <w:rPr>
                <w:rFonts w:hint="eastAsia" w:ascii="宋体" w:hAnsi="宋体" w:cs="宋体"/>
                <w:sz w:val="24"/>
                <w:szCs w:val="24"/>
                <w:highlight w:val="none"/>
              </w:rPr>
              <w:t>1.12.1</w:t>
            </w:r>
          </w:p>
        </w:tc>
        <w:tc>
          <w:tcPr>
            <w:tcW w:w="2345" w:type="dxa"/>
            <w:tcBorders>
              <w:top w:val="single" w:color="auto" w:sz="4" w:space="0"/>
              <w:left w:val="single" w:color="auto" w:sz="4" w:space="0"/>
              <w:bottom w:val="single" w:color="auto" w:sz="4" w:space="0"/>
              <w:right w:val="single" w:color="auto" w:sz="4" w:space="0"/>
            </w:tcBorders>
            <w:vAlign w:val="center"/>
          </w:tcPr>
          <w:p w14:paraId="5051A319">
            <w:pPr>
              <w:spacing w:line="360" w:lineRule="auto"/>
              <w:rPr>
                <w:rFonts w:hint="eastAsia" w:ascii="宋体" w:hAnsi="宋体" w:cs="宋体"/>
                <w:sz w:val="24"/>
                <w:szCs w:val="24"/>
                <w:highlight w:val="none"/>
              </w:rPr>
            </w:pPr>
            <w:r>
              <w:rPr>
                <w:rFonts w:hint="eastAsia" w:ascii="宋体" w:hAnsi="宋体" w:cs="宋体"/>
                <w:sz w:val="24"/>
                <w:szCs w:val="24"/>
                <w:highlight w:val="none"/>
              </w:rPr>
              <w:t>实质性要求和条件</w:t>
            </w:r>
          </w:p>
        </w:tc>
        <w:tc>
          <w:tcPr>
            <w:tcW w:w="6096" w:type="dxa"/>
            <w:tcBorders>
              <w:top w:val="single" w:color="auto" w:sz="4" w:space="0"/>
              <w:left w:val="single" w:color="auto" w:sz="4" w:space="0"/>
              <w:bottom w:val="single" w:color="auto" w:sz="4" w:space="0"/>
              <w:right w:val="single" w:color="auto" w:sz="4" w:space="0"/>
            </w:tcBorders>
            <w:vAlign w:val="center"/>
          </w:tcPr>
          <w:p w14:paraId="6EAB6C69">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w:t>
            </w:r>
          </w:p>
        </w:tc>
      </w:tr>
      <w:tr w14:paraId="5F984E0A">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50437CD0">
            <w:pPr>
              <w:spacing w:line="360" w:lineRule="auto"/>
              <w:rPr>
                <w:rFonts w:hint="eastAsia" w:ascii="宋体" w:hAnsi="宋体" w:cs="宋体"/>
                <w:sz w:val="24"/>
                <w:szCs w:val="24"/>
                <w:highlight w:val="none"/>
              </w:rPr>
            </w:pPr>
            <w:r>
              <w:rPr>
                <w:rFonts w:hint="eastAsia" w:ascii="宋体" w:hAnsi="宋体" w:cs="宋体"/>
                <w:sz w:val="24"/>
                <w:szCs w:val="24"/>
                <w:highlight w:val="none"/>
              </w:rPr>
              <w:t>1.12.3</w:t>
            </w:r>
          </w:p>
        </w:tc>
        <w:tc>
          <w:tcPr>
            <w:tcW w:w="2345" w:type="dxa"/>
            <w:tcBorders>
              <w:top w:val="single" w:color="auto" w:sz="4" w:space="0"/>
              <w:left w:val="single" w:color="auto" w:sz="4" w:space="0"/>
              <w:bottom w:val="single" w:color="auto" w:sz="4" w:space="0"/>
              <w:right w:val="single" w:color="auto" w:sz="4" w:space="0"/>
            </w:tcBorders>
            <w:vAlign w:val="center"/>
          </w:tcPr>
          <w:p w14:paraId="21D1A676">
            <w:pPr>
              <w:spacing w:line="360" w:lineRule="auto"/>
              <w:rPr>
                <w:rFonts w:hint="eastAsia" w:ascii="宋体" w:hAnsi="宋体" w:cs="宋体"/>
                <w:sz w:val="24"/>
                <w:szCs w:val="24"/>
                <w:highlight w:val="none"/>
              </w:rPr>
            </w:pPr>
            <w:r>
              <w:rPr>
                <w:rFonts w:hint="eastAsia" w:ascii="宋体" w:hAnsi="宋体" w:cs="宋体"/>
                <w:sz w:val="24"/>
                <w:szCs w:val="24"/>
                <w:highlight w:val="none"/>
              </w:rPr>
              <w:t>偏差</w:t>
            </w:r>
          </w:p>
        </w:tc>
        <w:tc>
          <w:tcPr>
            <w:tcW w:w="6096" w:type="dxa"/>
            <w:tcBorders>
              <w:top w:val="single" w:color="auto" w:sz="4" w:space="0"/>
              <w:left w:val="single" w:color="auto" w:sz="4" w:space="0"/>
              <w:bottom w:val="single" w:color="auto" w:sz="4" w:space="0"/>
              <w:right w:val="single" w:color="auto" w:sz="4" w:space="0"/>
            </w:tcBorders>
            <w:vAlign w:val="center"/>
          </w:tcPr>
          <w:p w14:paraId="0067D818">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■不允许</w:t>
            </w:r>
          </w:p>
          <w:p w14:paraId="23B6F0CF">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□允许，偏差范围：</w:t>
            </w:r>
            <w:r>
              <w:rPr>
                <w:rFonts w:hint="eastAsia" w:ascii="宋体" w:hAnsi="宋体" w:cs="宋体"/>
                <w:sz w:val="24"/>
                <w:szCs w:val="24"/>
                <w:highlight w:val="none"/>
                <w:u w:val="single"/>
              </w:rPr>
              <w:t>/</w:t>
            </w:r>
          </w:p>
          <w:p w14:paraId="4039243D">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偏差幅度：</w:t>
            </w:r>
            <w:r>
              <w:rPr>
                <w:rFonts w:hint="eastAsia" w:ascii="宋体" w:hAnsi="宋体" w:cs="宋体"/>
                <w:sz w:val="24"/>
                <w:szCs w:val="24"/>
                <w:highlight w:val="none"/>
                <w:u w:val="single"/>
              </w:rPr>
              <w:t>/</w:t>
            </w:r>
          </w:p>
        </w:tc>
      </w:tr>
      <w:tr w14:paraId="2F2EC881">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74D3D38">
            <w:pPr>
              <w:spacing w:line="360" w:lineRule="auto"/>
              <w:rPr>
                <w:rFonts w:hint="eastAsia" w:ascii="宋体" w:hAnsi="宋体" w:cs="宋体"/>
                <w:sz w:val="24"/>
                <w:szCs w:val="24"/>
                <w:highlight w:val="none"/>
              </w:rPr>
            </w:pPr>
            <w:r>
              <w:rPr>
                <w:rFonts w:hint="eastAsia" w:ascii="宋体" w:hAnsi="宋体" w:cs="宋体"/>
                <w:sz w:val="24"/>
                <w:szCs w:val="24"/>
                <w:highlight w:val="none"/>
              </w:rPr>
              <w:t>2.1</w:t>
            </w:r>
          </w:p>
        </w:tc>
        <w:tc>
          <w:tcPr>
            <w:tcW w:w="2345" w:type="dxa"/>
            <w:tcBorders>
              <w:top w:val="single" w:color="auto" w:sz="4" w:space="0"/>
              <w:left w:val="single" w:color="auto" w:sz="4" w:space="0"/>
              <w:bottom w:val="single" w:color="auto" w:sz="4" w:space="0"/>
              <w:right w:val="single" w:color="auto" w:sz="4" w:space="0"/>
            </w:tcBorders>
            <w:vAlign w:val="center"/>
          </w:tcPr>
          <w:p w14:paraId="0ABBF785">
            <w:pPr>
              <w:spacing w:line="360" w:lineRule="auto"/>
              <w:rPr>
                <w:rFonts w:hint="eastAsia" w:ascii="宋体" w:hAnsi="宋体" w:cs="宋体"/>
                <w:sz w:val="24"/>
                <w:szCs w:val="24"/>
                <w:highlight w:val="none"/>
              </w:rPr>
            </w:pPr>
            <w:r>
              <w:rPr>
                <w:rFonts w:hint="eastAsia" w:ascii="宋体" w:hAnsi="宋体" w:cs="宋体"/>
                <w:sz w:val="24"/>
                <w:szCs w:val="24"/>
                <w:highlight w:val="none"/>
              </w:rPr>
              <w:t>构成招标文件的其他资料</w:t>
            </w:r>
          </w:p>
        </w:tc>
        <w:tc>
          <w:tcPr>
            <w:tcW w:w="6096" w:type="dxa"/>
            <w:tcBorders>
              <w:top w:val="single" w:color="auto" w:sz="4" w:space="0"/>
              <w:left w:val="single" w:color="auto" w:sz="4" w:space="0"/>
              <w:bottom w:val="single" w:color="auto" w:sz="4" w:space="0"/>
              <w:right w:val="single" w:color="auto" w:sz="4" w:space="0"/>
            </w:tcBorders>
            <w:vAlign w:val="center"/>
          </w:tcPr>
          <w:p w14:paraId="41691608">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w:t>
            </w:r>
          </w:p>
        </w:tc>
      </w:tr>
      <w:tr w14:paraId="3E3607EF">
        <w:tblPrEx>
          <w:tblCellMar>
            <w:top w:w="0" w:type="dxa"/>
            <w:left w:w="108" w:type="dxa"/>
            <w:bottom w:w="0" w:type="dxa"/>
            <w:right w:w="108" w:type="dxa"/>
          </w:tblCellMar>
        </w:tblPrEx>
        <w:tc>
          <w:tcPr>
            <w:tcW w:w="1165" w:type="dxa"/>
            <w:vMerge w:val="restart"/>
            <w:tcBorders>
              <w:top w:val="single" w:color="auto" w:sz="4" w:space="0"/>
              <w:left w:val="single" w:color="auto" w:sz="4" w:space="0"/>
              <w:right w:val="single" w:color="auto" w:sz="4" w:space="0"/>
            </w:tcBorders>
            <w:vAlign w:val="center"/>
          </w:tcPr>
          <w:p w14:paraId="4AB172D8">
            <w:pPr>
              <w:spacing w:line="360" w:lineRule="auto"/>
              <w:rPr>
                <w:rFonts w:hint="eastAsia" w:ascii="宋体" w:hAnsi="宋体" w:cs="宋体"/>
                <w:sz w:val="24"/>
                <w:szCs w:val="24"/>
                <w:highlight w:val="none"/>
              </w:rPr>
            </w:pPr>
            <w:r>
              <w:rPr>
                <w:rFonts w:hint="eastAsia" w:ascii="宋体" w:hAnsi="宋体" w:cs="宋体"/>
                <w:sz w:val="24"/>
                <w:szCs w:val="24"/>
                <w:highlight w:val="none"/>
              </w:rPr>
              <w:t>2.2.1</w:t>
            </w:r>
          </w:p>
        </w:tc>
        <w:tc>
          <w:tcPr>
            <w:tcW w:w="2345" w:type="dxa"/>
            <w:vMerge w:val="restart"/>
            <w:tcBorders>
              <w:top w:val="single" w:color="auto" w:sz="4" w:space="0"/>
              <w:left w:val="single" w:color="auto" w:sz="4" w:space="0"/>
              <w:right w:val="single" w:color="auto" w:sz="4" w:space="0"/>
            </w:tcBorders>
            <w:vAlign w:val="center"/>
          </w:tcPr>
          <w:p w14:paraId="320303C9">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投标人要求澄清招标文件</w:t>
            </w:r>
          </w:p>
        </w:tc>
        <w:tc>
          <w:tcPr>
            <w:tcW w:w="6096" w:type="dxa"/>
            <w:tcBorders>
              <w:top w:val="single" w:color="auto" w:sz="4" w:space="0"/>
              <w:left w:val="single" w:color="auto" w:sz="4" w:space="0"/>
              <w:bottom w:val="single" w:color="auto" w:sz="4" w:space="0"/>
              <w:right w:val="single" w:color="auto" w:sz="4" w:space="0"/>
            </w:tcBorders>
            <w:vAlign w:val="center"/>
          </w:tcPr>
          <w:p w14:paraId="66B70886">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时间：</w:t>
            </w:r>
            <w:r>
              <w:rPr>
                <w:rFonts w:hint="eastAsia" w:ascii="宋体" w:hAnsi="宋体" w:cs="宋体"/>
                <w:sz w:val="24"/>
                <w:szCs w:val="24"/>
                <w:highlight w:val="none"/>
                <w:u w:val="single"/>
              </w:rPr>
              <w:t>在提交投标文件截止时间18天前提出。</w:t>
            </w:r>
          </w:p>
        </w:tc>
      </w:tr>
      <w:tr w14:paraId="7B607B9E">
        <w:tblPrEx>
          <w:tblCellMar>
            <w:top w:w="0" w:type="dxa"/>
            <w:left w:w="108" w:type="dxa"/>
            <w:bottom w:w="0" w:type="dxa"/>
            <w:right w:w="108" w:type="dxa"/>
          </w:tblCellMar>
        </w:tblPrEx>
        <w:tc>
          <w:tcPr>
            <w:tcW w:w="1165" w:type="dxa"/>
            <w:vMerge w:val="continue"/>
            <w:tcBorders>
              <w:left w:val="single" w:color="auto" w:sz="4" w:space="0"/>
              <w:bottom w:val="single" w:color="auto" w:sz="4" w:space="0"/>
              <w:right w:val="single" w:color="auto" w:sz="4" w:space="0"/>
            </w:tcBorders>
            <w:vAlign w:val="center"/>
          </w:tcPr>
          <w:p w14:paraId="005BADFC">
            <w:pPr>
              <w:spacing w:line="360" w:lineRule="auto"/>
              <w:rPr>
                <w:rFonts w:hint="eastAsia" w:ascii="宋体" w:hAnsi="宋体" w:cs="宋体"/>
                <w:sz w:val="24"/>
                <w:szCs w:val="24"/>
                <w:highlight w:val="none"/>
              </w:rPr>
            </w:pPr>
          </w:p>
        </w:tc>
        <w:tc>
          <w:tcPr>
            <w:tcW w:w="2345" w:type="dxa"/>
            <w:vMerge w:val="continue"/>
            <w:tcBorders>
              <w:left w:val="single" w:color="auto" w:sz="4" w:space="0"/>
              <w:bottom w:val="single" w:color="auto" w:sz="4" w:space="0"/>
              <w:right w:val="single" w:color="auto" w:sz="4" w:space="0"/>
            </w:tcBorders>
            <w:vAlign w:val="center"/>
          </w:tcPr>
          <w:p w14:paraId="41F267BF">
            <w:pPr>
              <w:spacing w:line="360" w:lineRule="auto"/>
              <w:rPr>
                <w:rFonts w:hint="eastAsia" w:ascii="宋体" w:hAnsi="宋体" w:cs="宋体"/>
                <w:sz w:val="24"/>
                <w:szCs w:val="24"/>
                <w:highlight w:val="none"/>
              </w:rPr>
            </w:pPr>
          </w:p>
        </w:tc>
        <w:tc>
          <w:tcPr>
            <w:tcW w:w="6096" w:type="dxa"/>
            <w:tcBorders>
              <w:top w:val="single" w:color="auto" w:sz="4" w:space="0"/>
              <w:left w:val="single" w:color="auto" w:sz="4" w:space="0"/>
              <w:bottom w:val="single" w:color="auto" w:sz="4" w:space="0"/>
              <w:right w:val="single" w:color="auto" w:sz="4" w:space="0"/>
            </w:tcBorders>
            <w:vAlign w:val="center"/>
          </w:tcPr>
          <w:p w14:paraId="7BAC2803">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rPr>
              <w:t>形式：</w:t>
            </w:r>
            <w:r>
              <w:rPr>
                <w:rFonts w:hint="eastAsia" w:ascii="宋体" w:hAnsi="宋体" w:cs="宋体"/>
                <w:sz w:val="24"/>
                <w:szCs w:val="24"/>
                <w:highlight w:val="none"/>
                <w:u w:val="single"/>
              </w:rPr>
              <w:t>投标人的疑问通过广州交易集团有限公司（广州公共资源交易中心）数字交易平台提交。具体操作方法详见广州交易集团有限公司（广州公共资源交易中心）网站发布的《建设工程全流程电子化项目操作指南》。</w:t>
            </w:r>
          </w:p>
        </w:tc>
      </w:tr>
      <w:tr w14:paraId="449F4B1E">
        <w:tblPrEx>
          <w:tblCellMar>
            <w:top w:w="0" w:type="dxa"/>
            <w:left w:w="108" w:type="dxa"/>
            <w:bottom w:w="0" w:type="dxa"/>
            <w:right w:w="108" w:type="dxa"/>
          </w:tblCellMar>
        </w:tblPrEx>
        <w:tc>
          <w:tcPr>
            <w:tcW w:w="1165" w:type="dxa"/>
            <w:tcBorders>
              <w:left w:val="single" w:color="auto" w:sz="4" w:space="0"/>
              <w:bottom w:val="single" w:color="auto" w:sz="4" w:space="0"/>
              <w:right w:val="single" w:color="auto" w:sz="4" w:space="0"/>
            </w:tcBorders>
            <w:vAlign w:val="center"/>
          </w:tcPr>
          <w:p w14:paraId="78DD1505">
            <w:pPr>
              <w:spacing w:line="360" w:lineRule="auto"/>
              <w:rPr>
                <w:rFonts w:hint="eastAsia" w:ascii="宋体" w:hAnsi="宋体" w:cs="宋体"/>
                <w:sz w:val="24"/>
                <w:szCs w:val="24"/>
                <w:highlight w:val="none"/>
              </w:rPr>
            </w:pPr>
            <w:r>
              <w:rPr>
                <w:rFonts w:hint="eastAsia" w:ascii="宋体" w:hAnsi="宋体" w:cs="宋体"/>
                <w:sz w:val="24"/>
                <w:szCs w:val="24"/>
                <w:highlight w:val="none"/>
              </w:rPr>
              <w:t>2.2.2</w:t>
            </w:r>
          </w:p>
        </w:tc>
        <w:tc>
          <w:tcPr>
            <w:tcW w:w="2345" w:type="dxa"/>
            <w:tcBorders>
              <w:left w:val="single" w:color="auto" w:sz="4" w:space="0"/>
              <w:bottom w:val="single" w:color="auto" w:sz="4" w:space="0"/>
              <w:right w:val="single" w:color="auto" w:sz="4" w:space="0"/>
            </w:tcBorders>
            <w:vAlign w:val="center"/>
          </w:tcPr>
          <w:p w14:paraId="3813D432">
            <w:pPr>
              <w:spacing w:line="360" w:lineRule="auto"/>
              <w:rPr>
                <w:rFonts w:hint="eastAsia" w:ascii="宋体" w:hAnsi="宋体" w:cs="宋体"/>
                <w:sz w:val="24"/>
                <w:szCs w:val="24"/>
                <w:highlight w:val="none"/>
              </w:rPr>
            </w:pPr>
            <w:r>
              <w:rPr>
                <w:rFonts w:hint="eastAsia" w:ascii="宋体" w:hAnsi="宋体" w:cs="宋体"/>
                <w:sz w:val="24"/>
                <w:szCs w:val="24"/>
                <w:highlight w:val="none"/>
              </w:rPr>
              <w:t>招标文件澄清发出的形式</w:t>
            </w:r>
          </w:p>
        </w:tc>
        <w:tc>
          <w:tcPr>
            <w:tcW w:w="6096" w:type="dxa"/>
            <w:tcBorders>
              <w:top w:val="single" w:color="auto" w:sz="4" w:space="0"/>
              <w:left w:val="single" w:color="auto" w:sz="4" w:space="0"/>
              <w:bottom w:val="single" w:color="auto" w:sz="4" w:space="0"/>
              <w:right w:val="single" w:color="auto" w:sz="4" w:space="0"/>
            </w:tcBorders>
            <w:vAlign w:val="center"/>
          </w:tcPr>
          <w:p w14:paraId="59E91B19">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在递交投标文件截止时间15天前；在广州交易集团有限公司（广州公共资源交易中心）网站通过项目答疑专区网上公开发布。</w:t>
            </w:r>
          </w:p>
        </w:tc>
      </w:tr>
      <w:tr w14:paraId="33F3333B">
        <w:tblPrEx>
          <w:tblCellMar>
            <w:top w:w="0" w:type="dxa"/>
            <w:left w:w="108" w:type="dxa"/>
            <w:bottom w:w="0" w:type="dxa"/>
            <w:right w:w="108" w:type="dxa"/>
          </w:tblCellMar>
        </w:tblPrEx>
        <w:trPr>
          <w:trHeight w:val="90" w:hRule="atLeast"/>
        </w:trPr>
        <w:tc>
          <w:tcPr>
            <w:tcW w:w="1165" w:type="dxa"/>
            <w:vMerge w:val="restart"/>
            <w:tcBorders>
              <w:top w:val="single" w:color="auto" w:sz="4" w:space="0"/>
              <w:left w:val="single" w:color="auto" w:sz="4" w:space="0"/>
              <w:bottom w:val="single" w:color="auto" w:sz="4" w:space="0"/>
              <w:right w:val="single" w:color="auto" w:sz="4" w:space="0"/>
            </w:tcBorders>
            <w:vAlign w:val="center"/>
          </w:tcPr>
          <w:p w14:paraId="7ADD3442">
            <w:pPr>
              <w:spacing w:line="360" w:lineRule="auto"/>
              <w:rPr>
                <w:rFonts w:hint="eastAsia" w:ascii="宋体" w:hAnsi="宋体" w:cs="宋体"/>
                <w:sz w:val="24"/>
                <w:szCs w:val="24"/>
                <w:highlight w:val="none"/>
              </w:rPr>
            </w:pPr>
            <w:r>
              <w:rPr>
                <w:rFonts w:hint="eastAsia" w:ascii="宋体" w:hAnsi="宋体" w:cs="宋体"/>
                <w:sz w:val="24"/>
                <w:szCs w:val="24"/>
                <w:highlight w:val="none"/>
              </w:rPr>
              <w:t>2.2.3</w:t>
            </w:r>
          </w:p>
        </w:tc>
        <w:tc>
          <w:tcPr>
            <w:tcW w:w="2345" w:type="dxa"/>
            <w:vMerge w:val="restart"/>
            <w:tcBorders>
              <w:top w:val="single" w:color="auto" w:sz="4" w:space="0"/>
              <w:left w:val="single" w:color="auto" w:sz="4" w:space="0"/>
              <w:bottom w:val="single" w:color="auto" w:sz="4" w:space="0"/>
              <w:right w:val="single" w:color="auto" w:sz="4" w:space="0"/>
            </w:tcBorders>
            <w:vAlign w:val="center"/>
          </w:tcPr>
          <w:p w14:paraId="722E245F">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投标人确认收到招标文件澄清</w:t>
            </w:r>
          </w:p>
        </w:tc>
        <w:tc>
          <w:tcPr>
            <w:tcW w:w="6096" w:type="dxa"/>
            <w:tcBorders>
              <w:top w:val="single" w:color="auto" w:sz="4" w:space="0"/>
              <w:left w:val="single" w:color="auto" w:sz="4" w:space="0"/>
              <w:bottom w:val="single" w:color="auto" w:sz="4" w:space="0"/>
              <w:right w:val="single" w:color="auto" w:sz="4" w:space="0"/>
            </w:tcBorders>
            <w:vAlign w:val="center"/>
          </w:tcPr>
          <w:p w14:paraId="538B9456">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时间：</w:t>
            </w:r>
            <w:r>
              <w:rPr>
                <w:rFonts w:hint="eastAsia" w:ascii="宋体" w:hAnsi="宋体" w:cs="宋体"/>
                <w:sz w:val="24"/>
                <w:szCs w:val="24"/>
                <w:highlight w:val="none"/>
                <w:u w:val="single"/>
              </w:rPr>
              <w:t>发出即视作收到。</w:t>
            </w:r>
          </w:p>
        </w:tc>
      </w:tr>
      <w:tr w14:paraId="5EA3350B">
        <w:tblPrEx>
          <w:tblCellMar>
            <w:top w:w="0" w:type="dxa"/>
            <w:left w:w="108" w:type="dxa"/>
            <w:bottom w:w="0" w:type="dxa"/>
            <w:right w:w="108" w:type="dxa"/>
          </w:tblCellMar>
        </w:tblPrEx>
        <w:trPr>
          <w:trHeight w:val="247" w:hRule="atLeast"/>
        </w:trPr>
        <w:tc>
          <w:tcPr>
            <w:tcW w:w="1165" w:type="dxa"/>
            <w:vMerge w:val="continue"/>
            <w:tcBorders>
              <w:top w:val="single" w:color="auto" w:sz="4" w:space="0"/>
              <w:left w:val="single" w:color="auto" w:sz="4" w:space="0"/>
              <w:bottom w:val="single" w:color="auto" w:sz="4" w:space="0"/>
              <w:right w:val="single" w:color="auto" w:sz="4" w:space="0"/>
            </w:tcBorders>
            <w:vAlign w:val="center"/>
          </w:tcPr>
          <w:p w14:paraId="6CA76650">
            <w:pPr>
              <w:spacing w:line="360" w:lineRule="auto"/>
              <w:rPr>
                <w:rFonts w:hint="eastAsia" w:ascii="宋体" w:hAnsi="宋体" w:cs="宋体"/>
                <w:sz w:val="24"/>
                <w:szCs w:val="24"/>
                <w:highlight w:val="none"/>
              </w:rPr>
            </w:pPr>
          </w:p>
        </w:tc>
        <w:tc>
          <w:tcPr>
            <w:tcW w:w="2345" w:type="dxa"/>
            <w:vMerge w:val="continue"/>
            <w:tcBorders>
              <w:top w:val="single" w:color="auto" w:sz="4" w:space="0"/>
              <w:left w:val="single" w:color="auto" w:sz="4" w:space="0"/>
              <w:bottom w:val="single" w:color="auto" w:sz="4" w:space="0"/>
              <w:right w:val="single" w:color="auto" w:sz="4" w:space="0"/>
            </w:tcBorders>
            <w:vAlign w:val="center"/>
          </w:tcPr>
          <w:p w14:paraId="18E0DA84">
            <w:pPr>
              <w:spacing w:line="360" w:lineRule="auto"/>
              <w:rPr>
                <w:rFonts w:hint="eastAsia" w:ascii="宋体" w:hAnsi="宋体" w:cs="宋体"/>
                <w:sz w:val="24"/>
                <w:szCs w:val="24"/>
                <w:highlight w:val="none"/>
              </w:rPr>
            </w:pPr>
          </w:p>
        </w:tc>
        <w:tc>
          <w:tcPr>
            <w:tcW w:w="6096" w:type="dxa"/>
            <w:tcBorders>
              <w:top w:val="single" w:color="auto" w:sz="4" w:space="0"/>
              <w:left w:val="single" w:color="auto" w:sz="4" w:space="0"/>
              <w:bottom w:val="single" w:color="auto" w:sz="4" w:space="0"/>
              <w:right w:val="single" w:color="auto" w:sz="4" w:space="0"/>
            </w:tcBorders>
            <w:vAlign w:val="center"/>
          </w:tcPr>
          <w:p w14:paraId="3FA061F6">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形式：</w:t>
            </w:r>
            <w:r>
              <w:rPr>
                <w:rFonts w:hint="eastAsia" w:ascii="宋体" w:hAnsi="宋体" w:cs="宋体"/>
                <w:sz w:val="24"/>
                <w:szCs w:val="24"/>
                <w:highlight w:val="none"/>
                <w:u w:val="single"/>
              </w:rPr>
              <w:t>招标文件澄清（招标答疑纪要）一经在广州交易集团有限公司（广州公共资源交易中心）网站发布，视作已发放给所有投标人。</w:t>
            </w:r>
          </w:p>
        </w:tc>
      </w:tr>
      <w:tr w14:paraId="55BF78EA">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8B8575A">
            <w:pPr>
              <w:spacing w:line="360" w:lineRule="auto"/>
              <w:rPr>
                <w:rFonts w:hint="eastAsia" w:ascii="宋体" w:hAnsi="宋体" w:cs="宋体"/>
                <w:sz w:val="24"/>
                <w:szCs w:val="24"/>
                <w:highlight w:val="none"/>
              </w:rPr>
            </w:pPr>
            <w:r>
              <w:rPr>
                <w:rFonts w:hint="eastAsia" w:ascii="宋体" w:hAnsi="宋体" w:cs="宋体"/>
                <w:sz w:val="24"/>
                <w:szCs w:val="24"/>
                <w:highlight w:val="none"/>
              </w:rPr>
              <w:t>2.3.1</w:t>
            </w:r>
          </w:p>
        </w:tc>
        <w:tc>
          <w:tcPr>
            <w:tcW w:w="2345" w:type="dxa"/>
            <w:tcBorders>
              <w:top w:val="single" w:color="auto" w:sz="4" w:space="0"/>
              <w:left w:val="single" w:color="auto" w:sz="4" w:space="0"/>
              <w:bottom w:val="single" w:color="auto" w:sz="4" w:space="0"/>
              <w:right w:val="single" w:color="auto" w:sz="4" w:space="0"/>
            </w:tcBorders>
            <w:vAlign w:val="center"/>
          </w:tcPr>
          <w:p w14:paraId="101A1026">
            <w:pPr>
              <w:spacing w:line="360" w:lineRule="auto"/>
              <w:rPr>
                <w:rFonts w:hint="eastAsia" w:ascii="宋体" w:hAnsi="宋体" w:cs="宋体"/>
                <w:sz w:val="24"/>
                <w:szCs w:val="24"/>
                <w:highlight w:val="none"/>
              </w:rPr>
            </w:pPr>
            <w:r>
              <w:rPr>
                <w:rFonts w:hint="eastAsia" w:ascii="宋体" w:hAnsi="宋体" w:cs="宋体"/>
                <w:sz w:val="24"/>
                <w:szCs w:val="24"/>
                <w:highlight w:val="none"/>
              </w:rPr>
              <w:t>招标文件修改发出的形式</w:t>
            </w:r>
          </w:p>
        </w:tc>
        <w:tc>
          <w:tcPr>
            <w:tcW w:w="6096" w:type="dxa"/>
            <w:tcBorders>
              <w:top w:val="single" w:color="auto" w:sz="4" w:space="0"/>
              <w:left w:val="single" w:color="auto" w:sz="4" w:space="0"/>
              <w:bottom w:val="single" w:color="auto" w:sz="4" w:space="0"/>
              <w:right w:val="single" w:color="auto" w:sz="4" w:space="0"/>
            </w:tcBorders>
            <w:vAlign w:val="center"/>
          </w:tcPr>
          <w:p w14:paraId="6BC1FD3D">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以补充公告或项目答疑澄清的方式在广州交易集团有限公司（广州公共资源交易中心）网站发布。</w:t>
            </w:r>
          </w:p>
        </w:tc>
      </w:tr>
      <w:tr w14:paraId="5D0E35C9">
        <w:tblPrEx>
          <w:tblCellMar>
            <w:top w:w="0" w:type="dxa"/>
            <w:left w:w="108" w:type="dxa"/>
            <w:bottom w:w="0" w:type="dxa"/>
            <w:right w:w="108" w:type="dxa"/>
          </w:tblCellMar>
        </w:tblPrEx>
        <w:trPr>
          <w:trHeight w:val="578" w:hRule="atLeast"/>
        </w:trPr>
        <w:tc>
          <w:tcPr>
            <w:tcW w:w="1165" w:type="dxa"/>
            <w:vMerge w:val="restart"/>
            <w:tcBorders>
              <w:top w:val="single" w:color="auto" w:sz="4" w:space="0"/>
              <w:left w:val="single" w:color="auto" w:sz="4" w:space="0"/>
              <w:bottom w:val="single" w:color="auto" w:sz="4" w:space="0"/>
              <w:right w:val="single" w:color="auto" w:sz="4" w:space="0"/>
            </w:tcBorders>
            <w:vAlign w:val="center"/>
          </w:tcPr>
          <w:p w14:paraId="3814488D">
            <w:pPr>
              <w:spacing w:line="360" w:lineRule="auto"/>
              <w:rPr>
                <w:rFonts w:hint="eastAsia" w:ascii="宋体" w:hAnsi="宋体" w:cs="宋体"/>
                <w:sz w:val="24"/>
                <w:szCs w:val="24"/>
                <w:highlight w:val="none"/>
              </w:rPr>
            </w:pPr>
            <w:r>
              <w:rPr>
                <w:rFonts w:hint="eastAsia" w:ascii="宋体" w:hAnsi="宋体" w:cs="宋体"/>
                <w:sz w:val="24"/>
                <w:szCs w:val="24"/>
                <w:highlight w:val="none"/>
              </w:rPr>
              <w:t>2.3.2</w:t>
            </w:r>
          </w:p>
        </w:tc>
        <w:tc>
          <w:tcPr>
            <w:tcW w:w="2345" w:type="dxa"/>
            <w:vMerge w:val="restart"/>
            <w:tcBorders>
              <w:top w:val="single" w:color="auto" w:sz="4" w:space="0"/>
              <w:left w:val="single" w:color="auto" w:sz="4" w:space="0"/>
              <w:bottom w:val="single" w:color="auto" w:sz="4" w:space="0"/>
              <w:right w:val="single" w:color="auto" w:sz="4" w:space="0"/>
            </w:tcBorders>
            <w:vAlign w:val="center"/>
          </w:tcPr>
          <w:p w14:paraId="7D2E6481">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投标人确认收到招标文件修改</w:t>
            </w:r>
          </w:p>
        </w:tc>
        <w:tc>
          <w:tcPr>
            <w:tcW w:w="6096" w:type="dxa"/>
            <w:tcBorders>
              <w:top w:val="single" w:color="auto" w:sz="4" w:space="0"/>
              <w:left w:val="single" w:color="auto" w:sz="4" w:space="0"/>
              <w:bottom w:val="single" w:color="auto" w:sz="4" w:space="0"/>
              <w:right w:val="single" w:color="auto" w:sz="4" w:space="0"/>
            </w:tcBorders>
            <w:vAlign w:val="center"/>
          </w:tcPr>
          <w:p w14:paraId="6BC11D10">
            <w:pPr>
              <w:spacing w:line="360" w:lineRule="auto"/>
              <w:rPr>
                <w:rFonts w:hint="eastAsia" w:ascii="宋体" w:hAnsi="宋体" w:cs="宋体"/>
                <w:sz w:val="24"/>
                <w:szCs w:val="24"/>
                <w:highlight w:val="none"/>
              </w:rPr>
            </w:pPr>
            <w:r>
              <w:rPr>
                <w:rFonts w:hint="eastAsia" w:ascii="宋体" w:hAnsi="宋体" w:cs="宋体"/>
                <w:sz w:val="24"/>
                <w:szCs w:val="24"/>
                <w:highlight w:val="none"/>
              </w:rPr>
              <w:t>时间：</w:t>
            </w:r>
            <w:r>
              <w:rPr>
                <w:rFonts w:hint="eastAsia" w:ascii="宋体" w:hAnsi="宋体" w:cs="宋体"/>
                <w:sz w:val="24"/>
                <w:szCs w:val="24"/>
                <w:highlight w:val="none"/>
                <w:u w:val="single"/>
              </w:rPr>
              <w:t>发出即视作收到。</w:t>
            </w:r>
          </w:p>
        </w:tc>
      </w:tr>
      <w:tr w14:paraId="207D6B55">
        <w:tblPrEx>
          <w:tblCellMar>
            <w:top w:w="0" w:type="dxa"/>
            <w:left w:w="108" w:type="dxa"/>
            <w:bottom w:w="0" w:type="dxa"/>
            <w:right w:w="108" w:type="dxa"/>
          </w:tblCellMar>
        </w:tblPrEx>
        <w:trPr>
          <w:trHeight w:val="890" w:hRule="atLeast"/>
        </w:trPr>
        <w:tc>
          <w:tcPr>
            <w:tcW w:w="1165" w:type="dxa"/>
            <w:vMerge w:val="continue"/>
            <w:tcBorders>
              <w:top w:val="single" w:color="auto" w:sz="4" w:space="0"/>
              <w:left w:val="single" w:color="auto" w:sz="4" w:space="0"/>
              <w:bottom w:val="single" w:color="auto" w:sz="4" w:space="0"/>
              <w:right w:val="single" w:color="auto" w:sz="4" w:space="0"/>
            </w:tcBorders>
            <w:vAlign w:val="center"/>
          </w:tcPr>
          <w:p w14:paraId="01AF4F95">
            <w:pPr>
              <w:spacing w:line="360" w:lineRule="auto"/>
              <w:rPr>
                <w:rFonts w:hint="eastAsia" w:ascii="宋体" w:hAnsi="宋体" w:cs="宋体"/>
                <w:sz w:val="24"/>
                <w:szCs w:val="24"/>
                <w:highlight w:val="none"/>
              </w:rPr>
            </w:pPr>
          </w:p>
        </w:tc>
        <w:tc>
          <w:tcPr>
            <w:tcW w:w="2345" w:type="dxa"/>
            <w:vMerge w:val="continue"/>
            <w:tcBorders>
              <w:top w:val="single" w:color="auto" w:sz="4" w:space="0"/>
              <w:left w:val="single" w:color="auto" w:sz="4" w:space="0"/>
              <w:bottom w:val="single" w:color="auto" w:sz="4" w:space="0"/>
              <w:right w:val="single" w:color="auto" w:sz="4" w:space="0"/>
            </w:tcBorders>
            <w:vAlign w:val="center"/>
          </w:tcPr>
          <w:p w14:paraId="740CC0AA">
            <w:pPr>
              <w:spacing w:line="360" w:lineRule="auto"/>
              <w:rPr>
                <w:rFonts w:hint="eastAsia" w:ascii="宋体" w:hAnsi="宋体" w:cs="宋体"/>
                <w:sz w:val="24"/>
                <w:szCs w:val="24"/>
                <w:highlight w:val="none"/>
              </w:rPr>
            </w:pPr>
          </w:p>
        </w:tc>
        <w:tc>
          <w:tcPr>
            <w:tcW w:w="6096" w:type="dxa"/>
            <w:tcBorders>
              <w:top w:val="single" w:color="auto" w:sz="4" w:space="0"/>
              <w:left w:val="single" w:color="auto" w:sz="4" w:space="0"/>
              <w:bottom w:val="single" w:color="auto" w:sz="4" w:space="0"/>
              <w:right w:val="single" w:color="auto" w:sz="4" w:space="0"/>
            </w:tcBorders>
            <w:vAlign w:val="center"/>
          </w:tcPr>
          <w:p w14:paraId="49405FC9">
            <w:pPr>
              <w:spacing w:line="360" w:lineRule="auto"/>
              <w:rPr>
                <w:rFonts w:hint="eastAsia" w:ascii="宋体" w:hAnsi="宋体" w:cs="宋体"/>
                <w:sz w:val="24"/>
                <w:szCs w:val="24"/>
                <w:highlight w:val="none"/>
              </w:rPr>
            </w:pPr>
            <w:r>
              <w:rPr>
                <w:rFonts w:hint="eastAsia" w:ascii="宋体" w:hAnsi="宋体" w:cs="宋体"/>
                <w:sz w:val="24"/>
                <w:szCs w:val="24"/>
                <w:highlight w:val="none"/>
              </w:rPr>
              <w:t>形式：</w:t>
            </w:r>
            <w:r>
              <w:rPr>
                <w:rFonts w:hint="eastAsia" w:ascii="宋体" w:hAnsi="宋体" w:cs="宋体"/>
                <w:sz w:val="24"/>
                <w:szCs w:val="24"/>
                <w:highlight w:val="none"/>
                <w:u w:val="single"/>
              </w:rPr>
              <w:t>招标文件修改一经在广州交易集团有限公司（广州公共资源交易中心）网站发布，视作已发放给所有投标人，无需确认。潜在投标人应自行关注招标公告公布的网站公告，投标人因自身贻误行为导致投标失败的，责任自负。</w:t>
            </w:r>
          </w:p>
        </w:tc>
      </w:tr>
      <w:tr w14:paraId="61B7A236">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0879D9E">
            <w:pPr>
              <w:spacing w:line="360" w:lineRule="auto"/>
              <w:rPr>
                <w:rFonts w:hint="eastAsia" w:ascii="宋体" w:hAnsi="宋体" w:cs="宋体"/>
                <w:sz w:val="24"/>
                <w:szCs w:val="24"/>
                <w:highlight w:val="none"/>
              </w:rPr>
            </w:pPr>
            <w:r>
              <w:rPr>
                <w:rFonts w:hint="eastAsia" w:ascii="宋体" w:hAnsi="宋体" w:cs="宋体"/>
                <w:sz w:val="24"/>
                <w:szCs w:val="24"/>
                <w:highlight w:val="none"/>
              </w:rPr>
              <w:t>3.1.1</w:t>
            </w:r>
          </w:p>
        </w:tc>
        <w:tc>
          <w:tcPr>
            <w:tcW w:w="2345" w:type="dxa"/>
            <w:tcBorders>
              <w:top w:val="single" w:color="auto" w:sz="4" w:space="0"/>
              <w:left w:val="single" w:color="auto" w:sz="4" w:space="0"/>
              <w:bottom w:val="single" w:color="auto" w:sz="4" w:space="0"/>
              <w:right w:val="single" w:color="auto" w:sz="4" w:space="0"/>
            </w:tcBorders>
            <w:vAlign w:val="center"/>
          </w:tcPr>
          <w:p w14:paraId="0F48987C">
            <w:pPr>
              <w:spacing w:line="360" w:lineRule="auto"/>
              <w:rPr>
                <w:rFonts w:hint="eastAsia" w:ascii="宋体" w:hAnsi="宋体" w:cs="宋体"/>
                <w:sz w:val="24"/>
                <w:szCs w:val="24"/>
                <w:highlight w:val="none"/>
              </w:rPr>
            </w:pPr>
            <w:r>
              <w:rPr>
                <w:rFonts w:hint="eastAsia" w:ascii="宋体" w:hAnsi="宋体" w:cs="宋体"/>
                <w:sz w:val="24"/>
                <w:szCs w:val="24"/>
                <w:highlight w:val="none"/>
              </w:rPr>
              <w:t>构成投标文件的其他资料</w:t>
            </w:r>
          </w:p>
        </w:tc>
        <w:tc>
          <w:tcPr>
            <w:tcW w:w="6096" w:type="dxa"/>
            <w:tcBorders>
              <w:top w:val="single" w:color="auto" w:sz="4" w:space="0"/>
              <w:left w:val="single" w:color="auto" w:sz="4" w:space="0"/>
              <w:bottom w:val="single" w:color="auto" w:sz="4" w:space="0"/>
              <w:right w:val="single" w:color="auto" w:sz="4" w:space="0"/>
            </w:tcBorders>
            <w:vAlign w:val="center"/>
          </w:tcPr>
          <w:p w14:paraId="2A02820F">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满足本项目评审要求的其他资料</w:t>
            </w:r>
          </w:p>
        </w:tc>
      </w:tr>
      <w:tr w14:paraId="596F9056">
        <w:tblPrEx>
          <w:tblCellMar>
            <w:top w:w="0" w:type="dxa"/>
            <w:left w:w="108" w:type="dxa"/>
            <w:bottom w:w="0" w:type="dxa"/>
            <w:right w:w="108" w:type="dxa"/>
          </w:tblCellMar>
        </w:tblPrEx>
        <w:trPr>
          <w:trHeight w:val="863" w:hRule="atLeast"/>
        </w:trPr>
        <w:tc>
          <w:tcPr>
            <w:tcW w:w="1165" w:type="dxa"/>
            <w:tcBorders>
              <w:top w:val="single" w:color="auto" w:sz="4" w:space="0"/>
              <w:left w:val="single" w:color="auto" w:sz="4" w:space="0"/>
              <w:bottom w:val="single" w:color="auto" w:sz="4" w:space="0"/>
              <w:right w:val="single" w:color="auto" w:sz="4" w:space="0"/>
            </w:tcBorders>
            <w:vAlign w:val="center"/>
          </w:tcPr>
          <w:p w14:paraId="487D7766">
            <w:pPr>
              <w:spacing w:line="360" w:lineRule="auto"/>
              <w:rPr>
                <w:rFonts w:hint="eastAsia" w:ascii="宋体" w:hAnsi="宋体" w:cs="宋体"/>
                <w:sz w:val="24"/>
                <w:szCs w:val="24"/>
                <w:highlight w:val="none"/>
              </w:rPr>
            </w:pPr>
            <w:r>
              <w:rPr>
                <w:rFonts w:hint="eastAsia" w:ascii="宋体" w:hAnsi="宋体" w:cs="宋体"/>
                <w:sz w:val="24"/>
                <w:szCs w:val="24"/>
                <w:highlight w:val="none"/>
              </w:rPr>
              <w:t>3.2.1</w:t>
            </w:r>
          </w:p>
        </w:tc>
        <w:tc>
          <w:tcPr>
            <w:tcW w:w="2345" w:type="dxa"/>
            <w:tcBorders>
              <w:top w:val="single" w:color="auto" w:sz="4" w:space="0"/>
              <w:left w:val="single" w:color="auto" w:sz="4" w:space="0"/>
              <w:bottom w:val="single" w:color="auto" w:sz="4" w:space="0"/>
              <w:right w:val="single" w:color="auto" w:sz="4" w:space="0"/>
            </w:tcBorders>
            <w:vAlign w:val="center"/>
          </w:tcPr>
          <w:p w14:paraId="5E7EE4DF">
            <w:pPr>
              <w:spacing w:line="360" w:lineRule="auto"/>
              <w:rPr>
                <w:rFonts w:hint="eastAsia" w:ascii="宋体" w:hAnsi="宋体" w:cs="宋体"/>
                <w:sz w:val="24"/>
                <w:szCs w:val="24"/>
                <w:highlight w:val="none"/>
              </w:rPr>
            </w:pPr>
            <w:r>
              <w:rPr>
                <w:rFonts w:hint="eastAsia" w:ascii="宋体" w:hAnsi="宋体" w:cs="宋体"/>
                <w:sz w:val="24"/>
                <w:szCs w:val="24"/>
                <w:highlight w:val="none"/>
              </w:rPr>
              <w:t>增值税税金的计算方法</w:t>
            </w:r>
          </w:p>
        </w:tc>
        <w:tc>
          <w:tcPr>
            <w:tcW w:w="6096" w:type="dxa"/>
            <w:tcBorders>
              <w:top w:val="single" w:color="auto" w:sz="4" w:space="0"/>
              <w:left w:val="single" w:color="auto" w:sz="4" w:space="0"/>
              <w:bottom w:val="single" w:color="auto" w:sz="4" w:space="0"/>
              <w:right w:val="single" w:color="auto" w:sz="4" w:space="0"/>
            </w:tcBorders>
            <w:vAlign w:val="center"/>
          </w:tcPr>
          <w:p w14:paraId="653F8BAB">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按国家税务机关的规定执行。</w:t>
            </w:r>
          </w:p>
        </w:tc>
      </w:tr>
      <w:tr w14:paraId="6F0E8B2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3722722">
            <w:pPr>
              <w:spacing w:line="360" w:lineRule="auto"/>
              <w:rPr>
                <w:rFonts w:hint="eastAsia" w:ascii="宋体" w:hAnsi="宋体" w:cs="宋体"/>
                <w:sz w:val="24"/>
                <w:szCs w:val="24"/>
                <w:highlight w:val="none"/>
              </w:rPr>
            </w:pPr>
            <w:r>
              <w:rPr>
                <w:rFonts w:hint="eastAsia" w:ascii="宋体" w:hAnsi="宋体" w:cs="宋体"/>
                <w:sz w:val="24"/>
                <w:szCs w:val="24"/>
                <w:highlight w:val="none"/>
              </w:rPr>
              <w:t>3.2.3</w:t>
            </w:r>
          </w:p>
        </w:tc>
        <w:tc>
          <w:tcPr>
            <w:tcW w:w="2345" w:type="dxa"/>
            <w:tcBorders>
              <w:top w:val="single" w:color="auto" w:sz="4" w:space="0"/>
              <w:left w:val="single" w:color="auto" w:sz="4" w:space="0"/>
              <w:bottom w:val="single" w:color="auto" w:sz="4" w:space="0"/>
              <w:right w:val="single" w:color="auto" w:sz="4" w:space="0"/>
            </w:tcBorders>
            <w:vAlign w:val="center"/>
          </w:tcPr>
          <w:p w14:paraId="4D95E6E5">
            <w:pPr>
              <w:spacing w:line="360" w:lineRule="auto"/>
              <w:rPr>
                <w:rFonts w:hint="eastAsia" w:ascii="宋体" w:hAnsi="宋体" w:cs="宋体"/>
                <w:sz w:val="24"/>
                <w:szCs w:val="24"/>
                <w:highlight w:val="none"/>
              </w:rPr>
            </w:pPr>
            <w:r>
              <w:rPr>
                <w:rFonts w:hint="eastAsia" w:ascii="宋体" w:hAnsi="宋体" w:cs="宋体"/>
                <w:sz w:val="24"/>
                <w:szCs w:val="24"/>
                <w:highlight w:val="none"/>
              </w:rPr>
              <w:t>报价方式</w:t>
            </w:r>
          </w:p>
        </w:tc>
        <w:tc>
          <w:tcPr>
            <w:tcW w:w="6096" w:type="dxa"/>
            <w:tcBorders>
              <w:top w:val="single" w:color="auto" w:sz="4" w:space="0"/>
              <w:left w:val="single" w:color="auto" w:sz="4" w:space="0"/>
              <w:bottom w:val="single" w:color="auto" w:sz="4" w:space="0"/>
              <w:right w:val="single" w:color="auto" w:sz="4" w:space="0"/>
            </w:tcBorders>
            <w:vAlign w:val="center"/>
          </w:tcPr>
          <w:p w14:paraId="5C893AA3">
            <w:pPr>
              <w:spacing w:line="360" w:lineRule="auto"/>
              <w:ind w:right="107" w:rightChars="51"/>
              <w:rPr>
                <w:highlight w:val="none"/>
                <w:u w:val="single"/>
              </w:rPr>
            </w:pPr>
            <w:r>
              <w:rPr>
                <w:rFonts w:hint="eastAsia" w:asciiTheme="minorEastAsia" w:hAnsiTheme="minorEastAsia" w:eastAsiaTheme="minorEastAsia" w:cstheme="minorEastAsia"/>
                <w:kern w:val="0"/>
                <w:sz w:val="24"/>
                <w:szCs w:val="24"/>
                <w:highlight w:val="none"/>
                <w:u w:val="single"/>
              </w:rPr>
              <w:t>1、投标人须严格按照招标人给定的《</w:t>
            </w:r>
            <w:r>
              <w:rPr>
                <w:rFonts w:hint="eastAsia" w:asciiTheme="minorEastAsia" w:hAnsiTheme="minorEastAsia" w:eastAsiaTheme="minorEastAsia" w:cstheme="minorEastAsia"/>
                <w:b/>
                <w:kern w:val="0"/>
                <w:sz w:val="24"/>
                <w:szCs w:val="24"/>
                <w:highlight w:val="none"/>
                <w:u w:val="single"/>
              </w:rPr>
              <w:t>土壤污染修复技术服务项目报价明细表</w:t>
            </w:r>
            <w:r>
              <w:rPr>
                <w:rFonts w:hint="eastAsia" w:asciiTheme="minorEastAsia" w:hAnsiTheme="minorEastAsia" w:eastAsiaTheme="minorEastAsia" w:cstheme="minorEastAsia"/>
                <w:kern w:val="0"/>
                <w:sz w:val="24"/>
                <w:szCs w:val="24"/>
                <w:highlight w:val="none"/>
                <w:u w:val="single"/>
              </w:rPr>
              <w:t>》进行填报综合单价及投标总报价，</w:t>
            </w:r>
            <w:r>
              <w:rPr>
                <w:rFonts w:hint="eastAsia" w:ascii="宋体" w:hAnsi="宋体" w:cs="宋体" w:eastAsiaTheme="minorEastAsia"/>
                <w:sz w:val="24"/>
                <w:szCs w:val="24"/>
                <w:highlight w:val="none"/>
                <w:u w:val="single"/>
              </w:rPr>
              <w:t>投标报价</w:t>
            </w:r>
            <w:r>
              <w:rPr>
                <w:rFonts w:hint="eastAsia" w:ascii="宋体" w:hAnsi="宋体" w:cs="宋体"/>
                <w:sz w:val="24"/>
                <w:szCs w:val="24"/>
                <w:highlight w:val="none"/>
                <w:u w:val="single"/>
              </w:rPr>
              <w:t>不得超过最高投标限价</w:t>
            </w:r>
            <w:r>
              <w:rPr>
                <w:rFonts w:hint="eastAsia" w:asciiTheme="minorEastAsia" w:hAnsiTheme="minorEastAsia" w:eastAsiaTheme="minorEastAsia" w:cstheme="minorEastAsia"/>
                <w:kern w:val="0"/>
                <w:sz w:val="24"/>
                <w:szCs w:val="24"/>
                <w:highlight w:val="none"/>
                <w:u w:val="single"/>
              </w:rPr>
              <w:t>（单价限价及总价限价）</w:t>
            </w:r>
            <w:r>
              <w:rPr>
                <w:rFonts w:hint="eastAsia" w:ascii="宋体" w:hAnsi="宋体" w:cs="宋体"/>
                <w:sz w:val="24"/>
                <w:szCs w:val="24"/>
                <w:highlight w:val="none"/>
                <w:u w:val="single"/>
              </w:rPr>
              <w:t>。</w:t>
            </w:r>
          </w:p>
          <w:p w14:paraId="44CB4572">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2、结算方式：按合同约定执行。</w:t>
            </w:r>
          </w:p>
        </w:tc>
      </w:tr>
      <w:tr w14:paraId="14F991FE">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03ADEE9">
            <w:pPr>
              <w:spacing w:line="360" w:lineRule="auto"/>
              <w:rPr>
                <w:rFonts w:hint="eastAsia" w:ascii="宋体" w:hAnsi="宋体" w:cs="宋体"/>
                <w:sz w:val="24"/>
                <w:szCs w:val="24"/>
                <w:highlight w:val="none"/>
              </w:rPr>
            </w:pPr>
            <w:r>
              <w:rPr>
                <w:rFonts w:hint="eastAsia" w:ascii="宋体" w:hAnsi="宋体" w:cs="宋体"/>
                <w:sz w:val="24"/>
                <w:szCs w:val="24"/>
                <w:highlight w:val="none"/>
              </w:rPr>
              <w:t>3.2.4</w:t>
            </w:r>
          </w:p>
        </w:tc>
        <w:tc>
          <w:tcPr>
            <w:tcW w:w="2345" w:type="dxa"/>
            <w:tcBorders>
              <w:top w:val="single" w:color="auto" w:sz="4" w:space="0"/>
              <w:left w:val="single" w:color="auto" w:sz="4" w:space="0"/>
              <w:bottom w:val="single" w:color="auto" w:sz="4" w:space="0"/>
              <w:right w:val="single" w:color="auto" w:sz="4" w:space="0"/>
            </w:tcBorders>
            <w:vAlign w:val="center"/>
          </w:tcPr>
          <w:p w14:paraId="379F0501">
            <w:pPr>
              <w:spacing w:line="360" w:lineRule="auto"/>
              <w:rPr>
                <w:rFonts w:hint="eastAsia" w:ascii="宋体" w:hAnsi="宋体" w:cs="宋体"/>
                <w:sz w:val="24"/>
                <w:szCs w:val="24"/>
                <w:highlight w:val="none"/>
              </w:rPr>
            </w:pPr>
            <w:r>
              <w:rPr>
                <w:rFonts w:hint="eastAsia" w:ascii="宋体" w:hAnsi="宋体" w:cs="宋体"/>
                <w:sz w:val="24"/>
                <w:szCs w:val="24"/>
                <w:highlight w:val="none"/>
              </w:rPr>
              <w:t>最高投标限价</w:t>
            </w:r>
          </w:p>
        </w:tc>
        <w:tc>
          <w:tcPr>
            <w:tcW w:w="6096" w:type="dxa"/>
            <w:tcBorders>
              <w:top w:val="single" w:color="auto" w:sz="4" w:space="0"/>
              <w:left w:val="single" w:color="auto" w:sz="4" w:space="0"/>
              <w:bottom w:val="single" w:color="auto" w:sz="4" w:space="0"/>
              <w:right w:val="single" w:color="auto" w:sz="4" w:space="0"/>
            </w:tcBorders>
            <w:vAlign w:val="center"/>
          </w:tcPr>
          <w:p w14:paraId="5FBD5607">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□无</w:t>
            </w:r>
          </w:p>
          <w:p w14:paraId="3DC07BC5">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■有，最高投标限价：</w:t>
            </w:r>
            <w:r>
              <w:rPr>
                <w:rFonts w:hint="eastAsia" w:ascii="宋体" w:hAnsi="宋体" w:cs="宋体"/>
                <w:sz w:val="24"/>
                <w:szCs w:val="24"/>
                <w:highlight w:val="none"/>
                <w:u w:val="single"/>
              </w:rPr>
              <w:t>52008585.80元，其中绿色施工安全防护措施费1387259.96元</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其他项目费85040.20元</w:t>
            </w:r>
            <w:r>
              <w:rPr>
                <w:rFonts w:hint="eastAsia" w:ascii="宋体" w:hAnsi="宋体" w:cs="宋体"/>
                <w:sz w:val="24"/>
                <w:szCs w:val="24"/>
                <w:highlight w:val="none"/>
              </w:rPr>
              <w:t>。</w:t>
            </w:r>
          </w:p>
          <w:p w14:paraId="42FCA034">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1</w:t>
            </w:r>
            <w:r>
              <w:rPr>
                <w:rFonts w:ascii="宋体" w:hAnsi="宋体" w:cs="宋体"/>
                <w:sz w:val="24"/>
                <w:szCs w:val="24"/>
                <w:highlight w:val="none"/>
              </w:rPr>
              <w:t>.</w:t>
            </w:r>
            <w:r>
              <w:rPr>
                <w:rFonts w:hint="eastAsia" w:ascii="宋体" w:hAnsi="宋体" w:cs="宋体"/>
                <w:sz w:val="24"/>
                <w:szCs w:val="24"/>
                <w:highlight w:val="none"/>
              </w:rPr>
              <w:t>本项目绿色施工安全防护措施费、</w:t>
            </w:r>
            <w:r>
              <w:rPr>
                <w:rFonts w:hint="eastAsia" w:ascii="宋体" w:hAnsi="宋体" w:cs="宋体"/>
                <w:sz w:val="24"/>
                <w:szCs w:val="24"/>
                <w:highlight w:val="none"/>
                <w:lang w:val="en-US" w:eastAsia="zh-CN"/>
              </w:rPr>
              <w:t>其他项目费</w:t>
            </w:r>
            <w:r>
              <w:rPr>
                <w:rFonts w:hint="eastAsia" w:ascii="宋体" w:hAnsi="宋体" w:cs="宋体"/>
                <w:sz w:val="24"/>
                <w:szCs w:val="24"/>
                <w:highlight w:val="none"/>
              </w:rPr>
              <w:t>为非竞争性费用，未按招标文件规定的金额填写的，由评标委员会按照招标文件规定的金额进行修正。</w:t>
            </w:r>
          </w:p>
          <w:p w14:paraId="2736D590">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rPr>
              <w:t>2</w:t>
            </w:r>
            <w:r>
              <w:rPr>
                <w:rFonts w:ascii="宋体" w:hAnsi="宋体" w:cs="宋体"/>
                <w:sz w:val="24"/>
                <w:szCs w:val="24"/>
                <w:highlight w:val="none"/>
              </w:rPr>
              <w:t>.</w:t>
            </w:r>
            <w:r>
              <w:rPr>
                <w:rFonts w:hint="eastAsia" w:ascii="宋体" w:hAnsi="宋体" w:cs="宋体"/>
                <w:sz w:val="24"/>
                <w:szCs w:val="24"/>
                <w:highlight w:val="none"/>
              </w:rPr>
              <w:t>本项目实行双限价，即:投标人的投标总报价及综合单价都不能超过招标人公布的最高投标限价或综合单价限价，具体详见最高投标限价公布函及《土壤污染修复技术服务</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最高限价</w:t>
            </w:r>
            <w:r>
              <w:rPr>
                <w:rFonts w:hint="eastAsia" w:ascii="宋体" w:hAnsi="宋体" w:cs="宋体"/>
                <w:sz w:val="24"/>
                <w:szCs w:val="24"/>
                <w:highlight w:val="none"/>
                <w:lang w:eastAsia="zh-CN"/>
              </w:rPr>
              <w:t>）</w:t>
            </w:r>
            <w:r>
              <w:rPr>
                <w:rFonts w:hint="eastAsia" w:ascii="宋体" w:hAnsi="宋体" w:cs="宋体"/>
                <w:sz w:val="24"/>
                <w:szCs w:val="24"/>
                <w:highlight w:val="none"/>
              </w:rPr>
              <w:t>》，投标总报价超过最高投标限价或投标综合单价超过综合单价限价的投标文件将被拒绝。</w:t>
            </w:r>
          </w:p>
        </w:tc>
      </w:tr>
      <w:tr w14:paraId="0A1C6008">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3EFE08C0">
            <w:pPr>
              <w:spacing w:line="360" w:lineRule="auto"/>
              <w:rPr>
                <w:rFonts w:hint="eastAsia" w:ascii="宋体" w:hAnsi="宋体" w:cs="宋体"/>
                <w:sz w:val="24"/>
                <w:szCs w:val="24"/>
                <w:highlight w:val="none"/>
              </w:rPr>
            </w:pPr>
            <w:r>
              <w:rPr>
                <w:rFonts w:hint="eastAsia" w:ascii="宋体" w:hAnsi="宋体" w:cs="宋体"/>
                <w:sz w:val="24"/>
                <w:szCs w:val="24"/>
                <w:highlight w:val="none"/>
              </w:rPr>
              <w:t>3.2.5</w:t>
            </w:r>
          </w:p>
        </w:tc>
        <w:tc>
          <w:tcPr>
            <w:tcW w:w="2345" w:type="dxa"/>
            <w:tcBorders>
              <w:top w:val="single" w:color="auto" w:sz="4" w:space="0"/>
              <w:left w:val="single" w:color="auto" w:sz="4" w:space="0"/>
              <w:bottom w:val="single" w:color="auto" w:sz="4" w:space="0"/>
              <w:right w:val="single" w:color="auto" w:sz="4" w:space="0"/>
            </w:tcBorders>
            <w:vAlign w:val="center"/>
          </w:tcPr>
          <w:p w14:paraId="36598628">
            <w:pPr>
              <w:spacing w:line="360" w:lineRule="auto"/>
              <w:rPr>
                <w:rFonts w:hint="eastAsia" w:ascii="宋体" w:hAnsi="宋体" w:cs="宋体"/>
                <w:sz w:val="24"/>
                <w:szCs w:val="24"/>
                <w:highlight w:val="none"/>
              </w:rPr>
            </w:pPr>
            <w:r>
              <w:rPr>
                <w:rFonts w:hint="eastAsia" w:ascii="宋体" w:hAnsi="宋体" w:cs="宋体"/>
                <w:sz w:val="24"/>
                <w:szCs w:val="24"/>
                <w:highlight w:val="none"/>
              </w:rPr>
              <w:t>投标报价的其他要求</w:t>
            </w:r>
          </w:p>
        </w:tc>
        <w:tc>
          <w:tcPr>
            <w:tcW w:w="6096" w:type="dxa"/>
            <w:tcBorders>
              <w:top w:val="single" w:color="auto" w:sz="4" w:space="0"/>
              <w:left w:val="single" w:color="auto" w:sz="4" w:space="0"/>
              <w:bottom w:val="single" w:color="auto" w:sz="4" w:space="0"/>
              <w:right w:val="single" w:color="auto" w:sz="4" w:space="0"/>
            </w:tcBorders>
            <w:vAlign w:val="center"/>
          </w:tcPr>
          <w:p w14:paraId="71EB9435">
            <w:pPr>
              <w:pStyle w:val="4"/>
              <w:ind w:firstLine="0"/>
              <w:rPr>
                <w:rFonts w:hint="eastAsia" w:ascii="宋体" w:hAnsi="宋体" w:cs="宋体"/>
                <w:sz w:val="24"/>
                <w:szCs w:val="24"/>
                <w:highlight w:val="none"/>
              </w:rPr>
            </w:pPr>
            <w:r>
              <w:rPr>
                <w:rFonts w:hint="eastAsia" w:ascii="宋体" w:hAnsi="宋体" w:cs="宋体"/>
                <w:sz w:val="24"/>
                <w:szCs w:val="24"/>
                <w:highlight w:val="none"/>
              </w:rPr>
              <w:t>/</w:t>
            </w:r>
          </w:p>
        </w:tc>
      </w:tr>
      <w:tr w14:paraId="7C2AB010">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A6A2619">
            <w:pPr>
              <w:spacing w:line="360" w:lineRule="auto"/>
              <w:rPr>
                <w:rFonts w:hint="eastAsia" w:ascii="宋体" w:hAnsi="宋体" w:cs="宋体"/>
                <w:sz w:val="24"/>
                <w:szCs w:val="24"/>
                <w:highlight w:val="none"/>
              </w:rPr>
            </w:pPr>
            <w:r>
              <w:rPr>
                <w:rFonts w:hint="eastAsia" w:ascii="宋体" w:hAnsi="宋体" w:cs="宋体"/>
                <w:sz w:val="24"/>
                <w:szCs w:val="24"/>
                <w:highlight w:val="none"/>
              </w:rPr>
              <w:t>3.3.1</w:t>
            </w:r>
          </w:p>
        </w:tc>
        <w:tc>
          <w:tcPr>
            <w:tcW w:w="2345" w:type="dxa"/>
            <w:tcBorders>
              <w:top w:val="single" w:color="auto" w:sz="4" w:space="0"/>
              <w:left w:val="single" w:color="auto" w:sz="4" w:space="0"/>
              <w:bottom w:val="single" w:color="auto" w:sz="4" w:space="0"/>
              <w:right w:val="single" w:color="auto" w:sz="4" w:space="0"/>
            </w:tcBorders>
            <w:vAlign w:val="center"/>
          </w:tcPr>
          <w:p w14:paraId="075B5199">
            <w:pPr>
              <w:spacing w:line="360" w:lineRule="auto"/>
              <w:rPr>
                <w:rFonts w:hint="eastAsia" w:ascii="宋体" w:hAnsi="宋体" w:cs="宋体"/>
                <w:sz w:val="24"/>
                <w:szCs w:val="24"/>
                <w:highlight w:val="none"/>
              </w:rPr>
            </w:pPr>
            <w:r>
              <w:rPr>
                <w:rFonts w:hint="eastAsia" w:ascii="宋体" w:hAnsi="宋体" w:cs="宋体"/>
                <w:sz w:val="24"/>
                <w:szCs w:val="24"/>
                <w:highlight w:val="none"/>
              </w:rPr>
              <w:t>投标有效期</w:t>
            </w:r>
          </w:p>
        </w:tc>
        <w:tc>
          <w:tcPr>
            <w:tcW w:w="6096" w:type="dxa"/>
            <w:tcBorders>
              <w:top w:val="single" w:color="auto" w:sz="4" w:space="0"/>
              <w:left w:val="single" w:color="auto" w:sz="4" w:space="0"/>
              <w:bottom w:val="single" w:color="auto" w:sz="4" w:space="0"/>
              <w:right w:val="single" w:color="auto" w:sz="4" w:space="0"/>
            </w:tcBorders>
            <w:vAlign w:val="center"/>
          </w:tcPr>
          <w:p w14:paraId="00A6F264">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90</w:t>
            </w:r>
            <w:r>
              <w:rPr>
                <w:rFonts w:hint="eastAsia" w:ascii="宋体" w:hAnsi="宋体" w:cs="宋体"/>
                <w:sz w:val="24"/>
                <w:szCs w:val="24"/>
                <w:highlight w:val="none"/>
              </w:rPr>
              <w:t>日历天</w:t>
            </w:r>
            <w:r>
              <w:rPr>
                <w:rFonts w:hint="eastAsia" w:ascii="宋体" w:hAnsi="宋体" w:cs="宋体"/>
                <w:sz w:val="24"/>
                <w:szCs w:val="24"/>
                <w:highlight w:val="none"/>
                <w:u w:val="single"/>
              </w:rPr>
              <w:t>（从提交投标截止之日起计算）。</w:t>
            </w:r>
          </w:p>
        </w:tc>
      </w:tr>
      <w:tr w14:paraId="71E4D144">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vAlign w:val="center"/>
          </w:tcPr>
          <w:p w14:paraId="75800F02">
            <w:pPr>
              <w:spacing w:line="360" w:lineRule="auto"/>
              <w:rPr>
                <w:rFonts w:hint="eastAsia" w:ascii="宋体" w:hAnsi="宋体" w:cs="宋体"/>
                <w:sz w:val="24"/>
                <w:szCs w:val="24"/>
                <w:highlight w:val="none"/>
              </w:rPr>
            </w:pPr>
            <w:r>
              <w:rPr>
                <w:rFonts w:hint="eastAsia" w:ascii="宋体" w:hAnsi="宋体" w:cs="宋体"/>
                <w:sz w:val="24"/>
                <w:szCs w:val="24"/>
                <w:highlight w:val="none"/>
              </w:rPr>
              <w:t>3.4.1</w:t>
            </w:r>
          </w:p>
        </w:tc>
        <w:tc>
          <w:tcPr>
            <w:tcW w:w="2345" w:type="dxa"/>
            <w:tcBorders>
              <w:top w:val="single" w:color="auto" w:sz="4" w:space="0"/>
              <w:left w:val="single" w:color="auto" w:sz="4" w:space="0"/>
              <w:bottom w:val="single" w:color="auto" w:sz="4" w:space="0"/>
              <w:right w:val="single" w:color="auto" w:sz="4" w:space="0"/>
            </w:tcBorders>
            <w:vAlign w:val="center"/>
          </w:tcPr>
          <w:p w14:paraId="7F868FD8">
            <w:pPr>
              <w:spacing w:line="360" w:lineRule="auto"/>
              <w:rPr>
                <w:rFonts w:hint="eastAsia" w:ascii="宋体" w:hAnsi="宋体" w:cs="宋体"/>
                <w:sz w:val="24"/>
                <w:szCs w:val="24"/>
                <w:highlight w:val="none"/>
              </w:rPr>
            </w:pPr>
            <w:r>
              <w:rPr>
                <w:rFonts w:hint="eastAsia" w:ascii="宋体" w:hAnsi="宋体" w:cs="宋体"/>
                <w:sz w:val="24"/>
                <w:szCs w:val="24"/>
                <w:highlight w:val="none"/>
              </w:rPr>
              <w:t>投标保证金</w:t>
            </w:r>
          </w:p>
        </w:tc>
        <w:tc>
          <w:tcPr>
            <w:tcW w:w="6096" w:type="dxa"/>
            <w:tcBorders>
              <w:top w:val="single" w:color="auto" w:sz="4" w:space="0"/>
              <w:left w:val="single" w:color="auto" w:sz="4" w:space="0"/>
              <w:bottom w:val="single" w:color="auto" w:sz="4" w:space="0"/>
              <w:right w:val="single" w:color="auto" w:sz="4" w:space="0"/>
            </w:tcBorders>
            <w:vAlign w:val="center"/>
          </w:tcPr>
          <w:p w14:paraId="56DAA12B">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是否要求投标人递交投标保证金：</w:t>
            </w:r>
          </w:p>
          <w:p w14:paraId="51ADF175">
            <w:pPr>
              <w:topLinePunct/>
              <w:snapToGrid w:val="0"/>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rPr>
              <w:t>□要求</w:t>
            </w:r>
          </w:p>
          <w:p w14:paraId="009EBE6F">
            <w:pPr>
              <w:spacing w:line="360" w:lineRule="auto"/>
              <w:rPr>
                <w:rFonts w:hint="eastAsia" w:ascii="宋体" w:hAnsi="宋体" w:cs="宋体"/>
                <w:sz w:val="24"/>
                <w:szCs w:val="24"/>
                <w:highlight w:val="none"/>
              </w:rPr>
            </w:pPr>
            <w:r>
              <w:rPr>
                <w:rFonts w:hint="eastAsia" w:ascii="宋体" w:hAnsi="宋体" w:cs="宋体"/>
                <w:sz w:val="24"/>
                <w:szCs w:val="24"/>
                <w:highlight w:val="none"/>
              </w:rPr>
              <w:t>■不要求。</w:t>
            </w:r>
            <w:r>
              <w:rPr>
                <w:rFonts w:hint="eastAsia" w:ascii="宋体" w:hAnsi="宋体" w:cs="宋体"/>
                <w:sz w:val="24"/>
                <w:highlight w:val="none"/>
              </w:rPr>
              <w:t>本项目不需要交纳投标保证金。</w:t>
            </w:r>
          </w:p>
        </w:tc>
      </w:tr>
      <w:tr w14:paraId="7F0136F3">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vAlign w:val="center"/>
          </w:tcPr>
          <w:p w14:paraId="2F4B4FB8">
            <w:pPr>
              <w:spacing w:line="360" w:lineRule="auto"/>
              <w:rPr>
                <w:rFonts w:hint="eastAsia" w:ascii="宋体" w:hAnsi="宋体" w:cs="宋体"/>
                <w:sz w:val="24"/>
                <w:szCs w:val="24"/>
                <w:highlight w:val="none"/>
              </w:rPr>
            </w:pPr>
            <w:r>
              <w:rPr>
                <w:rFonts w:hint="eastAsia" w:ascii="宋体" w:hAnsi="宋体" w:cs="宋体"/>
                <w:sz w:val="24"/>
                <w:szCs w:val="24"/>
                <w:highlight w:val="none"/>
              </w:rPr>
              <w:t>3.4.4</w:t>
            </w:r>
          </w:p>
        </w:tc>
        <w:tc>
          <w:tcPr>
            <w:tcW w:w="2345" w:type="dxa"/>
            <w:tcBorders>
              <w:top w:val="single" w:color="auto" w:sz="4" w:space="0"/>
              <w:left w:val="single" w:color="auto" w:sz="4" w:space="0"/>
              <w:bottom w:val="single" w:color="auto" w:sz="4" w:space="0"/>
              <w:right w:val="single" w:color="auto" w:sz="4" w:space="0"/>
            </w:tcBorders>
            <w:vAlign w:val="center"/>
          </w:tcPr>
          <w:p w14:paraId="4B1E7F1A">
            <w:pPr>
              <w:spacing w:line="360" w:lineRule="auto"/>
              <w:rPr>
                <w:rFonts w:hint="eastAsia" w:ascii="宋体" w:hAnsi="宋体" w:cs="宋体"/>
                <w:sz w:val="24"/>
                <w:szCs w:val="24"/>
                <w:highlight w:val="none"/>
              </w:rPr>
            </w:pPr>
            <w:r>
              <w:rPr>
                <w:rFonts w:hint="eastAsia" w:ascii="宋体" w:hAnsi="宋体" w:cs="宋体"/>
                <w:sz w:val="24"/>
                <w:szCs w:val="24"/>
                <w:highlight w:val="none"/>
              </w:rPr>
              <w:t>其他可以不予退还投标保证金的情形</w:t>
            </w:r>
          </w:p>
        </w:tc>
        <w:tc>
          <w:tcPr>
            <w:tcW w:w="6096" w:type="dxa"/>
            <w:tcBorders>
              <w:top w:val="single" w:color="auto" w:sz="4" w:space="0"/>
              <w:left w:val="single" w:color="auto" w:sz="4" w:space="0"/>
              <w:bottom w:val="single" w:color="auto" w:sz="4" w:space="0"/>
              <w:right w:val="single" w:color="auto" w:sz="4" w:space="0"/>
            </w:tcBorders>
            <w:vAlign w:val="center"/>
          </w:tcPr>
          <w:p w14:paraId="3DDC1FCC">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（本项目不要求递交投标保证金）</w:t>
            </w:r>
          </w:p>
        </w:tc>
      </w:tr>
      <w:tr w14:paraId="59B036CC">
        <w:tblPrEx>
          <w:tblCellMar>
            <w:top w:w="0" w:type="dxa"/>
            <w:left w:w="108" w:type="dxa"/>
            <w:bottom w:w="0" w:type="dxa"/>
            <w:right w:w="108" w:type="dxa"/>
          </w:tblCellMar>
        </w:tblPrEx>
        <w:trPr>
          <w:trHeight w:val="611" w:hRule="atLeast"/>
        </w:trPr>
        <w:tc>
          <w:tcPr>
            <w:tcW w:w="1165" w:type="dxa"/>
            <w:tcBorders>
              <w:top w:val="single" w:color="auto" w:sz="4" w:space="0"/>
              <w:left w:val="single" w:color="auto" w:sz="4" w:space="0"/>
              <w:bottom w:val="single" w:color="auto" w:sz="4" w:space="0"/>
              <w:right w:val="single" w:color="auto" w:sz="4" w:space="0"/>
            </w:tcBorders>
            <w:vAlign w:val="center"/>
          </w:tcPr>
          <w:p w14:paraId="62BB8047">
            <w:pPr>
              <w:spacing w:line="360" w:lineRule="auto"/>
              <w:rPr>
                <w:rFonts w:hint="eastAsia" w:ascii="宋体" w:hAnsi="宋体" w:cs="宋体"/>
                <w:sz w:val="24"/>
                <w:szCs w:val="24"/>
                <w:highlight w:val="none"/>
              </w:rPr>
            </w:pPr>
            <w:r>
              <w:rPr>
                <w:rFonts w:hint="eastAsia" w:ascii="宋体" w:hAnsi="宋体" w:cs="宋体"/>
                <w:sz w:val="24"/>
                <w:szCs w:val="24"/>
                <w:highlight w:val="none"/>
              </w:rPr>
              <w:t>3.6.1</w:t>
            </w:r>
          </w:p>
        </w:tc>
        <w:tc>
          <w:tcPr>
            <w:tcW w:w="2345" w:type="dxa"/>
            <w:tcBorders>
              <w:top w:val="single" w:color="auto" w:sz="4" w:space="0"/>
              <w:left w:val="single" w:color="auto" w:sz="4" w:space="0"/>
              <w:bottom w:val="single" w:color="auto" w:sz="4" w:space="0"/>
              <w:right w:val="single" w:color="auto" w:sz="4" w:space="0"/>
            </w:tcBorders>
            <w:vAlign w:val="center"/>
          </w:tcPr>
          <w:p w14:paraId="265B3583">
            <w:pPr>
              <w:spacing w:line="360" w:lineRule="auto"/>
              <w:rPr>
                <w:rFonts w:hint="eastAsia" w:ascii="宋体" w:hAnsi="宋体" w:cs="宋体"/>
                <w:sz w:val="24"/>
                <w:szCs w:val="24"/>
                <w:highlight w:val="none"/>
              </w:rPr>
            </w:pPr>
            <w:r>
              <w:rPr>
                <w:rFonts w:hint="eastAsia" w:ascii="宋体" w:hAnsi="宋体" w:cs="宋体"/>
                <w:sz w:val="24"/>
                <w:szCs w:val="24"/>
                <w:highlight w:val="none"/>
              </w:rPr>
              <w:t>是否允许递交备选投标方案</w:t>
            </w:r>
          </w:p>
        </w:tc>
        <w:tc>
          <w:tcPr>
            <w:tcW w:w="6096" w:type="dxa"/>
            <w:tcBorders>
              <w:top w:val="single" w:color="auto" w:sz="4" w:space="0"/>
              <w:left w:val="single" w:color="auto" w:sz="4" w:space="0"/>
              <w:bottom w:val="single" w:color="auto" w:sz="4" w:space="0"/>
              <w:right w:val="single" w:color="auto" w:sz="4" w:space="0"/>
            </w:tcBorders>
            <w:vAlign w:val="center"/>
          </w:tcPr>
          <w:p w14:paraId="22C213C2">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■不允许</w:t>
            </w:r>
          </w:p>
          <w:p w14:paraId="43E3F607">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□允许</w:t>
            </w:r>
          </w:p>
        </w:tc>
      </w:tr>
      <w:tr w14:paraId="69C3A3B6">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184425E9">
            <w:pPr>
              <w:spacing w:line="360" w:lineRule="auto"/>
              <w:rPr>
                <w:rFonts w:hint="eastAsia" w:ascii="宋体" w:hAnsi="宋体" w:cs="宋体"/>
                <w:sz w:val="24"/>
                <w:szCs w:val="24"/>
                <w:highlight w:val="none"/>
              </w:rPr>
            </w:pPr>
            <w:r>
              <w:rPr>
                <w:rFonts w:hint="eastAsia" w:ascii="宋体" w:hAnsi="宋体" w:cs="宋体"/>
                <w:sz w:val="24"/>
                <w:szCs w:val="24"/>
                <w:highlight w:val="none"/>
              </w:rPr>
              <w:t>3.7.3</w:t>
            </w:r>
          </w:p>
        </w:tc>
        <w:tc>
          <w:tcPr>
            <w:tcW w:w="2345" w:type="dxa"/>
            <w:tcBorders>
              <w:top w:val="single" w:color="auto" w:sz="4" w:space="0"/>
              <w:left w:val="single" w:color="auto" w:sz="4" w:space="0"/>
              <w:bottom w:val="single" w:color="auto" w:sz="4" w:space="0"/>
              <w:right w:val="single" w:color="auto" w:sz="4" w:space="0"/>
            </w:tcBorders>
            <w:vAlign w:val="center"/>
          </w:tcPr>
          <w:p w14:paraId="0BE7BC87">
            <w:pPr>
              <w:spacing w:line="360" w:lineRule="auto"/>
              <w:rPr>
                <w:rFonts w:hint="eastAsia" w:ascii="宋体" w:hAnsi="宋体" w:cs="宋体"/>
                <w:sz w:val="24"/>
                <w:szCs w:val="24"/>
                <w:highlight w:val="none"/>
              </w:rPr>
            </w:pPr>
            <w:r>
              <w:rPr>
                <w:rFonts w:hint="eastAsia" w:ascii="宋体" w:hAnsi="宋体" w:cs="宋体"/>
                <w:sz w:val="24"/>
                <w:szCs w:val="24"/>
                <w:highlight w:val="none"/>
              </w:rPr>
              <w:t>投标文件所附证书证件要求</w:t>
            </w:r>
          </w:p>
        </w:tc>
        <w:tc>
          <w:tcPr>
            <w:tcW w:w="6096" w:type="dxa"/>
            <w:tcBorders>
              <w:top w:val="single" w:color="auto" w:sz="4" w:space="0"/>
              <w:left w:val="single" w:color="auto" w:sz="4" w:space="0"/>
              <w:bottom w:val="single" w:color="auto" w:sz="4" w:space="0"/>
              <w:right w:val="single" w:color="auto" w:sz="4" w:space="0"/>
            </w:tcBorders>
            <w:vAlign w:val="center"/>
          </w:tcPr>
          <w:p w14:paraId="0DA6E9BD">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u w:val="single"/>
              </w:rPr>
              <w:t>证书证件需为清晰扫描件，并采用单位数字证书，对投标文件加盖电子印章。</w:t>
            </w:r>
          </w:p>
        </w:tc>
      </w:tr>
      <w:tr w14:paraId="6EEBF9B5">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973E6FF">
            <w:pPr>
              <w:spacing w:line="360" w:lineRule="auto"/>
              <w:rPr>
                <w:rFonts w:hint="eastAsia" w:ascii="宋体" w:hAnsi="宋体" w:cs="宋体"/>
                <w:sz w:val="24"/>
                <w:szCs w:val="24"/>
                <w:highlight w:val="none"/>
              </w:rPr>
            </w:pPr>
            <w:r>
              <w:rPr>
                <w:rFonts w:hint="eastAsia" w:ascii="宋体" w:hAnsi="宋体" w:cs="宋体"/>
                <w:sz w:val="24"/>
                <w:szCs w:val="24"/>
                <w:highlight w:val="none"/>
              </w:rPr>
              <w:t>3.7.3</w:t>
            </w:r>
          </w:p>
        </w:tc>
        <w:tc>
          <w:tcPr>
            <w:tcW w:w="2345" w:type="dxa"/>
            <w:tcBorders>
              <w:top w:val="single" w:color="auto" w:sz="4" w:space="0"/>
              <w:left w:val="single" w:color="auto" w:sz="4" w:space="0"/>
              <w:bottom w:val="single" w:color="auto" w:sz="4" w:space="0"/>
              <w:right w:val="single" w:color="auto" w:sz="4" w:space="0"/>
            </w:tcBorders>
            <w:vAlign w:val="center"/>
          </w:tcPr>
          <w:p w14:paraId="08D2A485">
            <w:pPr>
              <w:spacing w:line="360" w:lineRule="auto"/>
              <w:rPr>
                <w:rFonts w:hint="eastAsia" w:ascii="宋体" w:hAnsi="宋体" w:cs="宋体"/>
                <w:sz w:val="24"/>
                <w:szCs w:val="24"/>
                <w:highlight w:val="none"/>
              </w:rPr>
            </w:pPr>
            <w:r>
              <w:rPr>
                <w:rFonts w:hint="eastAsia" w:ascii="宋体" w:hAnsi="宋体" w:cs="宋体"/>
                <w:sz w:val="24"/>
                <w:szCs w:val="24"/>
                <w:highlight w:val="none"/>
              </w:rPr>
              <w:t>投标文件签字或盖章要求</w:t>
            </w:r>
          </w:p>
        </w:tc>
        <w:tc>
          <w:tcPr>
            <w:tcW w:w="6096" w:type="dxa"/>
            <w:tcBorders>
              <w:top w:val="single" w:color="auto" w:sz="4" w:space="0"/>
              <w:left w:val="single" w:color="auto" w:sz="4" w:space="0"/>
              <w:bottom w:val="single" w:color="auto" w:sz="4" w:space="0"/>
              <w:right w:val="single" w:color="auto" w:sz="4" w:space="0"/>
            </w:tcBorders>
            <w:vAlign w:val="center"/>
          </w:tcPr>
          <w:p w14:paraId="7F611B3C">
            <w:pPr>
              <w:topLinePunct/>
              <w:spacing w:line="360" w:lineRule="auto"/>
              <w:ind w:right="107" w:rightChars="51"/>
              <w:rPr>
                <w:rFonts w:hint="eastAsia" w:ascii="宋体" w:hAnsi="宋体" w:cs="宋体"/>
                <w:sz w:val="24"/>
                <w:szCs w:val="24"/>
                <w:highlight w:val="none"/>
                <w:u w:val="single"/>
              </w:rPr>
            </w:pPr>
            <w:bookmarkStart w:id="5" w:name="OLE_LINK27"/>
            <w:r>
              <w:rPr>
                <w:rFonts w:hint="eastAsia" w:ascii="宋体" w:hAnsi="宋体" w:cs="宋体"/>
                <w:sz w:val="24"/>
                <w:szCs w:val="24"/>
                <w:highlight w:val="none"/>
                <w:u w:val="single"/>
              </w:rPr>
              <w:t>投标人采用单位数字证书，对投标文件加盖电子印章。投标文件中需个人签字或盖章的，应加盖个人电子印章或在线下完成后扫描上传。</w:t>
            </w:r>
            <w:bookmarkEnd w:id="5"/>
            <w:r>
              <w:rPr>
                <w:rFonts w:hint="eastAsia" w:ascii="宋体" w:hAnsi="宋体" w:cs="宋体"/>
                <w:sz w:val="24"/>
                <w:szCs w:val="24"/>
                <w:highlight w:val="none"/>
                <w:u w:val="single"/>
              </w:rPr>
              <w:t>按照交易平台关于全流程电子化项目的相关指南进行操作。</w:t>
            </w:r>
          </w:p>
        </w:tc>
      </w:tr>
      <w:tr w14:paraId="71A2C4B3">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7D89ECE2">
            <w:pPr>
              <w:spacing w:line="360" w:lineRule="auto"/>
              <w:rPr>
                <w:rFonts w:hint="eastAsia" w:ascii="宋体" w:hAnsi="宋体" w:cs="宋体"/>
                <w:sz w:val="24"/>
                <w:szCs w:val="24"/>
                <w:highlight w:val="none"/>
              </w:rPr>
            </w:pPr>
            <w:r>
              <w:rPr>
                <w:rFonts w:hint="eastAsia" w:ascii="宋体" w:hAnsi="宋体" w:cs="宋体"/>
                <w:sz w:val="24"/>
                <w:szCs w:val="24"/>
                <w:highlight w:val="none"/>
              </w:rPr>
              <w:t>4.1.1</w:t>
            </w:r>
          </w:p>
        </w:tc>
        <w:tc>
          <w:tcPr>
            <w:tcW w:w="2345" w:type="dxa"/>
            <w:tcBorders>
              <w:top w:val="single" w:color="auto" w:sz="4" w:space="0"/>
              <w:left w:val="single" w:color="auto" w:sz="4" w:space="0"/>
              <w:bottom w:val="single" w:color="auto" w:sz="4" w:space="0"/>
              <w:right w:val="single" w:color="auto" w:sz="4" w:space="0"/>
            </w:tcBorders>
            <w:vAlign w:val="center"/>
          </w:tcPr>
          <w:p w14:paraId="676A8CFC">
            <w:pPr>
              <w:spacing w:line="360" w:lineRule="auto"/>
              <w:rPr>
                <w:rFonts w:hint="eastAsia" w:ascii="宋体" w:hAnsi="宋体" w:cs="宋体"/>
                <w:sz w:val="24"/>
                <w:szCs w:val="24"/>
                <w:highlight w:val="none"/>
              </w:rPr>
            </w:pPr>
            <w:r>
              <w:rPr>
                <w:rFonts w:hint="eastAsia" w:ascii="宋体" w:hAnsi="宋体" w:cs="宋体"/>
                <w:sz w:val="24"/>
                <w:szCs w:val="24"/>
                <w:highlight w:val="none"/>
              </w:rPr>
              <w:t>投标文件加密要求</w:t>
            </w:r>
          </w:p>
        </w:tc>
        <w:tc>
          <w:tcPr>
            <w:tcW w:w="6096" w:type="dxa"/>
            <w:tcBorders>
              <w:top w:val="single" w:color="auto" w:sz="4" w:space="0"/>
              <w:left w:val="single" w:color="auto" w:sz="4" w:space="0"/>
              <w:bottom w:val="single" w:color="auto" w:sz="4" w:space="0"/>
              <w:right w:val="single" w:color="auto" w:sz="4" w:space="0"/>
            </w:tcBorders>
            <w:vAlign w:val="center"/>
          </w:tcPr>
          <w:p w14:paraId="07B2A22A">
            <w:pPr>
              <w:topLinePunct/>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网上递交的电子投标文件须进行加密。具体操作详见</w:t>
            </w:r>
            <w:r>
              <w:rPr>
                <w:rFonts w:hint="eastAsia" w:ascii="宋体" w:hAnsi="宋体" w:cs="宋体"/>
                <w:bCs/>
                <w:sz w:val="24"/>
                <w:szCs w:val="24"/>
                <w:highlight w:val="none"/>
                <w:u w:val="single"/>
              </w:rPr>
              <w:t>《建设工程全流程电子化项目操作指南》。</w:t>
            </w:r>
          </w:p>
        </w:tc>
      </w:tr>
      <w:tr w14:paraId="062970EB">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212A56C5">
            <w:pPr>
              <w:spacing w:line="360" w:lineRule="auto"/>
              <w:rPr>
                <w:rFonts w:hint="eastAsia" w:ascii="宋体" w:hAnsi="宋体" w:cs="宋体"/>
                <w:sz w:val="24"/>
                <w:szCs w:val="24"/>
                <w:highlight w:val="none"/>
              </w:rPr>
            </w:pPr>
            <w:r>
              <w:rPr>
                <w:rFonts w:hint="eastAsia" w:ascii="宋体" w:hAnsi="宋体" w:cs="宋体"/>
                <w:sz w:val="24"/>
                <w:szCs w:val="24"/>
                <w:highlight w:val="none"/>
              </w:rPr>
              <w:t>4.1.2</w:t>
            </w:r>
          </w:p>
        </w:tc>
        <w:tc>
          <w:tcPr>
            <w:tcW w:w="2345" w:type="dxa"/>
            <w:tcBorders>
              <w:top w:val="single" w:color="auto" w:sz="4" w:space="0"/>
              <w:left w:val="single" w:color="auto" w:sz="4" w:space="0"/>
              <w:bottom w:val="single" w:color="auto" w:sz="4" w:space="0"/>
              <w:right w:val="single" w:color="auto" w:sz="4" w:space="0"/>
            </w:tcBorders>
            <w:vAlign w:val="center"/>
          </w:tcPr>
          <w:p w14:paraId="71B1E0E2">
            <w:pPr>
              <w:spacing w:line="360" w:lineRule="auto"/>
              <w:rPr>
                <w:rFonts w:hint="eastAsia" w:ascii="宋体" w:hAnsi="宋体" w:cs="宋体"/>
                <w:sz w:val="24"/>
                <w:szCs w:val="24"/>
                <w:highlight w:val="none"/>
              </w:rPr>
            </w:pPr>
            <w:r>
              <w:rPr>
                <w:rFonts w:hint="eastAsia" w:ascii="宋体" w:hAnsi="宋体" w:cs="宋体"/>
                <w:sz w:val="24"/>
                <w:szCs w:val="24"/>
                <w:highlight w:val="none"/>
              </w:rPr>
              <w:t>封套上应载明的信息</w:t>
            </w:r>
          </w:p>
        </w:tc>
        <w:tc>
          <w:tcPr>
            <w:tcW w:w="6096" w:type="dxa"/>
            <w:tcBorders>
              <w:top w:val="single" w:color="auto" w:sz="4" w:space="0"/>
              <w:left w:val="single" w:color="auto" w:sz="4" w:space="0"/>
              <w:bottom w:val="single" w:color="auto" w:sz="4" w:space="0"/>
              <w:right w:val="single" w:color="auto" w:sz="4" w:space="0"/>
            </w:tcBorders>
            <w:vAlign w:val="center"/>
          </w:tcPr>
          <w:p w14:paraId="40D7D13A">
            <w:pPr>
              <w:topLinePunct/>
              <w:snapToGrid w:val="0"/>
              <w:spacing w:line="360" w:lineRule="auto"/>
              <w:ind w:right="174" w:rightChars="83"/>
              <w:rPr>
                <w:rFonts w:hint="eastAsia" w:ascii="宋体" w:hAnsi="宋体" w:cs="宋体"/>
                <w:sz w:val="24"/>
                <w:szCs w:val="24"/>
                <w:highlight w:val="none"/>
              </w:rPr>
            </w:pPr>
            <w:r>
              <w:rPr>
                <w:rFonts w:hint="eastAsia" w:ascii="宋体" w:hAnsi="宋体" w:cs="宋体"/>
                <w:sz w:val="24"/>
                <w:szCs w:val="24"/>
                <w:highlight w:val="none"/>
              </w:rPr>
              <w:t>如有提交投标文件光盘备用，封套上应注明如下信息：</w:t>
            </w:r>
          </w:p>
          <w:p w14:paraId="0BC07B5F">
            <w:pPr>
              <w:topLinePunct/>
              <w:snapToGrid w:val="0"/>
              <w:spacing w:line="360" w:lineRule="auto"/>
              <w:ind w:right="174" w:rightChars="83"/>
              <w:rPr>
                <w:rFonts w:hint="eastAsia" w:ascii="宋体" w:hAnsi="宋体" w:cs="宋体"/>
                <w:sz w:val="24"/>
                <w:szCs w:val="24"/>
                <w:highlight w:val="none"/>
                <w:u w:val="single"/>
              </w:rPr>
            </w:pPr>
            <w:r>
              <w:rPr>
                <w:rFonts w:hint="eastAsia" w:ascii="宋体" w:hAnsi="宋体" w:cs="宋体"/>
                <w:sz w:val="24"/>
                <w:szCs w:val="24"/>
                <w:highlight w:val="none"/>
              </w:rPr>
              <w:t>招标人名称：</w:t>
            </w:r>
            <w:r>
              <w:rPr>
                <w:rFonts w:hint="eastAsia" w:ascii="宋体" w:hAnsi="宋体" w:cs="宋体"/>
                <w:sz w:val="24"/>
                <w:szCs w:val="24"/>
                <w:highlight w:val="none"/>
                <w:u w:val="single"/>
              </w:rPr>
              <w:t>广州市越秀区代建项目管理中心</w:t>
            </w:r>
          </w:p>
          <w:p w14:paraId="43761B68">
            <w:pPr>
              <w:topLinePunct/>
              <w:snapToGrid w:val="0"/>
              <w:spacing w:line="360" w:lineRule="auto"/>
              <w:ind w:right="174" w:rightChars="83"/>
              <w:rPr>
                <w:rFonts w:hint="eastAsia" w:ascii="宋体" w:hAnsi="宋体" w:cs="宋体"/>
                <w:sz w:val="24"/>
                <w:szCs w:val="24"/>
                <w:highlight w:val="none"/>
                <w:u w:val="single"/>
              </w:rPr>
            </w:pPr>
            <w:r>
              <w:rPr>
                <w:rFonts w:hint="eastAsia" w:ascii="宋体" w:hAnsi="宋体" w:cs="宋体"/>
                <w:sz w:val="24"/>
                <w:szCs w:val="24"/>
                <w:highlight w:val="none"/>
              </w:rPr>
              <w:t>招标人地址：</w:t>
            </w:r>
            <w:r>
              <w:rPr>
                <w:rFonts w:hint="eastAsia" w:ascii="宋体" w:hAnsi="宋体" w:cs="宋体"/>
                <w:sz w:val="24"/>
                <w:highlight w:val="none"/>
                <w:u w:val="single"/>
              </w:rPr>
              <w:t>广州市越秀区东华西路永胜街51号</w:t>
            </w:r>
          </w:p>
          <w:p w14:paraId="387F2DFC">
            <w:pPr>
              <w:topLinePunct/>
              <w:snapToGrid w:val="0"/>
              <w:spacing w:line="360" w:lineRule="auto"/>
              <w:ind w:right="174" w:rightChars="83"/>
              <w:rPr>
                <w:rFonts w:hint="eastAsia" w:ascii="宋体" w:hAnsi="宋体" w:cs="宋体"/>
                <w:sz w:val="24"/>
                <w:szCs w:val="24"/>
                <w:highlight w:val="none"/>
                <w:u w:val="single"/>
              </w:rPr>
            </w:pPr>
            <w:r>
              <w:rPr>
                <w:rFonts w:hint="eastAsia" w:ascii="宋体" w:hAnsi="宋体" w:cs="宋体"/>
                <w:sz w:val="24"/>
                <w:szCs w:val="24"/>
                <w:highlight w:val="none"/>
                <w:u w:val="single"/>
              </w:rPr>
              <w:t>花果山产业小镇综合配套工程建设项目土壤污染修复技术服务投标文件</w:t>
            </w:r>
          </w:p>
          <w:p w14:paraId="66CEDC7B">
            <w:pPr>
              <w:topLinePunct/>
              <w:snapToGrid w:val="0"/>
              <w:spacing w:line="360" w:lineRule="auto"/>
              <w:ind w:right="174" w:rightChars="83"/>
              <w:rPr>
                <w:rFonts w:hint="eastAsia" w:ascii="宋体" w:hAnsi="宋体" w:cs="宋体"/>
                <w:sz w:val="24"/>
                <w:szCs w:val="24"/>
                <w:highlight w:val="none"/>
              </w:rPr>
            </w:pPr>
            <w:r>
              <w:rPr>
                <w:rFonts w:hint="eastAsia" w:ascii="宋体" w:hAnsi="宋体" w:cs="宋体"/>
                <w:sz w:val="24"/>
                <w:szCs w:val="24"/>
                <w:highlight w:val="none"/>
              </w:rPr>
              <w:t xml:space="preserve">招标项目编号：   </w:t>
            </w:r>
          </w:p>
          <w:p w14:paraId="11DB1F3E">
            <w:pPr>
              <w:topLinePunct/>
              <w:snapToGrid w:val="0"/>
              <w:spacing w:line="360" w:lineRule="auto"/>
              <w:ind w:right="174" w:rightChars="83"/>
              <w:rPr>
                <w:rFonts w:hint="eastAsia" w:ascii="宋体" w:hAnsi="宋体" w:cs="宋体"/>
                <w:sz w:val="24"/>
                <w:szCs w:val="24"/>
                <w:highlight w:val="none"/>
              </w:rPr>
            </w:pPr>
            <w:r>
              <w:rPr>
                <w:rFonts w:hint="eastAsia" w:ascii="宋体" w:hAnsi="宋体" w:cs="宋体"/>
                <w:sz w:val="24"/>
                <w:szCs w:val="24"/>
                <w:highlight w:val="none"/>
              </w:rPr>
              <w:t>在  年  月  日  时  分前不得开启</w:t>
            </w:r>
          </w:p>
        </w:tc>
      </w:tr>
      <w:tr w14:paraId="746A500F">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vAlign w:val="center"/>
          </w:tcPr>
          <w:p w14:paraId="633FCA4D">
            <w:pPr>
              <w:spacing w:line="360" w:lineRule="auto"/>
              <w:rPr>
                <w:rFonts w:hint="eastAsia" w:ascii="宋体" w:hAnsi="宋体" w:cs="宋体"/>
                <w:sz w:val="24"/>
                <w:szCs w:val="24"/>
                <w:highlight w:val="none"/>
              </w:rPr>
            </w:pPr>
            <w:r>
              <w:rPr>
                <w:rFonts w:hint="eastAsia" w:ascii="宋体" w:hAnsi="宋体" w:cs="宋体"/>
                <w:sz w:val="24"/>
                <w:szCs w:val="24"/>
                <w:highlight w:val="none"/>
              </w:rPr>
              <w:t>4.2.1</w:t>
            </w:r>
          </w:p>
        </w:tc>
        <w:tc>
          <w:tcPr>
            <w:tcW w:w="2345" w:type="dxa"/>
            <w:tcBorders>
              <w:top w:val="single" w:color="auto" w:sz="4" w:space="0"/>
              <w:left w:val="single" w:color="auto" w:sz="4" w:space="0"/>
              <w:bottom w:val="single" w:color="auto" w:sz="4" w:space="0"/>
              <w:right w:val="single" w:color="auto" w:sz="4" w:space="0"/>
            </w:tcBorders>
            <w:vAlign w:val="center"/>
          </w:tcPr>
          <w:p w14:paraId="1307AB91">
            <w:pPr>
              <w:spacing w:line="360" w:lineRule="auto"/>
              <w:rPr>
                <w:rFonts w:hint="eastAsia" w:ascii="宋体" w:hAnsi="宋体" w:cs="宋体"/>
                <w:sz w:val="24"/>
                <w:szCs w:val="24"/>
                <w:highlight w:val="none"/>
              </w:rPr>
            </w:pPr>
            <w:r>
              <w:rPr>
                <w:rFonts w:hint="eastAsia" w:ascii="宋体" w:hAnsi="宋体" w:cs="宋体"/>
                <w:sz w:val="24"/>
                <w:szCs w:val="24"/>
                <w:highlight w:val="none"/>
              </w:rPr>
              <w:t>投标截止时间</w:t>
            </w:r>
          </w:p>
        </w:tc>
        <w:tc>
          <w:tcPr>
            <w:tcW w:w="6096" w:type="dxa"/>
            <w:tcBorders>
              <w:top w:val="single" w:color="auto" w:sz="4" w:space="0"/>
              <w:left w:val="single" w:color="auto" w:sz="4" w:space="0"/>
              <w:bottom w:val="single" w:color="auto" w:sz="4" w:space="0"/>
              <w:right w:val="single" w:color="auto" w:sz="4" w:space="0"/>
            </w:tcBorders>
            <w:vAlign w:val="center"/>
          </w:tcPr>
          <w:p w14:paraId="5337E0F6">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投标截止时间：</w:t>
            </w:r>
            <w:r>
              <w:rPr>
                <w:rFonts w:hint="eastAsia" w:ascii="宋体" w:hAnsi="宋体" w:cs="宋体"/>
                <w:sz w:val="24"/>
                <w:szCs w:val="24"/>
                <w:highlight w:val="none"/>
                <w:u w:val="single"/>
              </w:rPr>
              <w:t>2025</w:t>
            </w:r>
            <w:r>
              <w:rPr>
                <w:rFonts w:hint="eastAsia" w:ascii="宋体" w:hAnsi="宋体" w:cs="宋体"/>
                <w:sz w:val="24"/>
                <w:szCs w:val="24"/>
                <w:highlight w:val="none"/>
              </w:rPr>
              <w:t>年  月  日  时  分（北京时间</w:t>
            </w:r>
            <w:r>
              <w:rPr>
                <w:rFonts w:hint="eastAsia" w:ascii="宋体" w:hAnsi="宋体" w:cs="宋体"/>
                <w:sz w:val="24"/>
                <w:szCs w:val="24"/>
                <w:highlight w:val="none"/>
                <w:u w:val="single"/>
              </w:rPr>
              <w:t>，详见广州交易集团有限公司（广州公共资源交易中心）网站信息</w:t>
            </w:r>
            <w:r>
              <w:rPr>
                <w:rFonts w:hint="eastAsia" w:ascii="宋体" w:hAnsi="宋体" w:cs="宋体"/>
                <w:sz w:val="24"/>
                <w:szCs w:val="24"/>
                <w:highlight w:val="none"/>
              </w:rPr>
              <w:t>）</w:t>
            </w:r>
          </w:p>
        </w:tc>
      </w:tr>
      <w:tr w14:paraId="3E2B8C26">
        <w:tblPrEx>
          <w:tblCellMar>
            <w:top w:w="0" w:type="dxa"/>
            <w:left w:w="108" w:type="dxa"/>
            <w:bottom w:w="0" w:type="dxa"/>
            <w:right w:w="108" w:type="dxa"/>
          </w:tblCellMar>
        </w:tblPrEx>
        <w:trPr>
          <w:trHeight w:val="3833" w:hRule="atLeast"/>
        </w:trPr>
        <w:tc>
          <w:tcPr>
            <w:tcW w:w="1165" w:type="dxa"/>
            <w:tcBorders>
              <w:top w:val="single" w:color="auto" w:sz="4" w:space="0"/>
              <w:left w:val="single" w:color="auto" w:sz="4" w:space="0"/>
              <w:bottom w:val="single" w:color="auto" w:sz="4" w:space="0"/>
              <w:right w:val="single" w:color="auto" w:sz="4" w:space="0"/>
            </w:tcBorders>
            <w:vAlign w:val="center"/>
          </w:tcPr>
          <w:p w14:paraId="2C0A5542">
            <w:pPr>
              <w:spacing w:line="360" w:lineRule="auto"/>
              <w:rPr>
                <w:rFonts w:hint="eastAsia" w:ascii="宋体" w:hAnsi="宋体" w:cs="宋体"/>
                <w:sz w:val="24"/>
                <w:szCs w:val="24"/>
                <w:highlight w:val="none"/>
              </w:rPr>
            </w:pPr>
            <w:r>
              <w:rPr>
                <w:rFonts w:hint="eastAsia" w:ascii="宋体" w:hAnsi="宋体" w:cs="宋体"/>
                <w:sz w:val="24"/>
                <w:szCs w:val="24"/>
                <w:highlight w:val="none"/>
              </w:rPr>
              <w:t>4.2.2</w:t>
            </w:r>
          </w:p>
        </w:tc>
        <w:tc>
          <w:tcPr>
            <w:tcW w:w="2345" w:type="dxa"/>
            <w:tcBorders>
              <w:top w:val="single" w:color="auto" w:sz="4" w:space="0"/>
              <w:left w:val="single" w:color="auto" w:sz="4" w:space="0"/>
              <w:bottom w:val="single" w:color="auto" w:sz="4" w:space="0"/>
              <w:right w:val="single" w:color="auto" w:sz="4" w:space="0"/>
            </w:tcBorders>
            <w:vAlign w:val="center"/>
          </w:tcPr>
          <w:p w14:paraId="0769844A">
            <w:pPr>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递交电子投标文件交易平台</w:t>
            </w:r>
          </w:p>
        </w:tc>
        <w:tc>
          <w:tcPr>
            <w:tcW w:w="6096" w:type="dxa"/>
            <w:tcBorders>
              <w:top w:val="single" w:color="auto" w:sz="4" w:space="0"/>
              <w:left w:val="single" w:color="auto" w:sz="4" w:space="0"/>
              <w:bottom w:val="single" w:color="auto" w:sz="4" w:space="0"/>
              <w:right w:val="single" w:color="auto" w:sz="4" w:space="0"/>
            </w:tcBorders>
            <w:vAlign w:val="center"/>
          </w:tcPr>
          <w:p w14:paraId="1DDBEFFA">
            <w:pPr>
              <w:snapToGrid w:val="0"/>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 xml:space="preserve">1.递交方式：网上递交投标文件 </w:t>
            </w:r>
          </w:p>
          <w:p w14:paraId="1931B2CB">
            <w:pPr>
              <w:snapToGrid w:val="0"/>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2.递交投标文件的起始时间：（详见广州交易集团有限公司（广州公共资源交易中心）网站信息）。</w:t>
            </w:r>
          </w:p>
          <w:p w14:paraId="5A28808E">
            <w:pPr>
              <w:snapToGrid w:val="0"/>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截止时间：（详见广州交易集团有限公司（广州公共资源交易中心）网站信息）</w:t>
            </w:r>
          </w:p>
          <w:p w14:paraId="40852251">
            <w:pPr>
              <w:snapToGrid w:val="0"/>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 xml:space="preserve">3.地点：广州交易集团有限公司（广州公共资源交易中心）网站。 </w:t>
            </w:r>
          </w:p>
          <w:p w14:paraId="3D7416BB">
            <w:pPr>
              <w:snapToGrid w:val="0"/>
              <w:spacing w:line="360" w:lineRule="auto"/>
              <w:rPr>
                <w:rFonts w:hint="eastAsia" w:ascii="宋体" w:hAnsi="宋体" w:cs="宋体"/>
                <w:sz w:val="24"/>
                <w:szCs w:val="24"/>
                <w:highlight w:val="none"/>
              </w:rPr>
            </w:pPr>
            <w:r>
              <w:rPr>
                <w:rFonts w:hint="eastAsia" w:ascii="宋体" w:hAnsi="宋体" w:cs="宋体"/>
                <w:sz w:val="24"/>
                <w:szCs w:val="24"/>
                <w:highlight w:val="none"/>
                <w:u w:val="single"/>
              </w:rPr>
              <w:t>4.上述时间及地点是否有改变，请密切留意招标答疑中的相关信息。也可登录广州交易集团有限公司（广州公共资源交易中心）网站首页，点击“项目查询（日程安排、答疑纪要）”专栏中的“项目查询”，输入项目编号或项目名称查询最新信息。</w:t>
            </w:r>
          </w:p>
        </w:tc>
      </w:tr>
      <w:tr w14:paraId="082BD2A6">
        <w:tblPrEx>
          <w:tblCellMar>
            <w:top w:w="0" w:type="dxa"/>
            <w:left w:w="108" w:type="dxa"/>
            <w:bottom w:w="0" w:type="dxa"/>
            <w:right w:w="108" w:type="dxa"/>
          </w:tblCellMar>
        </w:tblPrEx>
        <w:trPr>
          <w:trHeight w:val="987" w:hRule="atLeast"/>
        </w:trPr>
        <w:tc>
          <w:tcPr>
            <w:tcW w:w="1165" w:type="dxa"/>
            <w:tcBorders>
              <w:top w:val="single" w:color="auto" w:sz="4" w:space="0"/>
              <w:left w:val="single" w:color="auto" w:sz="4" w:space="0"/>
              <w:bottom w:val="single" w:color="auto" w:sz="4" w:space="0"/>
              <w:right w:val="single" w:color="auto" w:sz="4" w:space="0"/>
            </w:tcBorders>
            <w:vAlign w:val="center"/>
          </w:tcPr>
          <w:p w14:paraId="305B134C">
            <w:pPr>
              <w:spacing w:line="360" w:lineRule="auto"/>
              <w:rPr>
                <w:rFonts w:hint="eastAsia" w:ascii="宋体" w:hAnsi="宋体" w:cs="宋体"/>
                <w:sz w:val="24"/>
                <w:szCs w:val="24"/>
                <w:highlight w:val="none"/>
              </w:rPr>
            </w:pPr>
            <w:r>
              <w:rPr>
                <w:rFonts w:hint="eastAsia" w:ascii="宋体" w:hAnsi="宋体" w:cs="宋体"/>
                <w:sz w:val="24"/>
                <w:szCs w:val="24"/>
                <w:highlight w:val="none"/>
              </w:rPr>
              <w:t>4.2.3</w:t>
            </w:r>
          </w:p>
        </w:tc>
        <w:tc>
          <w:tcPr>
            <w:tcW w:w="2345" w:type="dxa"/>
            <w:tcBorders>
              <w:top w:val="single" w:color="auto" w:sz="4" w:space="0"/>
              <w:left w:val="single" w:color="auto" w:sz="4" w:space="0"/>
              <w:bottom w:val="single" w:color="auto" w:sz="4" w:space="0"/>
              <w:right w:val="single" w:color="auto" w:sz="4" w:space="0"/>
            </w:tcBorders>
            <w:vAlign w:val="center"/>
          </w:tcPr>
          <w:p w14:paraId="01353FBC">
            <w:pPr>
              <w:spacing w:line="360" w:lineRule="auto"/>
              <w:rPr>
                <w:rFonts w:hint="eastAsia" w:ascii="宋体" w:hAnsi="宋体" w:cs="宋体"/>
                <w:sz w:val="24"/>
                <w:szCs w:val="24"/>
                <w:highlight w:val="none"/>
              </w:rPr>
            </w:pPr>
            <w:r>
              <w:rPr>
                <w:rFonts w:hint="eastAsia" w:ascii="宋体" w:hAnsi="宋体" w:cs="宋体"/>
                <w:sz w:val="24"/>
                <w:szCs w:val="24"/>
                <w:highlight w:val="none"/>
              </w:rPr>
              <w:t>投标文件是否退还</w:t>
            </w:r>
          </w:p>
        </w:tc>
        <w:tc>
          <w:tcPr>
            <w:tcW w:w="6096" w:type="dxa"/>
            <w:tcBorders>
              <w:top w:val="single" w:color="auto" w:sz="4" w:space="0"/>
              <w:left w:val="single" w:color="auto" w:sz="4" w:space="0"/>
              <w:bottom w:val="single" w:color="auto" w:sz="4" w:space="0"/>
              <w:right w:val="single" w:color="auto" w:sz="4" w:space="0"/>
            </w:tcBorders>
            <w:vAlign w:val="center"/>
          </w:tcPr>
          <w:p w14:paraId="446B5AE0">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■否</w:t>
            </w:r>
          </w:p>
          <w:p w14:paraId="0BCC0250">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□是，退还时间：</w:t>
            </w:r>
          </w:p>
        </w:tc>
      </w:tr>
      <w:tr w14:paraId="76E8B109">
        <w:tblPrEx>
          <w:tblCellMar>
            <w:top w:w="0" w:type="dxa"/>
            <w:left w:w="108" w:type="dxa"/>
            <w:bottom w:w="0" w:type="dxa"/>
            <w:right w:w="108" w:type="dxa"/>
          </w:tblCellMar>
        </w:tblPrEx>
        <w:trPr>
          <w:trHeight w:val="872" w:hRule="atLeast"/>
        </w:trPr>
        <w:tc>
          <w:tcPr>
            <w:tcW w:w="1165" w:type="dxa"/>
            <w:tcBorders>
              <w:top w:val="single" w:color="auto" w:sz="4" w:space="0"/>
              <w:left w:val="single" w:color="auto" w:sz="4" w:space="0"/>
              <w:bottom w:val="single" w:color="auto" w:sz="4" w:space="0"/>
              <w:right w:val="single" w:color="auto" w:sz="4" w:space="0"/>
            </w:tcBorders>
            <w:vAlign w:val="center"/>
          </w:tcPr>
          <w:p w14:paraId="4D1BFDB2">
            <w:pPr>
              <w:spacing w:line="360" w:lineRule="auto"/>
              <w:rPr>
                <w:rFonts w:hint="eastAsia" w:ascii="宋体" w:hAnsi="宋体" w:cs="宋体"/>
                <w:sz w:val="24"/>
                <w:szCs w:val="24"/>
                <w:highlight w:val="none"/>
              </w:rPr>
            </w:pPr>
            <w:r>
              <w:rPr>
                <w:rFonts w:hint="eastAsia" w:ascii="宋体" w:hAnsi="宋体" w:cs="宋体"/>
                <w:sz w:val="24"/>
                <w:szCs w:val="24"/>
                <w:highlight w:val="none"/>
              </w:rPr>
              <w:t>5.1（修改）</w:t>
            </w:r>
          </w:p>
        </w:tc>
        <w:tc>
          <w:tcPr>
            <w:tcW w:w="2345" w:type="dxa"/>
            <w:tcBorders>
              <w:top w:val="single" w:color="auto" w:sz="4" w:space="0"/>
              <w:left w:val="single" w:color="auto" w:sz="4" w:space="0"/>
              <w:bottom w:val="single" w:color="auto" w:sz="4" w:space="0"/>
              <w:right w:val="single" w:color="auto" w:sz="4" w:space="0"/>
            </w:tcBorders>
            <w:vAlign w:val="center"/>
          </w:tcPr>
          <w:p w14:paraId="3CD2EA60">
            <w:pPr>
              <w:spacing w:line="360" w:lineRule="auto"/>
              <w:rPr>
                <w:rFonts w:hint="eastAsia" w:ascii="宋体" w:hAnsi="宋体" w:cs="宋体"/>
                <w:sz w:val="24"/>
                <w:szCs w:val="24"/>
                <w:highlight w:val="none"/>
              </w:rPr>
            </w:pPr>
            <w:r>
              <w:rPr>
                <w:rFonts w:hint="eastAsia" w:ascii="宋体" w:hAnsi="宋体" w:cs="宋体"/>
                <w:sz w:val="24"/>
                <w:szCs w:val="24"/>
                <w:highlight w:val="none"/>
              </w:rPr>
              <w:t>开标时间和地点</w:t>
            </w:r>
          </w:p>
        </w:tc>
        <w:tc>
          <w:tcPr>
            <w:tcW w:w="6096" w:type="dxa"/>
            <w:tcBorders>
              <w:top w:val="single" w:color="auto" w:sz="4" w:space="0"/>
              <w:left w:val="single" w:color="auto" w:sz="4" w:space="0"/>
              <w:bottom w:val="single" w:color="auto" w:sz="4" w:space="0"/>
              <w:right w:val="single" w:color="auto" w:sz="4" w:space="0"/>
            </w:tcBorders>
            <w:vAlign w:val="center"/>
          </w:tcPr>
          <w:p w14:paraId="38188D83">
            <w:pPr>
              <w:spacing w:line="360" w:lineRule="auto"/>
              <w:rPr>
                <w:rFonts w:hint="eastAsia" w:ascii="宋体" w:hAnsi="宋体" w:cs="宋体"/>
                <w:sz w:val="24"/>
                <w:szCs w:val="24"/>
                <w:highlight w:val="none"/>
              </w:rPr>
            </w:pPr>
            <w:r>
              <w:rPr>
                <w:rFonts w:hint="eastAsia" w:ascii="宋体" w:hAnsi="宋体" w:cs="宋体"/>
                <w:sz w:val="24"/>
                <w:szCs w:val="24"/>
                <w:highlight w:val="none"/>
              </w:rPr>
              <w:t>本电子招投标项目在本章4.2.1项规定的投标截止时间（开标时间），在广州交易集团有限公司（广州公共资源交易中心）公开开标，并邀请所有投标人的法定代表人（单位负责人）或其委托代理人准时参加。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tc>
      </w:tr>
      <w:tr w14:paraId="17A7C5E6">
        <w:tblPrEx>
          <w:tblCellMar>
            <w:top w:w="0" w:type="dxa"/>
            <w:left w:w="108" w:type="dxa"/>
            <w:bottom w:w="0" w:type="dxa"/>
            <w:right w:w="108" w:type="dxa"/>
          </w:tblCellMar>
        </w:tblPrEx>
        <w:trPr>
          <w:trHeight w:val="381" w:hRule="atLeast"/>
        </w:trPr>
        <w:tc>
          <w:tcPr>
            <w:tcW w:w="1165" w:type="dxa"/>
            <w:tcBorders>
              <w:top w:val="single" w:color="auto" w:sz="4" w:space="0"/>
              <w:left w:val="single" w:color="auto" w:sz="4" w:space="0"/>
              <w:bottom w:val="single" w:color="auto" w:sz="4" w:space="0"/>
              <w:right w:val="single" w:color="auto" w:sz="4" w:space="0"/>
            </w:tcBorders>
            <w:vAlign w:val="center"/>
          </w:tcPr>
          <w:p w14:paraId="0B3FBA27">
            <w:pPr>
              <w:spacing w:line="360" w:lineRule="auto"/>
              <w:rPr>
                <w:rFonts w:hint="eastAsia" w:ascii="宋体" w:hAnsi="宋体" w:cs="宋体"/>
                <w:sz w:val="24"/>
                <w:szCs w:val="24"/>
                <w:highlight w:val="none"/>
              </w:rPr>
            </w:pPr>
            <w:r>
              <w:rPr>
                <w:rFonts w:hint="eastAsia" w:ascii="宋体" w:hAnsi="宋体" w:cs="宋体"/>
                <w:sz w:val="24"/>
                <w:szCs w:val="24"/>
                <w:highlight w:val="none"/>
              </w:rPr>
              <w:t>5.2（新增）</w:t>
            </w:r>
          </w:p>
        </w:tc>
        <w:tc>
          <w:tcPr>
            <w:tcW w:w="2345" w:type="dxa"/>
            <w:tcBorders>
              <w:top w:val="single" w:color="auto" w:sz="4" w:space="0"/>
              <w:left w:val="single" w:color="auto" w:sz="4" w:space="0"/>
              <w:bottom w:val="single" w:color="auto" w:sz="4" w:space="0"/>
              <w:right w:val="single" w:color="auto" w:sz="4" w:space="0"/>
            </w:tcBorders>
            <w:vAlign w:val="center"/>
          </w:tcPr>
          <w:p w14:paraId="517D3CCD">
            <w:pPr>
              <w:spacing w:line="360" w:lineRule="auto"/>
              <w:rPr>
                <w:rFonts w:hint="eastAsia" w:ascii="宋体" w:hAnsi="宋体" w:cs="宋体"/>
                <w:sz w:val="24"/>
                <w:szCs w:val="24"/>
                <w:highlight w:val="none"/>
              </w:rPr>
            </w:pPr>
            <w:r>
              <w:rPr>
                <w:rFonts w:hint="eastAsia" w:ascii="宋体" w:hAnsi="宋体" w:cs="宋体"/>
                <w:sz w:val="24"/>
                <w:szCs w:val="24"/>
                <w:highlight w:val="none"/>
              </w:rPr>
              <w:t>开标程序</w:t>
            </w:r>
          </w:p>
        </w:tc>
        <w:tc>
          <w:tcPr>
            <w:tcW w:w="6096" w:type="dxa"/>
            <w:tcBorders>
              <w:top w:val="single" w:color="auto" w:sz="4" w:space="0"/>
              <w:left w:val="single" w:color="auto" w:sz="4" w:space="0"/>
              <w:bottom w:val="single" w:color="auto" w:sz="4" w:space="0"/>
              <w:right w:val="single" w:color="auto" w:sz="4" w:space="0"/>
            </w:tcBorders>
            <w:vAlign w:val="center"/>
          </w:tcPr>
          <w:p w14:paraId="3D1B997C">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电子招投标项目开标按下列程序进行：</w:t>
            </w:r>
          </w:p>
          <w:p w14:paraId="7781B28C">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5.2.1主持人按下列程序进行开标：</w:t>
            </w:r>
          </w:p>
          <w:p w14:paraId="746BF67D">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（1）宣布开标纪律；</w:t>
            </w:r>
          </w:p>
          <w:p w14:paraId="6D80C465">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（2）宣布开标人、唱标人、记录人、监标人等有关人员姓名；</w:t>
            </w:r>
          </w:p>
          <w:p w14:paraId="391445B8">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（3）投标人通过电子招标投标交易平台对已递交的电子投标文件进行解密，公布招标项目名称、投标人名称、投标总报价、服务期限及其他内容，并记录在案；</w:t>
            </w:r>
          </w:p>
          <w:p w14:paraId="344A9A75">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（4）投标人代表、招标人代表、监标人、记录人等有关人员在开标记录上签字确认；若有关人员不签字的，不影响开标程序；</w:t>
            </w:r>
          </w:p>
          <w:p w14:paraId="59C43205">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（5）开标结束。</w:t>
            </w:r>
          </w:p>
          <w:p w14:paraId="7E425729">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5.2.2投标截止时间</w:t>
            </w:r>
            <w:bookmarkStart w:id="6" w:name="OLE_LINK3"/>
            <w:r>
              <w:rPr>
                <w:rFonts w:hint="eastAsia" w:ascii="宋体" w:hAnsi="宋体" w:cs="宋体"/>
                <w:sz w:val="24"/>
                <w:szCs w:val="24"/>
                <w:highlight w:val="none"/>
              </w:rPr>
              <w:t>前未完成投标文件传输的或因投标人之外的原因造成投标文件未解密的，视为投标人其撤回投标文件。因投标人原因造成投标文件未解密的或未在投标截止时间后</w:t>
            </w:r>
            <w:r>
              <w:rPr>
                <w:rFonts w:hint="eastAsia" w:ascii="宋体" w:hAnsi="宋体" w:cs="宋体"/>
                <w:sz w:val="24"/>
                <w:szCs w:val="24"/>
                <w:highlight w:val="none"/>
                <w:u w:val="single"/>
              </w:rPr>
              <w:t>一个小时内</w:t>
            </w:r>
            <w:r>
              <w:rPr>
                <w:rFonts w:hint="eastAsia" w:ascii="宋体" w:hAnsi="宋体" w:cs="宋体"/>
                <w:sz w:val="24"/>
                <w:szCs w:val="24"/>
                <w:highlight w:val="none"/>
              </w:rPr>
              <w:t>解密的，视为撤销其投标文件。</w:t>
            </w:r>
          </w:p>
          <w:p w14:paraId="6C976D69">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5.2.3开标时，两个（含两个）以上的投标人加密打包投标文件电脑机器特征码一致的，不参与下一程序，并由评标委员会否决其投标。</w:t>
            </w:r>
            <w:bookmarkEnd w:id="6"/>
          </w:p>
        </w:tc>
      </w:tr>
      <w:tr w14:paraId="04660D4F">
        <w:tblPrEx>
          <w:tblCellMar>
            <w:top w:w="0" w:type="dxa"/>
            <w:left w:w="108" w:type="dxa"/>
            <w:bottom w:w="0" w:type="dxa"/>
            <w:right w:w="108" w:type="dxa"/>
          </w:tblCellMar>
        </w:tblPrEx>
        <w:trPr>
          <w:trHeight w:val="596" w:hRule="atLeast"/>
        </w:trPr>
        <w:tc>
          <w:tcPr>
            <w:tcW w:w="1165" w:type="dxa"/>
            <w:tcBorders>
              <w:top w:val="single" w:color="auto" w:sz="4" w:space="0"/>
              <w:left w:val="single" w:color="auto" w:sz="4" w:space="0"/>
              <w:bottom w:val="single" w:color="auto" w:sz="4" w:space="0"/>
              <w:right w:val="single" w:color="auto" w:sz="4" w:space="0"/>
            </w:tcBorders>
            <w:vAlign w:val="center"/>
          </w:tcPr>
          <w:p w14:paraId="60AD4D6A">
            <w:pPr>
              <w:spacing w:line="360" w:lineRule="auto"/>
              <w:rPr>
                <w:rFonts w:hint="eastAsia" w:ascii="宋体" w:hAnsi="宋体" w:cs="宋体"/>
                <w:sz w:val="24"/>
                <w:szCs w:val="24"/>
                <w:highlight w:val="none"/>
              </w:rPr>
            </w:pPr>
            <w:r>
              <w:rPr>
                <w:rFonts w:hint="eastAsia" w:ascii="宋体" w:hAnsi="宋体" w:cs="宋体"/>
                <w:sz w:val="24"/>
                <w:szCs w:val="24"/>
                <w:highlight w:val="none"/>
              </w:rPr>
              <w:t>6.1.1</w:t>
            </w:r>
          </w:p>
        </w:tc>
        <w:tc>
          <w:tcPr>
            <w:tcW w:w="2345" w:type="dxa"/>
            <w:tcBorders>
              <w:top w:val="single" w:color="auto" w:sz="4" w:space="0"/>
              <w:left w:val="single" w:color="auto" w:sz="4" w:space="0"/>
              <w:bottom w:val="single" w:color="auto" w:sz="4" w:space="0"/>
              <w:right w:val="single" w:color="auto" w:sz="4" w:space="0"/>
            </w:tcBorders>
            <w:vAlign w:val="center"/>
          </w:tcPr>
          <w:p w14:paraId="75D6691C">
            <w:pPr>
              <w:spacing w:line="360" w:lineRule="auto"/>
              <w:rPr>
                <w:rFonts w:hint="eastAsia" w:ascii="宋体" w:hAnsi="宋体" w:cs="宋体"/>
                <w:sz w:val="24"/>
                <w:szCs w:val="24"/>
                <w:highlight w:val="none"/>
              </w:rPr>
            </w:pPr>
            <w:r>
              <w:rPr>
                <w:rFonts w:hint="eastAsia" w:ascii="宋体" w:hAnsi="宋体" w:cs="宋体"/>
                <w:sz w:val="24"/>
                <w:szCs w:val="24"/>
                <w:highlight w:val="none"/>
              </w:rPr>
              <w:t>评标委员会的组建</w:t>
            </w:r>
          </w:p>
        </w:tc>
        <w:tc>
          <w:tcPr>
            <w:tcW w:w="6096" w:type="dxa"/>
            <w:tcBorders>
              <w:top w:val="single" w:color="auto" w:sz="4" w:space="0"/>
              <w:left w:val="single" w:color="auto" w:sz="4" w:space="0"/>
              <w:bottom w:val="single" w:color="auto" w:sz="4" w:space="0"/>
              <w:right w:val="single" w:color="auto" w:sz="4" w:space="0"/>
            </w:tcBorders>
            <w:vAlign w:val="center"/>
          </w:tcPr>
          <w:p w14:paraId="7ADE4E94">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由招标人依法组建。</w:t>
            </w:r>
          </w:p>
        </w:tc>
      </w:tr>
      <w:tr w14:paraId="65EBB326">
        <w:tblPrEx>
          <w:tblCellMar>
            <w:top w:w="0" w:type="dxa"/>
            <w:left w:w="108" w:type="dxa"/>
            <w:bottom w:w="0" w:type="dxa"/>
            <w:right w:w="108" w:type="dxa"/>
          </w:tblCellMar>
        </w:tblPrEx>
        <w:trPr>
          <w:trHeight w:val="552" w:hRule="atLeast"/>
        </w:trPr>
        <w:tc>
          <w:tcPr>
            <w:tcW w:w="1165" w:type="dxa"/>
            <w:tcBorders>
              <w:top w:val="single" w:color="auto" w:sz="4" w:space="0"/>
              <w:left w:val="single" w:color="auto" w:sz="4" w:space="0"/>
              <w:bottom w:val="single" w:color="auto" w:sz="4" w:space="0"/>
              <w:right w:val="single" w:color="auto" w:sz="4" w:space="0"/>
            </w:tcBorders>
            <w:vAlign w:val="center"/>
          </w:tcPr>
          <w:p w14:paraId="0586DE32">
            <w:pPr>
              <w:spacing w:line="360" w:lineRule="auto"/>
              <w:rPr>
                <w:rFonts w:hint="eastAsia" w:ascii="宋体" w:hAnsi="宋体" w:cs="宋体"/>
                <w:sz w:val="24"/>
                <w:szCs w:val="24"/>
                <w:highlight w:val="none"/>
              </w:rPr>
            </w:pPr>
            <w:r>
              <w:rPr>
                <w:rFonts w:hint="eastAsia" w:ascii="宋体" w:hAnsi="宋体" w:cs="宋体"/>
                <w:sz w:val="24"/>
                <w:szCs w:val="24"/>
                <w:highlight w:val="none"/>
              </w:rPr>
              <w:t>6.3.2</w:t>
            </w:r>
          </w:p>
        </w:tc>
        <w:tc>
          <w:tcPr>
            <w:tcW w:w="2345" w:type="dxa"/>
            <w:tcBorders>
              <w:top w:val="single" w:color="auto" w:sz="4" w:space="0"/>
              <w:left w:val="single" w:color="auto" w:sz="4" w:space="0"/>
              <w:bottom w:val="single" w:color="auto" w:sz="4" w:space="0"/>
              <w:right w:val="single" w:color="auto" w:sz="4" w:space="0"/>
            </w:tcBorders>
            <w:vAlign w:val="center"/>
          </w:tcPr>
          <w:p w14:paraId="2796B482">
            <w:pPr>
              <w:spacing w:line="360" w:lineRule="auto"/>
              <w:rPr>
                <w:rFonts w:hint="eastAsia" w:ascii="宋体" w:hAnsi="宋体" w:cs="宋体"/>
                <w:sz w:val="24"/>
                <w:szCs w:val="24"/>
                <w:highlight w:val="none"/>
              </w:rPr>
            </w:pPr>
            <w:r>
              <w:rPr>
                <w:rFonts w:hint="eastAsia" w:ascii="宋体" w:hAnsi="宋体" w:cs="宋体"/>
                <w:sz w:val="24"/>
                <w:szCs w:val="24"/>
                <w:highlight w:val="none"/>
              </w:rPr>
              <w:t>评标委员会推荐中标候选人的人数</w:t>
            </w:r>
          </w:p>
        </w:tc>
        <w:tc>
          <w:tcPr>
            <w:tcW w:w="6096" w:type="dxa"/>
            <w:tcBorders>
              <w:top w:val="single" w:color="auto" w:sz="4" w:space="0"/>
              <w:left w:val="single" w:color="auto" w:sz="4" w:space="0"/>
              <w:bottom w:val="single" w:color="auto" w:sz="4" w:space="0"/>
              <w:right w:val="single" w:color="auto" w:sz="4" w:space="0"/>
            </w:tcBorders>
            <w:vAlign w:val="center"/>
          </w:tcPr>
          <w:p w14:paraId="5415C8FF">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u w:val="single"/>
              </w:rPr>
              <w:t>推荐3名中标候选人。</w:t>
            </w:r>
          </w:p>
        </w:tc>
      </w:tr>
      <w:tr w14:paraId="1FC8DE35">
        <w:tblPrEx>
          <w:tblCellMar>
            <w:top w:w="0" w:type="dxa"/>
            <w:left w:w="108" w:type="dxa"/>
            <w:bottom w:w="0" w:type="dxa"/>
            <w:right w:w="108" w:type="dxa"/>
          </w:tblCellMar>
        </w:tblPrEx>
        <w:trPr>
          <w:trHeight w:val="280" w:hRule="atLeast"/>
        </w:trPr>
        <w:tc>
          <w:tcPr>
            <w:tcW w:w="1165" w:type="dxa"/>
            <w:tcBorders>
              <w:top w:val="single" w:color="auto" w:sz="4" w:space="0"/>
              <w:left w:val="single" w:color="auto" w:sz="4" w:space="0"/>
              <w:bottom w:val="single" w:color="auto" w:sz="4" w:space="0"/>
              <w:right w:val="single" w:color="auto" w:sz="4" w:space="0"/>
            </w:tcBorders>
            <w:vAlign w:val="center"/>
          </w:tcPr>
          <w:p w14:paraId="343D1D6A">
            <w:pPr>
              <w:spacing w:line="360" w:lineRule="auto"/>
              <w:rPr>
                <w:rFonts w:hint="eastAsia" w:ascii="宋体" w:hAnsi="宋体" w:cs="宋体"/>
                <w:sz w:val="24"/>
                <w:szCs w:val="24"/>
                <w:highlight w:val="none"/>
              </w:rPr>
            </w:pPr>
            <w:r>
              <w:rPr>
                <w:rFonts w:hint="eastAsia" w:ascii="宋体" w:hAnsi="宋体" w:cs="宋体"/>
                <w:sz w:val="24"/>
                <w:szCs w:val="24"/>
                <w:highlight w:val="none"/>
              </w:rPr>
              <w:t>7.1</w:t>
            </w:r>
          </w:p>
        </w:tc>
        <w:tc>
          <w:tcPr>
            <w:tcW w:w="2345" w:type="dxa"/>
            <w:tcBorders>
              <w:top w:val="single" w:color="auto" w:sz="4" w:space="0"/>
              <w:left w:val="single" w:color="auto" w:sz="4" w:space="0"/>
              <w:bottom w:val="single" w:color="auto" w:sz="4" w:space="0"/>
              <w:right w:val="single" w:color="auto" w:sz="4" w:space="0"/>
            </w:tcBorders>
            <w:vAlign w:val="center"/>
          </w:tcPr>
          <w:p w14:paraId="7B754627">
            <w:pPr>
              <w:spacing w:line="360" w:lineRule="auto"/>
              <w:rPr>
                <w:rFonts w:hint="eastAsia" w:ascii="宋体" w:hAnsi="宋体" w:cs="宋体"/>
                <w:sz w:val="24"/>
                <w:szCs w:val="24"/>
                <w:highlight w:val="none"/>
              </w:rPr>
            </w:pPr>
            <w:r>
              <w:rPr>
                <w:rFonts w:hint="eastAsia" w:ascii="宋体" w:hAnsi="宋体" w:cs="宋体"/>
                <w:sz w:val="24"/>
                <w:szCs w:val="24"/>
                <w:highlight w:val="none"/>
              </w:rPr>
              <w:t>中标候选人公示媒介及期限</w:t>
            </w:r>
          </w:p>
        </w:tc>
        <w:tc>
          <w:tcPr>
            <w:tcW w:w="6096" w:type="dxa"/>
            <w:tcBorders>
              <w:top w:val="single" w:color="auto" w:sz="4" w:space="0"/>
              <w:left w:val="single" w:color="auto" w:sz="4" w:space="0"/>
              <w:bottom w:val="single" w:color="auto" w:sz="4" w:space="0"/>
              <w:right w:val="single" w:color="auto" w:sz="4" w:space="0"/>
            </w:tcBorders>
            <w:vAlign w:val="center"/>
          </w:tcPr>
          <w:p w14:paraId="2AF93510">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公示媒介：</w:t>
            </w:r>
            <w:r>
              <w:rPr>
                <w:rFonts w:hint="eastAsia" w:ascii="宋体" w:hAnsi="宋体" w:cs="宋体"/>
                <w:sz w:val="24"/>
                <w:szCs w:val="24"/>
                <w:highlight w:val="none"/>
                <w:u w:val="single"/>
              </w:rPr>
              <w:t>中国招标投标公共服务平台、广东省招标投标监管网、广州交易集团有限公司（广州公共资源交易中心）网站</w:t>
            </w:r>
          </w:p>
          <w:p w14:paraId="30EB227B">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公示期限：</w:t>
            </w:r>
            <w:r>
              <w:rPr>
                <w:rFonts w:hint="eastAsia" w:ascii="宋体" w:hAnsi="宋体" w:cs="宋体"/>
                <w:sz w:val="24"/>
                <w:szCs w:val="24"/>
                <w:highlight w:val="none"/>
                <w:u w:val="single"/>
              </w:rPr>
              <w:t>3</w:t>
            </w:r>
            <w:r>
              <w:rPr>
                <w:rFonts w:hint="eastAsia" w:ascii="宋体" w:hAnsi="宋体" w:cs="宋体"/>
                <w:sz w:val="24"/>
                <w:szCs w:val="24"/>
                <w:highlight w:val="none"/>
              </w:rPr>
              <w:t>日</w:t>
            </w:r>
          </w:p>
          <w:p w14:paraId="5021D3E4">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14:paraId="47E598AF">
        <w:tblPrEx>
          <w:tblCellMar>
            <w:top w:w="0" w:type="dxa"/>
            <w:left w:w="108" w:type="dxa"/>
            <w:bottom w:w="0" w:type="dxa"/>
            <w:right w:w="108" w:type="dxa"/>
          </w:tblCellMar>
        </w:tblPrEx>
        <w:trPr>
          <w:trHeight w:val="732" w:hRule="atLeast"/>
        </w:trPr>
        <w:tc>
          <w:tcPr>
            <w:tcW w:w="1165" w:type="dxa"/>
            <w:tcBorders>
              <w:top w:val="single" w:color="auto" w:sz="4" w:space="0"/>
              <w:left w:val="single" w:color="auto" w:sz="4" w:space="0"/>
              <w:bottom w:val="single" w:color="auto" w:sz="4" w:space="0"/>
              <w:right w:val="single" w:color="auto" w:sz="4" w:space="0"/>
            </w:tcBorders>
            <w:vAlign w:val="center"/>
          </w:tcPr>
          <w:p w14:paraId="51739D32">
            <w:pPr>
              <w:spacing w:line="360" w:lineRule="auto"/>
              <w:rPr>
                <w:rFonts w:hint="eastAsia" w:ascii="宋体" w:hAnsi="宋体" w:cs="宋体"/>
                <w:sz w:val="24"/>
                <w:szCs w:val="24"/>
                <w:highlight w:val="none"/>
              </w:rPr>
            </w:pPr>
            <w:r>
              <w:rPr>
                <w:rFonts w:hint="eastAsia" w:ascii="宋体" w:hAnsi="宋体" w:cs="宋体"/>
                <w:sz w:val="24"/>
                <w:szCs w:val="24"/>
                <w:highlight w:val="none"/>
              </w:rPr>
              <w:t>7.4</w:t>
            </w:r>
          </w:p>
        </w:tc>
        <w:tc>
          <w:tcPr>
            <w:tcW w:w="2345" w:type="dxa"/>
            <w:tcBorders>
              <w:top w:val="single" w:color="auto" w:sz="4" w:space="0"/>
              <w:left w:val="single" w:color="auto" w:sz="4" w:space="0"/>
              <w:bottom w:val="single" w:color="auto" w:sz="4" w:space="0"/>
              <w:right w:val="single" w:color="auto" w:sz="4" w:space="0"/>
            </w:tcBorders>
            <w:vAlign w:val="center"/>
          </w:tcPr>
          <w:p w14:paraId="62BDDFE8">
            <w:pPr>
              <w:spacing w:line="360" w:lineRule="auto"/>
              <w:rPr>
                <w:rFonts w:hint="eastAsia" w:ascii="宋体" w:hAnsi="宋体" w:cs="宋体"/>
                <w:sz w:val="24"/>
                <w:szCs w:val="24"/>
                <w:highlight w:val="none"/>
              </w:rPr>
            </w:pPr>
            <w:r>
              <w:rPr>
                <w:rFonts w:hint="eastAsia" w:ascii="宋体" w:hAnsi="宋体" w:cs="宋体"/>
                <w:sz w:val="24"/>
                <w:szCs w:val="24"/>
                <w:highlight w:val="none"/>
              </w:rPr>
              <w:t>是否授权评标委员会确定中标人</w:t>
            </w:r>
          </w:p>
        </w:tc>
        <w:tc>
          <w:tcPr>
            <w:tcW w:w="6096" w:type="dxa"/>
            <w:tcBorders>
              <w:top w:val="single" w:color="auto" w:sz="4" w:space="0"/>
              <w:left w:val="single" w:color="auto" w:sz="4" w:space="0"/>
              <w:bottom w:val="single" w:color="auto" w:sz="4" w:space="0"/>
              <w:right w:val="single" w:color="auto" w:sz="4" w:space="0"/>
            </w:tcBorders>
            <w:vAlign w:val="center"/>
          </w:tcPr>
          <w:p w14:paraId="3D282DDB">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□是</w:t>
            </w:r>
          </w:p>
          <w:p w14:paraId="58E79744">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rPr>
              <w:t>■否</w:t>
            </w:r>
          </w:p>
        </w:tc>
      </w:tr>
      <w:tr w14:paraId="53C559F3">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4C3E1597">
            <w:pPr>
              <w:spacing w:line="360" w:lineRule="auto"/>
              <w:rPr>
                <w:rFonts w:hint="eastAsia" w:ascii="宋体" w:hAnsi="宋体" w:cs="宋体"/>
                <w:sz w:val="24"/>
                <w:szCs w:val="24"/>
                <w:highlight w:val="none"/>
              </w:rPr>
            </w:pPr>
            <w:r>
              <w:rPr>
                <w:rFonts w:hint="eastAsia" w:ascii="宋体" w:hAnsi="宋体" w:cs="宋体"/>
                <w:sz w:val="24"/>
                <w:szCs w:val="24"/>
                <w:highlight w:val="none"/>
              </w:rPr>
              <w:t>7.6.1</w:t>
            </w:r>
          </w:p>
        </w:tc>
        <w:tc>
          <w:tcPr>
            <w:tcW w:w="2345" w:type="dxa"/>
            <w:tcBorders>
              <w:top w:val="single" w:color="auto" w:sz="4" w:space="0"/>
              <w:left w:val="single" w:color="auto" w:sz="4" w:space="0"/>
              <w:bottom w:val="single" w:color="auto" w:sz="4" w:space="0"/>
              <w:right w:val="single" w:color="auto" w:sz="4" w:space="0"/>
            </w:tcBorders>
            <w:vAlign w:val="center"/>
          </w:tcPr>
          <w:p w14:paraId="18E78577">
            <w:pPr>
              <w:spacing w:line="360" w:lineRule="auto"/>
              <w:rPr>
                <w:rFonts w:hint="eastAsia" w:ascii="宋体" w:hAnsi="宋体" w:cs="宋体"/>
                <w:sz w:val="24"/>
                <w:szCs w:val="24"/>
                <w:highlight w:val="none"/>
              </w:rPr>
            </w:pPr>
            <w:r>
              <w:rPr>
                <w:rFonts w:hint="eastAsia" w:ascii="宋体" w:hAnsi="宋体" w:cs="宋体"/>
                <w:sz w:val="24"/>
                <w:szCs w:val="24"/>
                <w:highlight w:val="none"/>
              </w:rPr>
              <w:t>履约保证金</w:t>
            </w:r>
          </w:p>
        </w:tc>
        <w:tc>
          <w:tcPr>
            <w:tcW w:w="6096" w:type="dxa"/>
            <w:tcBorders>
              <w:top w:val="single" w:color="auto" w:sz="4" w:space="0"/>
              <w:left w:val="single" w:color="auto" w:sz="4" w:space="0"/>
              <w:bottom w:val="single" w:color="auto" w:sz="4" w:space="0"/>
              <w:right w:val="single" w:color="auto" w:sz="4" w:space="0"/>
            </w:tcBorders>
            <w:vAlign w:val="center"/>
          </w:tcPr>
          <w:p w14:paraId="0BB89429">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是否要求中标人提交履约保证金：</w:t>
            </w:r>
          </w:p>
          <w:p w14:paraId="1B3F9752">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■要求，履约保证金的形式：以合同约定为准。</w:t>
            </w:r>
          </w:p>
          <w:p w14:paraId="16FBB31F">
            <w:pPr>
              <w:spacing w:line="360" w:lineRule="auto"/>
              <w:ind w:right="107" w:rightChars="51"/>
              <w:rPr>
                <w:rFonts w:hint="eastAsia" w:ascii="宋体" w:hAnsi="宋体" w:cs="宋体"/>
                <w:sz w:val="24"/>
                <w:szCs w:val="24"/>
                <w:highlight w:val="none"/>
                <w:u w:val="single"/>
              </w:rPr>
            </w:pPr>
            <w:r>
              <w:rPr>
                <w:rFonts w:hint="eastAsia" w:ascii="宋体" w:hAnsi="宋体" w:cs="宋体"/>
                <w:sz w:val="24"/>
                <w:szCs w:val="24"/>
                <w:highlight w:val="none"/>
              </w:rPr>
              <w:t>履约保证金的金额：</w:t>
            </w:r>
            <w:r>
              <w:rPr>
                <w:rFonts w:hint="eastAsia" w:ascii="宋体" w:hAnsi="宋体" w:cs="宋体"/>
                <w:sz w:val="24"/>
                <w:szCs w:val="24"/>
                <w:highlight w:val="none"/>
                <w:u w:val="single"/>
              </w:rPr>
              <w:t>中标合同金额的10%。</w:t>
            </w:r>
          </w:p>
          <w:p w14:paraId="62F13E3A">
            <w:pPr>
              <w:topLinePunct/>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□不要求</w:t>
            </w:r>
          </w:p>
        </w:tc>
      </w:tr>
      <w:tr w14:paraId="22247292">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1A187D21">
            <w:pPr>
              <w:spacing w:line="360" w:lineRule="auto"/>
              <w:rPr>
                <w:rFonts w:hint="eastAsia" w:ascii="宋体" w:hAnsi="宋体" w:cs="宋体"/>
                <w:sz w:val="24"/>
                <w:szCs w:val="24"/>
                <w:highlight w:val="none"/>
              </w:rPr>
            </w:pPr>
            <w:r>
              <w:rPr>
                <w:rFonts w:hint="eastAsia" w:ascii="宋体" w:hAnsi="宋体" w:cs="宋体"/>
                <w:sz w:val="24"/>
                <w:szCs w:val="24"/>
                <w:highlight w:val="none"/>
              </w:rPr>
              <w:t>9</w:t>
            </w:r>
          </w:p>
        </w:tc>
        <w:tc>
          <w:tcPr>
            <w:tcW w:w="2345" w:type="dxa"/>
            <w:tcBorders>
              <w:top w:val="single" w:color="auto" w:sz="4" w:space="0"/>
              <w:left w:val="single" w:color="auto" w:sz="4" w:space="0"/>
              <w:bottom w:val="single" w:color="auto" w:sz="4" w:space="0"/>
              <w:right w:val="single" w:color="auto" w:sz="4" w:space="0"/>
            </w:tcBorders>
            <w:vAlign w:val="center"/>
          </w:tcPr>
          <w:p w14:paraId="1959216B">
            <w:pPr>
              <w:spacing w:line="360" w:lineRule="auto"/>
              <w:rPr>
                <w:rFonts w:hint="eastAsia" w:ascii="宋体" w:hAnsi="宋体" w:cs="宋体"/>
                <w:sz w:val="24"/>
                <w:szCs w:val="24"/>
                <w:highlight w:val="none"/>
              </w:rPr>
            </w:pPr>
            <w:r>
              <w:rPr>
                <w:rFonts w:hint="eastAsia" w:ascii="宋体" w:hAnsi="宋体" w:cs="宋体"/>
                <w:sz w:val="24"/>
                <w:szCs w:val="24"/>
                <w:highlight w:val="none"/>
              </w:rPr>
              <w:t>是否采用电子招标投标</w:t>
            </w:r>
          </w:p>
        </w:tc>
        <w:tc>
          <w:tcPr>
            <w:tcW w:w="6096" w:type="dxa"/>
            <w:tcBorders>
              <w:top w:val="single" w:color="auto" w:sz="4" w:space="0"/>
              <w:left w:val="single" w:color="auto" w:sz="4" w:space="0"/>
              <w:bottom w:val="single" w:color="auto" w:sz="4" w:space="0"/>
              <w:right w:val="single" w:color="auto" w:sz="4" w:space="0"/>
            </w:tcBorders>
            <w:vAlign w:val="center"/>
          </w:tcPr>
          <w:p w14:paraId="4B570FAA">
            <w:pPr>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□否</w:t>
            </w:r>
          </w:p>
          <w:p w14:paraId="17B858D9">
            <w:pPr>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■是，具体要求：</w:t>
            </w:r>
          </w:p>
          <w:p w14:paraId="1C3BE1A6">
            <w:pPr>
              <w:spacing w:line="360" w:lineRule="auto"/>
              <w:rPr>
                <w:rFonts w:hint="eastAsia" w:ascii="宋体" w:hAnsi="宋体" w:cs="宋体"/>
                <w:sz w:val="24"/>
                <w:szCs w:val="24"/>
                <w:highlight w:val="none"/>
              </w:rPr>
            </w:pPr>
            <w:r>
              <w:rPr>
                <w:rFonts w:hint="eastAsia" w:ascii="宋体" w:hAnsi="宋体" w:cs="宋体"/>
                <w:sz w:val="24"/>
                <w:szCs w:val="24"/>
                <w:highlight w:val="none"/>
              </w:rPr>
              <w:t>1、具体操作详见</w:t>
            </w:r>
            <w:r>
              <w:rPr>
                <w:rFonts w:hint="eastAsia" w:ascii="宋体" w:hAnsi="宋体" w:cs="宋体"/>
                <w:b/>
                <w:sz w:val="24"/>
                <w:szCs w:val="24"/>
                <w:highlight w:val="none"/>
                <w:u w:val="single"/>
              </w:rPr>
              <w:t>《建设工程全流程电子化项目操作指南》，</w:t>
            </w:r>
            <w:r>
              <w:rPr>
                <w:rFonts w:hint="eastAsia" w:ascii="宋体" w:hAnsi="宋体" w:cs="宋体"/>
                <w:sz w:val="24"/>
                <w:szCs w:val="24"/>
                <w:highlight w:val="none"/>
              </w:rPr>
              <w:t>投标文件应按《建设工程全流程电子化项目操作指南》编制。如不按上述要求编制引起系统无法检索、读取相关信息的，其后果由投标人承担。</w:t>
            </w:r>
          </w:p>
          <w:p w14:paraId="2540765D">
            <w:pPr>
              <w:spacing w:line="360" w:lineRule="auto"/>
              <w:rPr>
                <w:rFonts w:hint="eastAsia" w:ascii="宋体" w:hAnsi="宋体" w:cs="宋体"/>
                <w:sz w:val="24"/>
                <w:szCs w:val="24"/>
                <w:highlight w:val="none"/>
              </w:rPr>
            </w:pPr>
            <w:r>
              <w:rPr>
                <w:rFonts w:hint="eastAsia" w:ascii="宋体" w:hAnsi="宋体" w:cs="宋体"/>
                <w:sz w:val="24"/>
                <w:szCs w:val="24"/>
                <w:highlight w:val="none"/>
              </w:rPr>
              <w:t>2、提交投标文件光盘备用</w:t>
            </w:r>
          </w:p>
          <w:p w14:paraId="2BA082BD">
            <w:pPr>
              <w:spacing w:line="360" w:lineRule="auto"/>
              <w:rPr>
                <w:rFonts w:hint="eastAsia" w:ascii="宋体" w:hAnsi="宋体" w:cs="宋体"/>
                <w:sz w:val="24"/>
                <w:szCs w:val="24"/>
                <w:highlight w:val="none"/>
              </w:rPr>
            </w:pPr>
            <w:r>
              <w:rPr>
                <w:rFonts w:hint="eastAsia" w:ascii="宋体" w:hAnsi="宋体" w:cs="宋体"/>
                <w:sz w:val="24"/>
                <w:szCs w:val="24"/>
                <w:highlight w:val="none"/>
              </w:rPr>
              <w:t>（1）投标人将按</w:t>
            </w:r>
            <w:r>
              <w:rPr>
                <w:rFonts w:hint="eastAsia" w:ascii="宋体" w:hAnsi="宋体" w:cs="宋体"/>
                <w:b/>
                <w:sz w:val="24"/>
                <w:szCs w:val="24"/>
                <w:highlight w:val="none"/>
              </w:rPr>
              <w:t>《建设工程全流程电子化项目操作指南》</w:t>
            </w:r>
            <w:r>
              <w:rPr>
                <w:rFonts w:hint="eastAsia" w:ascii="宋体" w:hAnsi="宋体" w:cs="宋体"/>
                <w:sz w:val="24"/>
                <w:szCs w:val="24"/>
                <w:highlight w:val="none"/>
              </w:rPr>
              <w:t>的操作方法制作非加密的电子投标文件刻入光盘（1份），在截至投标前15分钟提交至开标现场，</w:t>
            </w:r>
            <w:r>
              <w:rPr>
                <w:rFonts w:hint="eastAsia" w:ascii="宋体" w:hAnsi="宋体" w:cs="宋体"/>
                <w:b/>
                <w:bCs/>
                <w:sz w:val="24"/>
                <w:szCs w:val="24"/>
                <w:highlight w:val="none"/>
              </w:rPr>
              <w:t>投标人应凭法定代表人证明书及法定代表人授权委托书（授权代表递交时出具）递交投标文件备用光盘，并出示本人身份证原件。</w:t>
            </w:r>
            <w:r>
              <w:rPr>
                <w:rFonts w:hint="eastAsia" w:ascii="宋体" w:hAnsi="宋体" w:cs="宋体"/>
                <w:sz w:val="24"/>
                <w:szCs w:val="24"/>
                <w:highlight w:val="none"/>
              </w:rPr>
              <w:t>刻录好的投标文件光盘密封在密封袋中，并在封口处加盖投标人单位公章。密封袋上应写明的内容见投标人须知前附表要求4.1.2。</w:t>
            </w:r>
          </w:p>
          <w:p w14:paraId="01B6DC90">
            <w:pPr>
              <w:spacing w:line="360" w:lineRule="auto"/>
              <w:rPr>
                <w:rFonts w:hint="eastAsia" w:ascii="宋体" w:hAnsi="宋体" w:cs="宋体"/>
                <w:sz w:val="24"/>
                <w:szCs w:val="24"/>
                <w:highlight w:val="none"/>
              </w:rPr>
            </w:pPr>
            <w:r>
              <w:rPr>
                <w:rFonts w:hint="eastAsia" w:ascii="宋体" w:hAnsi="宋体" w:cs="宋体"/>
                <w:sz w:val="24"/>
                <w:szCs w:val="24"/>
                <w:highlight w:val="none"/>
              </w:rPr>
              <w:t>（2）递交的投标文件（光盘）不得加密。光盘（投标文件）无法读取或导入的，则视为未提交备用投标文件光盘。如果投标人没有按规定通过交易平台网上递交电子投标文件的，不再接受提交的光盘。投标人可选择不提交光盘备用。</w:t>
            </w:r>
          </w:p>
          <w:p w14:paraId="58A66963">
            <w:pPr>
              <w:spacing w:line="360" w:lineRule="auto"/>
              <w:rPr>
                <w:rFonts w:hint="eastAsia" w:ascii="宋体" w:hAnsi="宋体" w:cs="宋体"/>
                <w:sz w:val="24"/>
                <w:szCs w:val="24"/>
                <w:highlight w:val="none"/>
              </w:rPr>
            </w:pPr>
            <w:r>
              <w:rPr>
                <w:rFonts w:hint="eastAsia" w:ascii="宋体" w:hAnsi="宋体" w:cs="宋体"/>
                <w:sz w:val="24"/>
                <w:szCs w:val="24"/>
                <w:highlight w:val="none"/>
              </w:rPr>
              <w:t>3、补救方案</w:t>
            </w:r>
          </w:p>
          <w:p w14:paraId="144A2175">
            <w:pPr>
              <w:spacing w:line="360" w:lineRule="auto"/>
              <w:rPr>
                <w:rFonts w:hint="eastAsia" w:ascii="宋体" w:hAnsi="宋体" w:cs="宋体"/>
                <w:sz w:val="24"/>
                <w:szCs w:val="24"/>
                <w:highlight w:val="none"/>
              </w:rPr>
            </w:pPr>
            <w:r>
              <w:rPr>
                <w:rFonts w:hint="eastAsia" w:ascii="宋体" w:hAnsi="宋体" w:cs="宋体"/>
                <w:sz w:val="24"/>
                <w:szCs w:val="24"/>
                <w:highlight w:val="none"/>
              </w:rPr>
              <w:t>（1）投标文件解密失败的补救方案：</w:t>
            </w:r>
          </w:p>
          <w:p w14:paraId="1C287210">
            <w:pPr>
              <w:spacing w:line="360" w:lineRule="auto"/>
              <w:rPr>
                <w:rFonts w:hint="eastAsia" w:ascii="宋体" w:hAnsi="宋体" w:cs="宋体"/>
                <w:sz w:val="24"/>
                <w:szCs w:val="24"/>
                <w:highlight w:val="none"/>
              </w:rPr>
            </w:pPr>
            <w:r>
              <w:rPr>
                <w:rFonts w:hint="eastAsia" w:ascii="宋体" w:hAnsi="宋体" w:cs="宋体"/>
                <w:sz w:val="24"/>
                <w:szCs w:val="24"/>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27F48740">
            <w:pPr>
              <w:spacing w:line="360" w:lineRule="auto"/>
              <w:rPr>
                <w:rFonts w:hint="eastAsia" w:ascii="宋体" w:hAnsi="宋体" w:cs="宋体"/>
                <w:sz w:val="24"/>
                <w:szCs w:val="24"/>
                <w:highlight w:val="none"/>
              </w:rPr>
            </w:pPr>
            <w:r>
              <w:rPr>
                <w:rFonts w:hint="eastAsia" w:ascii="宋体" w:hAnsi="宋体" w:cs="宋体"/>
                <w:sz w:val="24"/>
                <w:szCs w:val="24"/>
                <w:highlight w:val="none"/>
              </w:rPr>
              <w:t>（2）评标时突发情况的补救方案</w:t>
            </w:r>
          </w:p>
          <w:p w14:paraId="67C4A285">
            <w:pPr>
              <w:spacing w:line="360" w:lineRule="auto"/>
              <w:rPr>
                <w:rFonts w:hint="eastAsia" w:ascii="宋体" w:hAnsi="宋体" w:cs="宋体"/>
                <w:sz w:val="24"/>
                <w:szCs w:val="24"/>
                <w:highlight w:val="none"/>
              </w:rPr>
            </w:pPr>
            <w:r>
              <w:rPr>
                <w:rFonts w:hint="eastAsia" w:ascii="宋体" w:hAnsi="宋体" w:cs="宋体"/>
                <w:sz w:val="24"/>
                <w:szCs w:val="24"/>
                <w:highlight w:val="none"/>
              </w:rPr>
              <w:t>若遇不可抗力发生（如：网络瘫痪、服务器损坏、交易系统故障短期无法恢复等因素），由评标委员会开启投标人递交的全部投标文件光盘，并按光盘内容进行评审。</w:t>
            </w:r>
          </w:p>
          <w:p w14:paraId="0FC2E08A">
            <w:pPr>
              <w:spacing w:line="360" w:lineRule="auto"/>
              <w:rPr>
                <w:rFonts w:hint="eastAsia" w:ascii="宋体" w:hAnsi="宋体" w:cs="宋体"/>
                <w:sz w:val="24"/>
                <w:szCs w:val="24"/>
                <w:highlight w:val="none"/>
              </w:rPr>
            </w:pPr>
            <w:r>
              <w:rPr>
                <w:rFonts w:hint="eastAsia" w:ascii="宋体" w:hAnsi="宋体" w:cs="宋体"/>
                <w:sz w:val="24"/>
                <w:szCs w:val="24"/>
                <w:highlight w:val="none"/>
              </w:rPr>
              <w:t>（3）除发生上述情况外，开标评标均以投标人通过交易平台网上递交的电子投标文件为准。</w:t>
            </w:r>
          </w:p>
        </w:tc>
      </w:tr>
      <w:tr w14:paraId="4277BBE7">
        <w:tblPrEx>
          <w:tblCellMar>
            <w:top w:w="0" w:type="dxa"/>
            <w:left w:w="108" w:type="dxa"/>
            <w:bottom w:w="0" w:type="dxa"/>
            <w:right w:w="108" w:type="dxa"/>
          </w:tblCellMar>
        </w:tblPrEx>
        <w:trPr>
          <w:trHeight w:val="519" w:hRule="atLeast"/>
        </w:trPr>
        <w:tc>
          <w:tcPr>
            <w:tcW w:w="1165" w:type="dxa"/>
            <w:tcBorders>
              <w:top w:val="single" w:color="auto" w:sz="4" w:space="0"/>
              <w:left w:val="single" w:color="auto" w:sz="4" w:space="0"/>
              <w:bottom w:val="single" w:color="auto" w:sz="4" w:space="0"/>
              <w:right w:val="single" w:color="auto" w:sz="4" w:space="0"/>
            </w:tcBorders>
            <w:vAlign w:val="center"/>
          </w:tcPr>
          <w:p w14:paraId="6253B52D">
            <w:pPr>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10</w:t>
            </w:r>
          </w:p>
        </w:tc>
        <w:tc>
          <w:tcPr>
            <w:tcW w:w="8441" w:type="dxa"/>
            <w:gridSpan w:val="2"/>
            <w:tcBorders>
              <w:top w:val="single" w:color="auto" w:sz="4" w:space="0"/>
              <w:left w:val="single" w:color="auto" w:sz="4" w:space="0"/>
              <w:bottom w:val="single" w:color="auto" w:sz="4" w:space="0"/>
              <w:right w:val="single" w:color="auto" w:sz="4" w:space="0"/>
            </w:tcBorders>
            <w:vAlign w:val="center"/>
          </w:tcPr>
          <w:p w14:paraId="39CC43FB">
            <w:pPr>
              <w:spacing w:line="360" w:lineRule="auto"/>
              <w:ind w:right="107" w:rightChars="51"/>
              <w:rPr>
                <w:rFonts w:hint="eastAsia" w:ascii="宋体" w:hAnsi="宋体" w:cs="宋体"/>
                <w:sz w:val="24"/>
                <w:szCs w:val="24"/>
                <w:highlight w:val="none"/>
              </w:rPr>
            </w:pPr>
            <w:r>
              <w:rPr>
                <w:rFonts w:hint="eastAsia" w:ascii="宋体" w:hAnsi="宋体" w:cs="宋体"/>
                <w:sz w:val="24"/>
                <w:szCs w:val="24"/>
                <w:highlight w:val="none"/>
              </w:rPr>
              <w:t>需要补充的其他内容</w:t>
            </w:r>
          </w:p>
        </w:tc>
      </w:tr>
      <w:tr w14:paraId="504B6A03">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02ED8F2C">
            <w:pPr>
              <w:spacing w:line="360" w:lineRule="auto"/>
              <w:rPr>
                <w:rFonts w:hint="eastAsia" w:ascii="宋体" w:hAnsi="宋体" w:cs="宋体"/>
                <w:sz w:val="24"/>
                <w:szCs w:val="24"/>
                <w:highlight w:val="none"/>
              </w:rPr>
            </w:pPr>
            <w:r>
              <w:rPr>
                <w:rFonts w:hint="eastAsia" w:ascii="宋体" w:hAnsi="宋体" w:cs="宋体"/>
                <w:sz w:val="24"/>
                <w:szCs w:val="24"/>
                <w:highlight w:val="none"/>
              </w:rPr>
              <w:t>10.1</w:t>
            </w:r>
          </w:p>
        </w:tc>
        <w:tc>
          <w:tcPr>
            <w:tcW w:w="2345" w:type="dxa"/>
            <w:tcBorders>
              <w:top w:val="single" w:color="auto" w:sz="4" w:space="0"/>
              <w:left w:val="single" w:color="auto" w:sz="4" w:space="0"/>
              <w:bottom w:val="single" w:color="auto" w:sz="4" w:space="0"/>
              <w:right w:val="single" w:color="auto" w:sz="4" w:space="0"/>
            </w:tcBorders>
            <w:vAlign w:val="center"/>
          </w:tcPr>
          <w:p w14:paraId="61A1F9C2">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特别提示</w:t>
            </w:r>
          </w:p>
        </w:tc>
        <w:tc>
          <w:tcPr>
            <w:tcW w:w="6096" w:type="dxa"/>
            <w:tcBorders>
              <w:top w:val="single" w:color="auto" w:sz="4" w:space="0"/>
              <w:left w:val="single" w:color="auto" w:sz="4" w:space="0"/>
              <w:bottom w:val="single" w:color="auto" w:sz="4" w:space="0"/>
              <w:right w:val="single" w:color="auto" w:sz="4" w:space="0"/>
            </w:tcBorders>
            <w:vAlign w:val="center"/>
          </w:tcPr>
          <w:p w14:paraId="126AC516">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投标人在本项目招标人的工程项目中存在下列行为的，将被拒绝一年内参与我单位后续工程投标。（注：自招标人发出通知之日起计）：</w:t>
            </w:r>
          </w:p>
          <w:p w14:paraId="3FC6DFFA">
            <w:pPr>
              <w:widowControl/>
              <w:spacing w:line="360" w:lineRule="auto"/>
              <w:ind w:right="107" w:rightChars="51"/>
              <w:jc w:val="left"/>
              <w:rPr>
                <w:rFonts w:hint="eastAsia" w:ascii="宋体" w:hAnsi="宋体" w:cs="宋体"/>
                <w:sz w:val="24"/>
                <w:szCs w:val="24"/>
                <w:highlight w:val="none"/>
              </w:rPr>
            </w:pPr>
            <w:r>
              <w:rPr>
                <w:rFonts w:ascii="宋体" w:hAnsi="宋体" w:cs="宋体"/>
                <w:sz w:val="24"/>
                <w:szCs w:val="24"/>
                <w:highlight w:val="none"/>
              </w:rPr>
              <w:t>（1）将中标工程转包或者违法分包的；</w:t>
            </w:r>
          </w:p>
          <w:p w14:paraId="32E88941">
            <w:pPr>
              <w:widowControl/>
              <w:spacing w:line="360" w:lineRule="auto"/>
              <w:ind w:right="107" w:rightChars="51"/>
              <w:jc w:val="left"/>
              <w:rPr>
                <w:rFonts w:hint="eastAsia" w:ascii="宋体" w:hAnsi="宋体" w:cs="宋体"/>
                <w:sz w:val="24"/>
                <w:szCs w:val="24"/>
                <w:highlight w:val="none"/>
              </w:rPr>
            </w:pPr>
            <w:r>
              <w:rPr>
                <w:rFonts w:ascii="宋体" w:hAnsi="宋体" w:cs="宋体"/>
                <w:sz w:val="24"/>
                <w:szCs w:val="24"/>
                <w:highlight w:val="none"/>
              </w:rPr>
              <w:t>（2）在中标工程中不执行质量、安全生产相关规定的，造成质量或安全事故的；</w:t>
            </w:r>
          </w:p>
          <w:p w14:paraId="5FEE1879">
            <w:pPr>
              <w:widowControl/>
              <w:spacing w:line="360" w:lineRule="auto"/>
              <w:ind w:right="107" w:rightChars="51"/>
              <w:jc w:val="left"/>
              <w:rPr>
                <w:rFonts w:hint="eastAsia" w:ascii="宋体" w:hAns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出让投标资格的；</w:t>
            </w:r>
          </w:p>
          <w:p w14:paraId="18655153">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（4）</w:t>
            </w:r>
            <w:r>
              <w:rPr>
                <w:rFonts w:ascii="宋体" w:hAnsi="宋体" w:cs="宋体"/>
                <w:sz w:val="24"/>
                <w:szCs w:val="24"/>
                <w:highlight w:val="none"/>
              </w:rPr>
              <w:t>存在围标或串标情形的；</w:t>
            </w:r>
          </w:p>
          <w:p w14:paraId="135DD5D8">
            <w:pPr>
              <w:widowControl/>
              <w:spacing w:line="360" w:lineRule="auto"/>
              <w:ind w:right="107" w:rightChars="51"/>
              <w:jc w:val="left"/>
              <w:rPr>
                <w:rFonts w:hint="eastAsia" w:ascii="宋体" w:hAnsi="宋体" w:cs="宋体"/>
                <w:sz w:val="24"/>
                <w:szCs w:val="24"/>
                <w:highlight w:val="none"/>
              </w:rPr>
            </w:pPr>
            <w:r>
              <w:rPr>
                <w:rFonts w:ascii="宋体" w:hAnsi="宋体" w:cs="宋体"/>
                <w:sz w:val="24"/>
                <w:szCs w:val="24"/>
                <w:highlight w:val="none"/>
              </w:rPr>
              <w:t>（</w:t>
            </w:r>
            <w:r>
              <w:rPr>
                <w:rFonts w:hint="eastAsia" w:ascii="宋体" w:hAnsi="宋体" w:cs="宋体"/>
                <w:sz w:val="24"/>
                <w:szCs w:val="24"/>
                <w:highlight w:val="none"/>
              </w:rPr>
              <w:t>5</w:t>
            </w:r>
            <w:r>
              <w:rPr>
                <w:rFonts w:ascii="宋体" w:hAnsi="宋体" w:cs="宋体"/>
                <w:sz w:val="24"/>
                <w:szCs w:val="24"/>
                <w:highlight w:val="none"/>
              </w:rPr>
              <w:t>）</w:t>
            </w:r>
            <w:r>
              <w:rPr>
                <w:rFonts w:hint="eastAsia" w:ascii="宋体" w:hAnsi="宋体" w:cs="宋体"/>
                <w:sz w:val="24"/>
                <w:szCs w:val="24"/>
                <w:highlight w:val="none"/>
              </w:rPr>
              <w:t>在投标文件中提供虚假材料的；</w:t>
            </w:r>
          </w:p>
          <w:p w14:paraId="6778C3AB">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（6）存在少放、不放业绩、奖项等客观评审资料，减少自身竞争力情形的；</w:t>
            </w:r>
          </w:p>
          <w:p w14:paraId="1501DCB2">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（7）存在行贿情形的；</w:t>
            </w:r>
          </w:p>
          <w:p w14:paraId="2FFD7E72">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（8）拖欠农民工工资的；</w:t>
            </w:r>
          </w:p>
          <w:p w14:paraId="4188B711">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（9）未按照国家、省、市有关建筑施工实名制管理和工人工资支付分账管理的规定执行，被行政监管部门处罚的；</w:t>
            </w:r>
          </w:p>
          <w:p w14:paraId="36ADC930">
            <w:pPr>
              <w:widowControl/>
              <w:spacing w:line="360" w:lineRule="auto"/>
              <w:ind w:right="107" w:rightChars="51"/>
              <w:jc w:val="left"/>
              <w:rPr>
                <w:rFonts w:hint="eastAsia" w:ascii="宋体" w:hAnsi="宋体" w:cs="宋体"/>
                <w:sz w:val="24"/>
                <w:szCs w:val="24"/>
                <w:highlight w:val="none"/>
              </w:rPr>
            </w:pPr>
            <w:r>
              <w:rPr>
                <w:rFonts w:hint="eastAsia" w:ascii="宋体" w:hAnsi="宋体" w:cs="宋体"/>
                <w:sz w:val="24"/>
                <w:szCs w:val="24"/>
                <w:highlight w:val="none"/>
              </w:rPr>
              <w:t>（10）本项目投标时拟派的专职安全员在其他项目中有任职且在本项目开工前未完成更换确保专职安全员只在本项目上任职的。</w:t>
            </w:r>
          </w:p>
        </w:tc>
      </w:tr>
      <w:tr w14:paraId="4CE88919">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vAlign w:val="center"/>
          </w:tcPr>
          <w:p w14:paraId="6504E65E">
            <w:pPr>
              <w:spacing w:line="360" w:lineRule="auto"/>
              <w:rPr>
                <w:rFonts w:hint="eastAsia" w:ascii="宋体" w:hAnsi="宋体" w:cs="宋体"/>
                <w:sz w:val="24"/>
                <w:szCs w:val="24"/>
                <w:highlight w:val="none"/>
              </w:rPr>
            </w:pPr>
            <w:r>
              <w:rPr>
                <w:rFonts w:hint="eastAsia" w:ascii="宋体" w:hAnsi="宋体" w:cs="宋体"/>
                <w:sz w:val="24"/>
                <w:szCs w:val="24"/>
                <w:highlight w:val="none"/>
              </w:rPr>
              <w:t>10.2</w:t>
            </w:r>
          </w:p>
        </w:tc>
        <w:tc>
          <w:tcPr>
            <w:tcW w:w="2345" w:type="dxa"/>
            <w:tcBorders>
              <w:top w:val="single" w:color="auto" w:sz="4" w:space="0"/>
              <w:left w:val="single" w:color="auto" w:sz="4" w:space="0"/>
              <w:bottom w:val="single" w:color="auto" w:sz="4" w:space="0"/>
              <w:right w:val="single" w:color="auto" w:sz="4" w:space="0"/>
            </w:tcBorders>
            <w:vAlign w:val="center"/>
          </w:tcPr>
          <w:p w14:paraId="44369C50">
            <w:pPr>
              <w:shd w:val="clear" w:color="auto" w:fill="FFFFFF"/>
              <w:adjustRightInd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招标失败的情形</w:t>
            </w:r>
          </w:p>
        </w:tc>
        <w:tc>
          <w:tcPr>
            <w:tcW w:w="6096" w:type="dxa"/>
            <w:tcBorders>
              <w:top w:val="single" w:color="auto" w:sz="4" w:space="0"/>
              <w:left w:val="single" w:color="auto" w:sz="4" w:space="0"/>
              <w:bottom w:val="single" w:color="auto" w:sz="4" w:space="0"/>
              <w:right w:val="single" w:color="auto" w:sz="4" w:space="0"/>
            </w:tcBorders>
            <w:vAlign w:val="center"/>
          </w:tcPr>
          <w:p w14:paraId="5A4C48E5">
            <w:pPr>
              <w:spacing w:line="360" w:lineRule="auto"/>
              <w:ind w:right="174" w:rightChars="83"/>
              <w:rPr>
                <w:rFonts w:hint="eastAsia" w:ascii="宋体" w:hAnsi="宋体" w:cs="宋体"/>
                <w:sz w:val="24"/>
                <w:szCs w:val="24"/>
                <w:highlight w:val="none"/>
              </w:rPr>
            </w:pPr>
            <w:r>
              <w:rPr>
                <w:rFonts w:hint="eastAsia" w:ascii="宋体" w:hAnsi="宋体" w:cs="宋体"/>
                <w:sz w:val="24"/>
                <w:szCs w:val="24"/>
                <w:highlight w:val="none"/>
              </w:rPr>
              <w:t>本项目采用资格后审方式，资格审查与评标同时进行，通过形式评审、资格审查、响应性评审的投标申请人不足3名时为本项目本次招标失败。招标人分析招标失败原因，修正招标方案，报有关管理部门核准后，重新组织招标。</w:t>
            </w:r>
          </w:p>
        </w:tc>
      </w:tr>
      <w:tr w14:paraId="1248378C">
        <w:tblPrEx>
          <w:tblCellMar>
            <w:top w:w="0" w:type="dxa"/>
            <w:left w:w="108" w:type="dxa"/>
            <w:bottom w:w="0" w:type="dxa"/>
            <w:right w:w="108" w:type="dxa"/>
          </w:tblCellMar>
        </w:tblPrEx>
        <w:trPr>
          <w:trHeight w:val="2531" w:hRule="atLeast"/>
        </w:trPr>
        <w:tc>
          <w:tcPr>
            <w:tcW w:w="1165" w:type="dxa"/>
            <w:tcBorders>
              <w:top w:val="single" w:color="auto" w:sz="4" w:space="0"/>
              <w:left w:val="single" w:color="auto" w:sz="4" w:space="0"/>
              <w:bottom w:val="single" w:color="auto" w:sz="4" w:space="0"/>
              <w:right w:val="single" w:color="auto" w:sz="4" w:space="0"/>
            </w:tcBorders>
            <w:vAlign w:val="center"/>
          </w:tcPr>
          <w:p w14:paraId="5FBC791A">
            <w:pPr>
              <w:spacing w:line="360" w:lineRule="auto"/>
              <w:rPr>
                <w:rFonts w:hint="eastAsia" w:ascii="宋体" w:hAnsi="宋体" w:cs="宋体"/>
                <w:sz w:val="24"/>
                <w:szCs w:val="24"/>
                <w:highlight w:val="none"/>
              </w:rPr>
            </w:pPr>
            <w:r>
              <w:rPr>
                <w:rFonts w:hint="eastAsia" w:ascii="宋体" w:hAnsi="宋体" w:cs="宋体"/>
                <w:sz w:val="24"/>
                <w:szCs w:val="24"/>
                <w:highlight w:val="none"/>
              </w:rPr>
              <w:t>10.3</w:t>
            </w:r>
          </w:p>
        </w:tc>
        <w:tc>
          <w:tcPr>
            <w:tcW w:w="2345" w:type="dxa"/>
            <w:tcBorders>
              <w:top w:val="single" w:color="auto" w:sz="4" w:space="0"/>
              <w:left w:val="single" w:color="auto" w:sz="4" w:space="0"/>
              <w:bottom w:val="single" w:color="auto" w:sz="4" w:space="0"/>
              <w:right w:val="single" w:color="auto" w:sz="4" w:space="0"/>
            </w:tcBorders>
            <w:vAlign w:val="center"/>
          </w:tcPr>
          <w:p w14:paraId="7CAB996D">
            <w:pPr>
              <w:spacing w:line="360" w:lineRule="auto"/>
              <w:ind w:right="174" w:rightChars="83"/>
              <w:jc w:val="center"/>
              <w:rPr>
                <w:rFonts w:hint="eastAsia" w:ascii="宋体" w:hAnsi="宋体" w:cs="宋体"/>
                <w:sz w:val="24"/>
                <w:szCs w:val="24"/>
                <w:highlight w:val="none"/>
              </w:rPr>
            </w:pPr>
            <w:r>
              <w:rPr>
                <w:rFonts w:hint="eastAsia" w:ascii="宋体" w:hAnsi="宋体" w:cs="宋体"/>
                <w:sz w:val="24"/>
                <w:szCs w:val="24"/>
                <w:highlight w:val="none"/>
              </w:rPr>
              <w:t>其他</w:t>
            </w:r>
          </w:p>
        </w:tc>
        <w:tc>
          <w:tcPr>
            <w:tcW w:w="6096" w:type="dxa"/>
            <w:tcBorders>
              <w:top w:val="single" w:color="auto" w:sz="4" w:space="0"/>
              <w:left w:val="single" w:color="auto" w:sz="4" w:space="0"/>
              <w:bottom w:val="single" w:color="auto" w:sz="4" w:space="0"/>
              <w:right w:val="single" w:color="auto" w:sz="4" w:space="0"/>
            </w:tcBorders>
            <w:vAlign w:val="center"/>
          </w:tcPr>
          <w:p w14:paraId="164F4B7D">
            <w:pPr>
              <w:spacing w:line="360" w:lineRule="auto"/>
              <w:ind w:right="174" w:rightChars="83"/>
              <w:rPr>
                <w:rFonts w:hint="eastAsia" w:ascii="宋体" w:hAnsi="宋体" w:cs="宋体"/>
                <w:sz w:val="24"/>
                <w:szCs w:val="24"/>
                <w:highlight w:val="none"/>
              </w:rPr>
            </w:pPr>
            <w:r>
              <w:rPr>
                <w:rFonts w:hint="eastAsia" w:ascii="宋体" w:hAnsi="宋体" w:cs="宋体"/>
                <w:sz w:val="24"/>
                <w:szCs w:val="24"/>
                <w:highlight w:val="none"/>
              </w:rPr>
              <w:t>1、在产生中标候选人后，招标人将中标候选人的投标文件商务部分（包括人员、业绩、奖项等资料）在广州交易集团有限公司（广州公共资源交易中心）平台和广东省招标投标监管网公开。</w:t>
            </w:r>
          </w:p>
          <w:p w14:paraId="00A6EEE5">
            <w:pPr>
              <w:spacing w:line="360" w:lineRule="auto"/>
              <w:rPr>
                <w:rFonts w:hint="eastAsia" w:ascii="宋体" w:hAnsi="宋体" w:cs="宋体"/>
                <w:b/>
                <w:sz w:val="24"/>
                <w:szCs w:val="24"/>
                <w:highlight w:val="none"/>
              </w:rPr>
            </w:pPr>
            <w:r>
              <w:rPr>
                <w:rFonts w:hint="eastAsia" w:ascii="宋体" w:hAnsi="宋体" w:cs="宋体"/>
                <w:kern w:val="0"/>
                <w:sz w:val="24"/>
                <w:szCs w:val="24"/>
                <w:highlight w:val="none"/>
              </w:rPr>
              <w:t>2、中标后，中标单位须提交与网上上传电子投标文件完全一致的纸质投标文件（一式两份，加盖公章）给招标单位。</w:t>
            </w:r>
          </w:p>
        </w:tc>
      </w:tr>
      <w:tr w14:paraId="363B149B">
        <w:tblPrEx>
          <w:tblCellMar>
            <w:top w:w="0" w:type="dxa"/>
            <w:left w:w="108" w:type="dxa"/>
            <w:bottom w:w="0" w:type="dxa"/>
            <w:right w:w="108" w:type="dxa"/>
          </w:tblCellMar>
        </w:tblPrEx>
        <w:trPr>
          <w:trHeight w:val="1961" w:hRule="atLeast"/>
        </w:trPr>
        <w:tc>
          <w:tcPr>
            <w:tcW w:w="1165" w:type="dxa"/>
            <w:tcBorders>
              <w:top w:val="single" w:color="auto" w:sz="4" w:space="0"/>
              <w:left w:val="single" w:color="auto" w:sz="4" w:space="0"/>
              <w:bottom w:val="single" w:color="auto" w:sz="4" w:space="0"/>
              <w:right w:val="single" w:color="auto" w:sz="4" w:space="0"/>
            </w:tcBorders>
            <w:vAlign w:val="center"/>
          </w:tcPr>
          <w:p w14:paraId="6E830909">
            <w:pPr>
              <w:spacing w:line="360" w:lineRule="auto"/>
              <w:rPr>
                <w:rFonts w:hint="eastAsia" w:ascii="宋体" w:hAnsi="宋体" w:cs="宋体"/>
                <w:sz w:val="24"/>
                <w:szCs w:val="24"/>
                <w:highlight w:val="none"/>
              </w:rPr>
            </w:pPr>
            <w:r>
              <w:rPr>
                <w:rFonts w:hint="eastAsia" w:ascii="宋体" w:hAnsi="宋体" w:cs="宋体"/>
                <w:sz w:val="24"/>
                <w:szCs w:val="24"/>
                <w:highlight w:val="none"/>
              </w:rPr>
              <w:t>10.4</w:t>
            </w:r>
          </w:p>
        </w:tc>
        <w:tc>
          <w:tcPr>
            <w:tcW w:w="2345" w:type="dxa"/>
            <w:tcBorders>
              <w:top w:val="single" w:color="auto" w:sz="4" w:space="0"/>
              <w:left w:val="single" w:color="auto" w:sz="4" w:space="0"/>
              <w:bottom w:val="single" w:color="auto" w:sz="4" w:space="0"/>
              <w:right w:val="single" w:color="auto" w:sz="4" w:space="0"/>
            </w:tcBorders>
            <w:vAlign w:val="center"/>
          </w:tcPr>
          <w:p w14:paraId="5D698FF1">
            <w:pPr>
              <w:spacing w:line="360" w:lineRule="auto"/>
              <w:ind w:right="174" w:rightChars="83"/>
              <w:jc w:val="center"/>
              <w:rPr>
                <w:rFonts w:hint="eastAsia" w:ascii="宋体" w:hAnsi="宋体" w:cs="宋体"/>
                <w:sz w:val="24"/>
                <w:szCs w:val="24"/>
                <w:highlight w:val="none"/>
              </w:rPr>
            </w:pPr>
            <w:r>
              <w:rPr>
                <w:rFonts w:hint="eastAsia" w:ascii="宋体" w:hAnsi="宋体" w:cs="宋体"/>
                <w:sz w:val="24"/>
                <w:szCs w:val="24"/>
                <w:highlight w:val="none"/>
              </w:rPr>
              <w:t>相关费用</w:t>
            </w:r>
          </w:p>
        </w:tc>
        <w:tc>
          <w:tcPr>
            <w:tcW w:w="6096" w:type="dxa"/>
            <w:tcBorders>
              <w:top w:val="single" w:color="auto" w:sz="4" w:space="0"/>
              <w:left w:val="single" w:color="auto" w:sz="4" w:space="0"/>
              <w:bottom w:val="single" w:color="auto" w:sz="4" w:space="0"/>
              <w:right w:val="single" w:color="auto" w:sz="4" w:space="0"/>
            </w:tcBorders>
            <w:vAlign w:val="center"/>
          </w:tcPr>
          <w:p w14:paraId="4C16E5BD">
            <w:pPr>
              <w:spacing w:line="360" w:lineRule="auto"/>
              <w:rPr>
                <w:rFonts w:hint="eastAsia" w:ascii="宋体" w:hAnsi="宋体" w:cs="宋体"/>
                <w:kern w:val="0"/>
                <w:sz w:val="24"/>
                <w:szCs w:val="24"/>
                <w:highlight w:val="none"/>
              </w:rPr>
            </w:pPr>
            <w:r>
              <w:rPr>
                <w:rFonts w:hint="eastAsia" w:ascii="宋体" w:hAnsi="宋体" w:cs="宋体"/>
                <w:bCs/>
                <w:sz w:val="24"/>
                <w:szCs w:val="24"/>
                <w:highlight w:val="none"/>
                <w:u w:val="single"/>
              </w:rPr>
              <w:t>中标人</w:t>
            </w:r>
            <w:r>
              <w:rPr>
                <w:rFonts w:hint="eastAsia" w:ascii="宋体" w:hAnsi="宋体" w:cs="宋体"/>
                <w:sz w:val="24"/>
                <w:szCs w:val="24"/>
                <w:highlight w:val="none"/>
                <w:u w:val="single"/>
              </w:rPr>
              <w:t>代缴广州交易集团有限公司（广州公共资源交易中心）交易服务费，其费用包含在中标人报价中，由广州交易集团有限公司（广州公共资源交易中心）向中标人开具增值税发票。</w:t>
            </w:r>
          </w:p>
        </w:tc>
      </w:tr>
      <w:tr w14:paraId="280F8533">
        <w:tblPrEx>
          <w:tblCellMar>
            <w:top w:w="0" w:type="dxa"/>
            <w:left w:w="108" w:type="dxa"/>
            <w:bottom w:w="0" w:type="dxa"/>
            <w:right w:w="108" w:type="dxa"/>
          </w:tblCellMar>
        </w:tblPrEx>
        <w:trPr>
          <w:trHeight w:val="2531" w:hRule="atLeast"/>
        </w:trPr>
        <w:tc>
          <w:tcPr>
            <w:tcW w:w="1165" w:type="dxa"/>
            <w:tcBorders>
              <w:top w:val="single" w:color="auto" w:sz="4" w:space="0"/>
              <w:left w:val="single" w:color="auto" w:sz="4" w:space="0"/>
              <w:bottom w:val="single" w:color="auto" w:sz="4" w:space="0"/>
              <w:right w:val="single" w:color="auto" w:sz="4" w:space="0"/>
            </w:tcBorders>
            <w:vAlign w:val="center"/>
          </w:tcPr>
          <w:p w14:paraId="259B6585">
            <w:pPr>
              <w:spacing w:line="360" w:lineRule="auto"/>
              <w:rPr>
                <w:rFonts w:hint="eastAsia" w:ascii="宋体" w:hAnsi="宋体" w:cs="宋体"/>
                <w:sz w:val="24"/>
                <w:szCs w:val="24"/>
                <w:highlight w:val="none"/>
              </w:rPr>
            </w:pPr>
            <w:r>
              <w:rPr>
                <w:rFonts w:hint="eastAsia" w:ascii="宋体" w:hAnsi="宋体" w:cs="宋体"/>
                <w:sz w:val="24"/>
                <w:szCs w:val="24"/>
                <w:highlight w:val="none"/>
              </w:rPr>
              <w:t>10.5</w:t>
            </w:r>
          </w:p>
        </w:tc>
        <w:tc>
          <w:tcPr>
            <w:tcW w:w="2345" w:type="dxa"/>
            <w:tcBorders>
              <w:top w:val="single" w:color="auto" w:sz="4" w:space="0"/>
              <w:left w:val="single" w:color="auto" w:sz="4" w:space="0"/>
              <w:bottom w:val="single" w:color="auto" w:sz="4" w:space="0"/>
              <w:right w:val="single" w:color="auto" w:sz="4" w:space="0"/>
            </w:tcBorders>
            <w:vAlign w:val="center"/>
          </w:tcPr>
          <w:p w14:paraId="6FF2E725">
            <w:pPr>
              <w:spacing w:line="360" w:lineRule="auto"/>
              <w:ind w:right="-44" w:rightChars="-21"/>
              <w:jc w:val="center"/>
              <w:rPr>
                <w:rFonts w:hint="eastAsia" w:ascii="宋体" w:hAnsi="宋体" w:cs="宋体"/>
                <w:sz w:val="24"/>
                <w:szCs w:val="24"/>
                <w:highlight w:val="none"/>
              </w:rPr>
            </w:pPr>
            <w:r>
              <w:rPr>
                <w:rFonts w:hint="eastAsia" w:ascii="宋体" w:hAnsi="宋体" w:cs="宋体"/>
                <w:sz w:val="24"/>
                <w:szCs w:val="24"/>
                <w:highlight w:val="none"/>
              </w:rPr>
              <w:t>否决投标条款</w:t>
            </w:r>
          </w:p>
        </w:tc>
        <w:tc>
          <w:tcPr>
            <w:tcW w:w="6096" w:type="dxa"/>
            <w:tcBorders>
              <w:top w:val="single" w:color="auto" w:sz="4" w:space="0"/>
              <w:left w:val="single" w:color="auto" w:sz="4" w:space="0"/>
              <w:bottom w:val="single" w:color="auto" w:sz="4" w:space="0"/>
              <w:right w:val="single" w:color="auto" w:sz="4" w:space="0"/>
            </w:tcBorders>
            <w:vAlign w:val="center"/>
          </w:tcPr>
          <w:p w14:paraId="328C2A59">
            <w:pPr>
              <w:snapToGrid w:val="0"/>
              <w:jc w:val="left"/>
              <w:rPr>
                <w:rFonts w:hint="eastAsia" w:ascii="宋体" w:hAnsi="宋体"/>
                <w:sz w:val="24"/>
                <w:szCs w:val="24"/>
                <w:highlight w:val="none"/>
              </w:rPr>
            </w:pPr>
            <w:r>
              <w:rPr>
                <w:rFonts w:hint="eastAsia" w:ascii="宋体" w:hAnsi="宋体"/>
                <w:sz w:val="24"/>
                <w:szCs w:val="24"/>
                <w:highlight w:val="none"/>
              </w:rPr>
              <w:t>否决投标条款：</w:t>
            </w:r>
          </w:p>
          <w:p w14:paraId="6FE81DE8">
            <w:pPr>
              <w:snapToGrid w:val="0"/>
              <w:jc w:val="left"/>
              <w:rPr>
                <w:rFonts w:hint="eastAsia" w:ascii="宋体" w:hAnsi="宋体"/>
                <w:sz w:val="24"/>
                <w:szCs w:val="24"/>
                <w:highlight w:val="none"/>
              </w:rPr>
            </w:pPr>
            <w:r>
              <w:rPr>
                <w:rFonts w:hint="eastAsia" w:ascii="宋体" w:hAnsi="宋体"/>
                <w:sz w:val="24"/>
                <w:szCs w:val="24"/>
                <w:highlight w:val="none"/>
              </w:rPr>
              <w:t>1、在投标截止期后逾期或未在广州交易集团有限公司（广州公共资源交易中心）数字交易平台（http://www.gzggzy.cn）递交电子投标文件的，电子招标投标交易平台将拒绝接收其投标文件。</w:t>
            </w:r>
          </w:p>
          <w:p w14:paraId="476E9E3B">
            <w:pPr>
              <w:snapToGrid w:val="0"/>
              <w:jc w:val="left"/>
              <w:rPr>
                <w:rFonts w:hint="eastAsia" w:ascii="宋体" w:hAnsi="宋体"/>
                <w:sz w:val="24"/>
                <w:szCs w:val="24"/>
                <w:highlight w:val="none"/>
              </w:rPr>
            </w:pPr>
            <w:r>
              <w:rPr>
                <w:rFonts w:hint="eastAsia" w:ascii="宋体" w:hAnsi="宋体"/>
                <w:sz w:val="24"/>
                <w:szCs w:val="24"/>
                <w:highlight w:val="none"/>
              </w:rPr>
              <w:t>2、投标文件应当对招标文件的实质性要求和条件作出满足性或更有利于招标人的响应，否则，投标人的投标将被否决。</w:t>
            </w:r>
          </w:p>
          <w:p w14:paraId="3CE8442B">
            <w:pPr>
              <w:snapToGrid w:val="0"/>
              <w:jc w:val="left"/>
              <w:rPr>
                <w:rFonts w:hint="eastAsia" w:ascii="宋体" w:hAnsi="宋体"/>
                <w:sz w:val="24"/>
                <w:szCs w:val="24"/>
                <w:highlight w:val="none"/>
              </w:rPr>
            </w:pPr>
            <w:r>
              <w:rPr>
                <w:rFonts w:hint="eastAsia" w:ascii="宋体" w:hAnsi="宋体"/>
                <w:sz w:val="24"/>
                <w:szCs w:val="24"/>
                <w:highlight w:val="none"/>
              </w:rPr>
              <w:t>3、投标人有以下情形之一的，评标委员会应当否决其投标：</w:t>
            </w:r>
          </w:p>
          <w:p w14:paraId="371D73FB">
            <w:pPr>
              <w:snapToGrid w:val="0"/>
              <w:jc w:val="left"/>
              <w:rPr>
                <w:rFonts w:hint="eastAsia" w:ascii="宋体" w:hAnsi="宋体"/>
                <w:sz w:val="24"/>
                <w:szCs w:val="24"/>
                <w:highlight w:val="none"/>
              </w:rPr>
            </w:pPr>
            <w:r>
              <w:rPr>
                <w:rFonts w:hint="eastAsia" w:ascii="宋体" w:hAnsi="宋体"/>
                <w:sz w:val="24"/>
                <w:szCs w:val="24"/>
                <w:highlight w:val="none"/>
              </w:rPr>
              <w:t>（1）投标文件没有对招标文件的实质性要求和条件作出响应，或者对招标文件的偏差超出招标文件规定的偏差范围或最高项数；</w:t>
            </w:r>
          </w:p>
          <w:p w14:paraId="51335083">
            <w:pPr>
              <w:snapToGrid w:val="0"/>
              <w:jc w:val="left"/>
              <w:rPr>
                <w:rFonts w:hint="eastAsia" w:ascii="宋体" w:hAnsi="宋体"/>
                <w:sz w:val="24"/>
                <w:szCs w:val="24"/>
                <w:highlight w:val="none"/>
              </w:rPr>
            </w:pPr>
            <w:r>
              <w:rPr>
                <w:rFonts w:hint="eastAsia" w:ascii="宋体" w:hAnsi="宋体"/>
                <w:sz w:val="24"/>
                <w:szCs w:val="24"/>
                <w:highlight w:val="none"/>
              </w:rPr>
              <w:t>（2）有串通投标、弄虚作假、行贿等违法行为。</w:t>
            </w:r>
          </w:p>
          <w:p w14:paraId="5D55412F">
            <w:pPr>
              <w:snapToGrid w:val="0"/>
              <w:jc w:val="left"/>
              <w:rPr>
                <w:rFonts w:hint="eastAsia" w:ascii="宋体" w:hAnsi="宋体"/>
                <w:sz w:val="24"/>
                <w:szCs w:val="24"/>
                <w:highlight w:val="none"/>
              </w:rPr>
            </w:pPr>
            <w:r>
              <w:rPr>
                <w:rFonts w:hint="eastAsia" w:ascii="宋体" w:hAnsi="宋体"/>
                <w:sz w:val="24"/>
                <w:szCs w:val="24"/>
                <w:highlight w:val="none"/>
              </w:rPr>
              <w:t>4、投标报价有算术错误及其他错误的，评标委员会按以下原则要求投标人对投标报价进行修正，并要求投标人书面澄清确认。投标人拒不澄清确认的，评标委员会应当否决其投标：</w:t>
            </w:r>
          </w:p>
          <w:p w14:paraId="321E0510">
            <w:pPr>
              <w:snapToGrid w:val="0"/>
              <w:jc w:val="left"/>
              <w:rPr>
                <w:rFonts w:hint="eastAsia" w:ascii="宋体" w:hAnsi="宋体"/>
                <w:sz w:val="24"/>
                <w:szCs w:val="24"/>
                <w:highlight w:val="none"/>
              </w:rPr>
            </w:pPr>
            <w:r>
              <w:rPr>
                <w:rFonts w:hint="eastAsia" w:ascii="宋体" w:hAnsi="宋体"/>
                <w:sz w:val="24"/>
                <w:szCs w:val="24"/>
                <w:highlight w:val="none"/>
              </w:rPr>
              <w:t>（1）投标文件中的大写金额与小写金额不一致的，以大写金额为准；</w:t>
            </w:r>
          </w:p>
          <w:p w14:paraId="33B1A625">
            <w:pPr>
              <w:snapToGrid w:val="0"/>
              <w:jc w:val="left"/>
              <w:rPr>
                <w:rFonts w:hint="eastAsia" w:ascii="宋体" w:hAnsi="宋体"/>
                <w:sz w:val="24"/>
                <w:szCs w:val="24"/>
                <w:highlight w:val="none"/>
              </w:rPr>
            </w:pPr>
            <w:r>
              <w:rPr>
                <w:rFonts w:hint="eastAsia" w:ascii="宋体" w:hAnsi="宋体"/>
                <w:sz w:val="24"/>
                <w:szCs w:val="24"/>
                <w:highlight w:val="none"/>
              </w:rPr>
              <w:t>（2）总价金额与单价金额不一致的，以单价金额为准，但单价金额小数点有明显错误的除外。</w:t>
            </w:r>
          </w:p>
          <w:p w14:paraId="30F1E343">
            <w:pPr>
              <w:snapToGrid w:val="0"/>
              <w:jc w:val="left"/>
              <w:rPr>
                <w:rFonts w:hint="eastAsia" w:ascii="宋体" w:hAnsi="宋体"/>
                <w:sz w:val="24"/>
                <w:szCs w:val="24"/>
                <w:highlight w:val="none"/>
              </w:rPr>
            </w:pPr>
            <w:r>
              <w:rPr>
                <w:rFonts w:hint="eastAsia" w:ascii="宋体" w:hAnsi="宋体"/>
                <w:sz w:val="24"/>
                <w:szCs w:val="24"/>
                <w:highlight w:val="none"/>
              </w:rPr>
              <w:t>5、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3E933264">
            <w:pPr>
              <w:snapToGrid w:val="0"/>
              <w:jc w:val="left"/>
              <w:rPr>
                <w:rFonts w:hint="eastAsia" w:ascii="宋体" w:hAnsi="宋体"/>
                <w:sz w:val="24"/>
                <w:szCs w:val="24"/>
                <w:highlight w:val="none"/>
              </w:rPr>
            </w:pPr>
            <w:r>
              <w:rPr>
                <w:rFonts w:hint="eastAsia" w:ascii="宋体" w:hAnsi="宋体"/>
                <w:sz w:val="24"/>
                <w:szCs w:val="24"/>
                <w:highlight w:val="none"/>
              </w:rPr>
              <w:t>6、投标文件中投标报价高于最高投标限价的，其投标文件将被否决。</w:t>
            </w:r>
          </w:p>
          <w:p w14:paraId="71158DDA">
            <w:pPr>
              <w:snapToGrid w:val="0"/>
              <w:jc w:val="left"/>
              <w:rPr>
                <w:rFonts w:hint="eastAsia" w:ascii="宋体" w:hAnsi="宋体"/>
                <w:sz w:val="24"/>
                <w:szCs w:val="24"/>
                <w:highlight w:val="none"/>
              </w:rPr>
            </w:pPr>
            <w:r>
              <w:rPr>
                <w:rFonts w:hint="eastAsia" w:ascii="宋体" w:hAnsi="宋体"/>
                <w:sz w:val="24"/>
                <w:szCs w:val="24"/>
                <w:highlight w:val="none"/>
              </w:rPr>
              <w:t>7、按投标报价的算术校核原则及方法调整或修正投标文件的投标报价，调整后的投标报价对投标人起约束作用。如果投标人不接受修正后的报价，则取消其中标资格，并且其投标担保也将被没收。</w:t>
            </w:r>
          </w:p>
          <w:p w14:paraId="4B82808C">
            <w:pPr>
              <w:snapToGrid w:val="0"/>
              <w:jc w:val="left"/>
              <w:rPr>
                <w:rFonts w:hint="eastAsia" w:ascii="宋体" w:hAnsi="宋体"/>
                <w:sz w:val="24"/>
                <w:szCs w:val="24"/>
                <w:highlight w:val="none"/>
              </w:rPr>
            </w:pPr>
            <w:r>
              <w:rPr>
                <w:rFonts w:hint="eastAsia" w:ascii="宋体" w:hAnsi="宋体"/>
                <w:sz w:val="24"/>
                <w:szCs w:val="24"/>
                <w:highlight w:val="none"/>
              </w:rPr>
              <w:t>8、资审合格后，投标人的资格发生变化而不满足投标人合格条件，在发出中标通知书前，资格问题仍未解决的，招标人将取消其中标资格。</w:t>
            </w:r>
          </w:p>
          <w:p w14:paraId="4D9B3C4C">
            <w:pPr>
              <w:snapToGrid w:val="0"/>
              <w:jc w:val="left"/>
              <w:rPr>
                <w:rFonts w:hint="eastAsia" w:ascii="宋体" w:hAnsi="宋体" w:cs="宋体"/>
                <w:kern w:val="0"/>
                <w:sz w:val="24"/>
                <w:szCs w:val="24"/>
                <w:highlight w:val="none"/>
              </w:rPr>
            </w:pPr>
            <w:r>
              <w:rPr>
                <w:rFonts w:hint="eastAsia" w:ascii="宋体" w:hAnsi="宋体"/>
                <w:sz w:val="24"/>
                <w:szCs w:val="24"/>
                <w:highlight w:val="none"/>
              </w:rPr>
              <w:t>9、投标文件符合列于《评标办法前附表》“形式评审标准”“资格评审标准”“响应性评审标准”中所有情形的，为有效投标文件。任一情形不符合均为无效投标文件，经评标委员会认定后，其投标文件将被否决。</w:t>
            </w:r>
          </w:p>
        </w:tc>
      </w:tr>
    </w:tbl>
    <w:p w14:paraId="7247F6DB">
      <w:pPr>
        <w:pStyle w:val="3"/>
        <w:spacing w:before="0" w:after="0" w:line="360" w:lineRule="auto"/>
        <w:jc w:val="left"/>
        <w:rPr>
          <w:rFonts w:hint="eastAsia" w:ascii="宋体" w:hAnsi="宋体" w:cs="宋体"/>
          <w:highlight w:val="none"/>
        </w:rPr>
      </w:pPr>
      <w:r>
        <w:rPr>
          <w:rFonts w:hint="eastAsia" w:ascii="宋体" w:hAnsi="宋体" w:cs="宋体"/>
          <w:sz w:val="18"/>
          <w:highlight w:val="none"/>
        </w:rPr>
        <w:br w:type="page"/>
      </w:r>
      <w:bookmarkStart w:id="7" w:name="_Toc102997570"/>
      <w:bookmarkStart w:id="8" w:name="_Toc529196520"/>
      <w:bookmarkStart w:id="9" w:name="_Toc515205193"/>
      <w:r>
        <w:rPr>
          <w:rFonts w:hint="eastAsia" w:ascii="宋体" w:hAnsi="宋体" w:cs="宋体"/>
          <w:highlight w:val="none"/>
        </w:rPr>
        <w:t>1. 总则</w:t>
      </w:r>
      <w:bookmarkEnd w:id="7"/>
      <w:bookmarkEnd w:id="8"/>
      <w:bookmarkEnd w:id="9"/>
    </w:p>
    <w:p w14:paraId="70A04879">
      <w:pPr>
        <w:pStyle w:val="3"/>
        <w:spacing w:before="0" w:after="0" w:line="360" w:lineRule="auto"/>
        <w:rPr>
          <w:rFonts w:hint="eastAsia" w:ascii="宋体" w:hAnsi="宋体" w:cs="宋体"/>
          <w:highlight w:val="none"/>
        </w:rPr>
      </w:pPr>
      <w:bookmarkStart w:id="10" w:name="_Toc102997571"/>
      <w:bookmarkStart w:id="11" w:name="_Toc529196521"/>
      <w:bookmarkStart w:id="12" w:name="_Toc515205194"/>
      <w:r>
        <w:rPr>
          <w:rFonts w:hint="eastAsia" w:ascii="宋体" w:hAnsi="宋体" w:cs="宋体"/>
          <w:highlight w:val="none"/>
        </w:rPr>
        <w:t>1.1 招标项目概况</w:t>
      </w:r>
      <w:bookmarkEnd w:id="10"/>
      <w:bookmarkEnd w:id="11"/>
      <w:bookmarkEnd w:id="12"/>
    </w:p>
    <w:p w14:paraId="7367D4E2">
      <w:pPr>
        <w:spacing w:line="360" w:lineRule="auto"/>
        <w:rPr>
          <w:rFonts w:hint="eastAsia" w:ascii="宋体" w:hAnsi="宋体" w:cs="宋体"/>
          <w:sz w:val="24"/>
          <w:highlight w:val="none"/>
        </w:rPr>
      </w:pPr>
      <w:r>
        <w:rPr>
          <w:rFonts w:hint="eastAsia" w:ascii="宋体" w:hAnsi="宋体" w:cs="宋体"/>
          <w:sz w:val="24"/>
          <w:highlight w:val="none"/>
        </w:rPr>
        <w:t>1.1.1根据《中华人民共和国招标投标法》、《中华人民共和国招标投标法实施条例》等有关法律、法规和规章的规定，本招标项目已具备招标条件，现对</w:t>
      </w:r>
      <w:r>
        <w:rPr>
          <w:rFonts w:hint="eastAsia" w:ascii="宋体" w:hAnsi="宋体" w:cs="宋体"/>
          <w:sz w:val="24"/>
          <w:highlight w:val="none"/>
          <w:u w:val="single"/>
        </w:rPr>
        <w:t>土壤污染修复技术</w:t>
      </w:r>
      <w:r>
        <w:rPr>
          <w:rFonts w:hint="eastAsia" w:ascii="宋体" w:hAnsi="宋体" w:cs="宋体"/>
          <w:sz w:val="24"/>
          <w:highlight w:val="none"/>
        </w:rPr>
        <w:t>服务进行招标。</w:t>
      </w:r>
    </w:p>
    <w:p w14:paraId="64F2AB67">
      <w:pPr>
        <w:spacing w:line="360" w:lineRule="auto"/>
        <w:rPr>
          <w:rFonts w:hint="eastAsia" w:ascii="宋体" w:hAnsi="宋体" w:cs="宋体"/>
          <w:sz w:val="24"/>
          <w:highlight w:val="none"/>
        </w:rPr>
      </w:pPr>
      <w:r>
        <w:rPr>
          <w:rFonts w:hint="eastAsia" w:ascii="宋体" w:hAnsi="宋体" w:cs="宋体"/>
          <w:sz w:val="24"/>
          <w:highlight w:val="none"/>
        </w:rPr>
        <w:t>1.1.2 招标人：见投标人须知前附表。</w:t>
      </w:r>
    </w:p>
    <w:p w14:paraId="2EC7D7B1">
      <w:pPr>
        <w:spacing w:line="360" w:lineRule="auto"/>
        <w:rPr>
          <w:rFonts w:hint="eastAsia" w:ascii="宋体" w:hAnsi="宋体" w:cs="宋体"/>
          <w:sz w:val="24"/>
          <w:highlight w:val="none"/>
        </w:rPr>
      </w:pPr>
      <w:r>
        <w:rPr>
          <w:rFonts w:hint="eastAsia" w:ascii="宋体" w:hAnsi="宋体" w:cs="宋体"/>
          <w:sz w:val="24"/>
          <w:highlight w:val="none"/>
        </w:rPr>
        <w:t>1.1.3 招标代理机构：见投标人须知前附表。</w:t>
      </w:r>
    </w:p>
    <w:p w14:paraId="70D31DF8">
      <w:pPr>
        <w:spacing w:line="360" w:lineRule="auto"/>
        <w:rPr>
          <w:rFonts w:hint="eastAsia" w:ascii="宋体" w:hAnsi="宋体" w:cs="宋体"/>
          <w:sz w:val="24"/>
          <w:highlight w:val="none"/>
        </w:rPr>
      </w:pPr>
      <w:r>
        <w:rPr>
          <w:rFonts w:hint="eastAsia" w:ascii="宋体" w:hAnsi="宋体" w:cs="宋体"/>
          <w:sz w:val="24"/>
          <w:highlight w:val="none"/>
        </w:rPr>
        <w:t>1.1.4 招标项目名称：见投标人须知前附表。</w:t>
      </w:r>
    </w:p>
    <w:p w14:paraId="0A7CAF64">
      <w:pPr>
        <w:spacing w:line="360" w:lineRule="auto"/>
        <w:rPr>
          <w:rFonts w:hint="eastAsia" w:ascii="宋体" w:hAnsi="宋体" w:cs="宋体"/>
          <w:sz w:val="24"/>
          <w:highlight w:val="none"/>
        </w:rPr>
      </w:pPr>
      <w:r>
        <w:rPr>
          <w:rFonts w:hint="eastAsia" w:ascii="宋体" w:hAnsi="宋体" w:cs="宋体"/>
          <w:sz w:val="24"/>
          <w:highlight w:val="none"/>
        </w:rPr>
        <w:t>1.1.5 项目建设地点：见投标人须知前附表。</w:t>
      </w:r>
    </w:p>
    <w:p w14:paraId="0EE718E5">
      <w:pPr>
        <w:spacing w:line="360" w:lineRule="auto"/>
        <w:rPr>
          <w:rFonts w:hint="eastAsia" w:ascii="宋体" w:hAnsi="宋体" w:cs="宋体"/>
          <w:sz w:val="24"/>
          <w:highlight w:val="none"/>
        </w:rPr>
      </w:pPr>
      <w:r>
        <w:rPr>
          <w:rFonts w:hint="eastAsia" w:ascii="宋体" w:hAnsi="宋体" w:cs="宋体"/>
          <w:sz w:val="24"/>
          <w:highlight w:val="none"/>
        </w:rPr>
        <w:t>1.1.6 项目建设规模：见投标人须知前附表。</w:t>
      </w:r>
    </w:p>
    <w:p w14:paraId="65B3BBA7">
      <w:pPr>
        <w:spacing w:line="360" w:lineRule="auto"/>
        <w:rPr>
          <w:rFonts w:hint="eastAsia" w:ascii="宋体" w:hAnsi="宋体" w:cs="宋体"/>
          <w:sz w:val="24"/>
          <w:highlight w:val="none"/>
        </w:rPr>
      </w:pPr>
      <w:r>
        <w:rPr>
          <w:rFonts w:hint="eastAsia" w:ascii="宋体" w:hAnsi="宋体" w:cs="宋体"/>
          <w:sz w:val="24"/>
          <w:highlight w:val="none"/>
        </w:rPr>
        <w:t>1.1.7承包方式：见投标人须知前附表。</w:t>
      </w:r>
    </w:p>
    <w:p w14:paraId="3783DF79">
      <w:pPr>
        <w:pStyle w:val="3"/>
        <w:spacing w:before="0" w:after="0" w:line="360" w:lineRule="auto"/>
        <w:rPr>
          <w:rFonts w:hint="eastAsia" w:ascii="宋体" w:hAnsi="宋体" w:cs="宋体"/>
          <w:sz w:val="24"/>
          <w:szCs w:val="24"/>
          <w:highlight w:val="none"/>
        </w:rPr>
      </w:pPr>
      <w:bookmarkStart w:id="13" w:name="_Toc515205195"/>
      <w:bookmarkStart w:id="14" w:name="_Toc102997572"/>
      <w:bookmarkStart w:id="15" w:name="_Toc529196522"/>
      <w:r>
        <w:rPr>
          <w:rFonts w:hint="eastAsia" w:ascii="宋体" w:hAnsi="宋体" w:cs="宋体"/>
          <w:sz w:val="24"/>
          <w:szCs w:val="24"/>
          <w:highlight w:val="none"/>
        </w:rPr>
        <w:t>1.2 招标项目的资金来源和落实情况</w:t>
      </w:r>
      <w:bookmarkEnd w:id="13"/>
      <w:bookmarkEnd w:id="14"/>
      <w:bookmarkEnd w:id="15"/>
    </w:p>
    <w:p w14:paraId="587B58E2">
      <w:pPr>
        <w:spacing w:line="360" w:lineRule="auto"/>
        <w:rPr>
          <w:rFonts w:hint="eastAsia" w:ascii="宋体" w:hAnsi="宋体" w:cs="宋体"/>
          <w:sz w:val="24"/>
          <w:highlight w:val="none"/>
        </w:rPr>
      </w:pPr>
      <w:r>
        <w:rPr>
          <w:rFonts w:hint="eastAsia" w:ascii="宋体" w:hAnsi="宋体" w:cs="宋体"/>
          <w:sz w:val="24"/>
          <w:highlight w:val="none"/>
        </w:rPr>
        <w:t>1.2.1 资金来源及比例：见投标人须知前附表。</w:t>
      </w:r>
    </w:p>
    <w:p w14:paraId="36FD1B64">
      <w:pPr>
        <w:spacing w:line="360" w:lineRule="auto"/>
        <w:rPr>
          <w:rFonts w:hint="eastAsia" w:ascii="宋体" w:hAnsi="宋体" w:cs="宋体"/>
          <w:sz w:val="24"/>
          <w:highlight w:val="none"/>
        </w:rPr>
      </w:pPr>
      <w:r>
        <w:rPr>
          <w:rFonts w:hint="eastAsia" w:ascii="宋体" w:hAnsi="宋体" w:cs="宋体"/>
          <w:sz w:val="24"/>
          <w:highlight w:val="none"/>
        </w:rPr>
        <w:t>1.2.2 资金落实情况：见投标人须知前附表。</w:t>
      </w:r>
    </w:p>
    <w:p w14:paraId="54C85282">
      <w:pPr>
        <w:pStyle w:val="3"/>
        <w:spacing w:before="0" w:after="0" w:line="360" w:lineRule="auto"/>
        <w:rPr>
          <w:rFonts w:hint="eastAsia" w:ascii="宋体" w:hAnsi="宋体" w:cs="宋体"/>
          <w:sz w:val="24"/>
          <w:szCs w:val="24"/>
          <w:highlight w:val="none"/>
        </w:rPr>
      </w:pPr>
      <w:bookmarkStart w:id="16" w:name="_Toc529196523"/>
      <w:bookmarkStart w:id="17" w:name="_Toc102997573"/>
      <w:bookmarkStart w:id="18" w:name="_Toc515205196"/>
      <w:r>
        <w:rPr>
          <w:rFonts w:hint="eastAsia" w:ascii="宋体" w:hAnsi="宋体" w:cs="宋体"/>
          <w:sz w:val="24"/>
          <w:szCs w:val="24"/>
          <w:highlight w:val="none"/>
        </w:rPr>
        <w:t>1.3招标范围、服务期限和质量标准</w:t>
      </w:r>
      <w:bookmarkEnd w:id="16"/>
      <w:bookmarkEnd w:id="17"/>
      <w:bookmarkEnd w:id="18"/>
    </w:p>
    <w:p w14:paraId="671F67E1">
      <w:pPr>
        <w:spacing w:line="360" w:lineRule="auto"/>
        <w:rPr>
          <w:rFonts w:hint="eastAsia" w:ascii="宋体" w:hAnsi="宋体" w:cs="宋体"/>
          <w:sz w:val="24"/>
          <w:highlight w:val="none"/>
        </w:rPr>
      </w:pPr>
      <w:r>
        <w:rPr>
          <w:rFonts w:hint="eastAsia" w:ascii="宋体" w:hAnsi="宋体" w:cs="宋体"/>
          <w:sz w:val="24"/>
          <w:highlight w:val="none"/>
        </w:rPr>
        <w:t>1.3.1 招标范围：见投标人须知前附表。</w:t>
      </w:r>
    </w:p>
    <w:p w14:paraId="5F582016">
      <w:pPr>
        <w:spacing w:line="360" w:lineRule="auto"/>
        <w:rPr>
          <w:rFonts w:hint="eastAsia" w:ascii="宋体" w:hAnsi="宋体" w:cs="宋体"/>
          <w:sz w:val="24"/>
          <w:highlight w:val="none"/>
        </w:rPr>
      </w:pPr>
      <w:r>
        <w:rPr>
          <w:rFonts w:hint="eastAsia" w:ascii="宋体" w:hAnsi="宋体" w:cs="宋体"/>
          <w:sz w:val="24"/>
          <w:highlight w:val="none"/>
        </w:rPr>
        <w:t>1.3.2 服务期限：见投标人须知前附表。</w:t>
      </w:r>
    </w:p>
    <w:p w14:paraId="6A87A3AB">
      <w:pPr>
        <w:spacing w:line="360" w:lineRule="auto"/>
        <w:rPr>
          <w:rFonts w:hint="eastAsia" w:ascii="宋体" w:hAnsi="宋体" w:cs="宋体"/>
          <w:sz w:val="24"/>
          <w:highlight w:val="none"/>
        </w:rPr>
      </w:pPr>
      <w:r>
        <w:rPr>
          <w:rFonts w:hint="eastAsia" w:ascii="宋体" w:hAnsi="宋体" w:cs="宋体"/>
          <w:sz w:val="24"/>
          <w:highlight w:val="none"/>
        </w:rPr>
        <w:t>1.3.3 质量标准：见投标人须知前附表。</w:t>
      </w:r>
    </w:p>
    <w:p w14:paraId="70A8E92F">
      <w:pPr>
        <w:pStyle w:val="3"/>
        <w:spacing w:before="0" w:after="0" w:line="360" w:lineRule="auto"/>
        <w:rPr>
          <w:rFonts w:hint="eastAsia" w:ascii="宋体" w:hAnsi="宋体" w:cs="宋体"/>
          <w:sz w:val="24"/>
          <w:szCs w:val="24"/>
          <w:highlight w:val="none"/>
        </w:rPr>
      </w:pPr>
      <w:bookmarkStart w:id="19" w:name="_Toc102997574"/>
      <w:bookmarkStart w:id="20" w:name="_Toc529196524"/>
      <w:bookmarkStart w:id="21" w:name="_Toc515205197"/>
      <w:r>
        <w:rPr>
          <w:rFonts w:hint="eastAsia" w:ascii="宋体" w:hAnsi="宋体" w:cs="宋体"/>
          <w:sz w:val="24"/>
          <w:szCs w:val="24"/>
          <w:highlight w:val="none"/>
        </w:rPr>
        <w:t>1.4投标人资格要求</w:t>
      </w:r>
      <w:bookmarkEnd w:id="19"/>
      <w:bookmarkEnd w:id="20"/>
      <w:bookmarkEnd w:id="21"/>
    </w:p>
    <w:p w14:paraId="43E08221">
      <w:pPr>
        <w:spacing w:line="360" w:lineRule="auto"/>
        <w:rPr>
          <w:rFonts w:hint="eastAsia" w:ascii="宋体" w:hAnsi="宋体" w:cs="宋体"/>
          <w:sz w:val="24"/>
          <w:highlight w:val="none"/>
        </w:rPr>
      </w:pPr>
      <w:r>
        <w:rPr>
          <w:rFonts w:hint="eastAsia" w:ascii="宋体" w:hAnsi="宋体" w:cs="宋体"/>
          <w:sz w:val="24"/>
          <w:highlight w:val="none"/>
        </w:rPr>
        <w:t>1.4.1 投标人应具备承担本招标项目资质条件、能力和信誉：</w:t>
      </w:r>
    </w:p>
    <w:p w14:paraId="2B15FCF0">
      <w:pPr>
        <w:spacing w:line="360" w:lineRule="auto"/>
        <w:rPr>
          <w:rFonts w:hint="eastAsia" w:ascii="宋体" w:hAnsi="宋体" w:cs="宋体"/>
          <w:sz w:val="24"/>
          <w:highlight w:val="none"/>
          <w:u w:val="single"/>
        </w:rPr>
      </w:pPr>
      <w:r>
        <w:rPr>
          <w:rFonts w:hint="eastAsia" w:ascii="宋体" w:hAnsi="宋体" w:cs="宋体"/>
          <w:sz w:val="24"/>
          <w:highlight w:val="none"/>
          <w:u w:val="single"/>
        </w:rPr>
        <w:t>（1）资质要求：见投标人须知前附表；</w:t>
      </w:r>
    </w:p>
    <w:p w14:paraId="19202822">
      <w:pPr>
        <w:spacing w:line="360" w:lineRule="auto"/>
        <w:rPr>
          <w:rFonts w:hint="eastAsia" w:ascii="宋体" w:hAnsi="宋体" w:cs="宋体"/>
          <w:sz w:val="24"/>
          <w:highlight w:val="none"/>
          <w:u w:val="single"/>
        </w:rPr>
      </w:pPr>
      <w:r>
        <w:rPr>
          <w:rFonts w:hint="eastAsia" w:ascii="宋体" w:hAnsi="宋体" w:cs="宋体"/>
          <w:sz w:val="24"/>
          <w:highlight w:val="none"/>
          <w:u w:val="single"/>
        </w:rPr>
        <w:t>（2）项目负责人要求：见投标人须知前附表；</w:t>
      </w:r>
    </w:p>
    <w:p w14:paraId="26FCCA07">
      <w:pPr>
        <w:spacing w:line="360" w:lineRule="auto"/>
        <w:rPr>
          <w:rFonts w:hint="eastAsia" w:ascii="宋体" w:hAnsi="宋体" w:cs="宋体"/>
          <w:sz w:val="24"/>
          <w:highlight w:val="none"/>
          <w:u w:val="single"/>
        </w:rPr>
      </w:pPr>
      <w:r>
        <w:rPr>
          <w:rFonts w:hint="eastAsia" w:ascii="宋体" w:hAnsi="宋体" w:cs="宋体"/>
          <w:sz w:val="24"/>
          <w:highlight w:val="none"/>
          <w:u w:val="single"/>
        </w:rPr>
        <w:t>（3）其他要求：见投标人须知前附表。</w:t>
      </w:r>
    </w:p>
    <w:p w14:paraId="19C75564">
      <w:pPr>
        <w:spacing w:line="360" w:lineRule="auto"/>
        <w:rPr>
          <w:rFonts w:hint="eastAsia" w:ascii="宋体" w:hAnsi="宋体" w:cs="宋体"/>
          <w:sz w:val="24"/>
          <w:highlight w:val="none"/>
        </w:rPr>
      </w:pPr>
      <w:r>
        <w:rPr>
          <w:rFonts w:hint="eastAsia" w:ascii="宋体" w:hAnsi="宋体" w:cs="宋体"/>
          <w:sz w:val="24"/>
          <w:highlight w:val="none"/>
        </w:rPr>
        <w:t>需要提交的相关证明材料见本章第3.5款的规定。</w:t>
      </w:r>
    </w:p>
    <w:p w14:paraId="18CF167C">
      <w:pPr>
        <w:spacing w:line="360" w:lineRule="auto"/>
        <w:rPr>
          <w:rFonts w:hint="eastAsia" w:ascii="宋体" w:hAnsi="宋体" w:cs="宋体"/>
          <w:sz w:val="24"/>
          <w:highlight w:val="none"/>
        </w:rPr>
      </w:pPr>
      <w:r>
        <w:rPr>
          <w:rFonts w:hint="eastAsia" w:ascii="宋体" w:hAnsi="宋体" w:cs="宋体"/>
          <w:sz w:val="24"/>
          <w:highlight w:val="none"/>
        </w:rPr>
        <w:t>1.4.2投标人须知前附表规定接受联合体投标的，联合体除应符合本章第1.4.1项和投标人须知前附表的要求外，还应遵守以下规定：</w:t>
      </w:r>
    </w:p>
    <w:p w14:paraId="7205E9B1">
      <w:pPr>
        <w:spacing w:line="360" w:lineRule="auto"/>
        <w:rPr>
          <w:rFonts w:hint="eastAsia" w:ascii="宋体" w:hAnsi="宋体" w:cs="宋体"/>
          <w:sz w:val="24"/>
          <w:highlight w:val="none"/>
        </w:rPr>
      </w:pPr>
      <w:r>
        <w:rPr>
          <w:rFonts w:hint="eastAsia" w:ascii="宋体" w:hAnsi="宋体" w:cs="宋体"/>
          <w:sz w:val="24"/>
          <w:highlight w:val="none"/>
        </w:rPr>
        <w:t>（1）联合体各方应按招标文件提供的格式签订联合体协议书，明确联合体牵头人和各方权利义务，并承诺就中标项目向招标人承担连带责任；</w:t>
      </w:r>
    </w:p>
    <w:p w14:paraId="54AE0AE2">
      <w:pPr>
        <w:spacing w:line="360" w:lineRule="auto"/>
        <w:rPr>
          <w:rFonts w:hint="eastAsia" w:ascii="宋体" w:hAnsi="宋体" w:cs="宋体"/>
          <w:sz w:val="24"/>
          <w:highlight w:val="none"/>
        </w:rPr>
      </w:pPr>
      <w:r>
        <w:rPr>
          <w:rFonts w:hint="eastAsia" w:ascii="宋体" w:hAnsi="宋体" w:cs="宋体"/>
          <w:sz w:val="24"/>
          <w:highlight w:val="none"/>
        </w:rPr>
        <w:t>（2）由同一专业的单位组成的联合体，按照资质等级较低的单位确定资质等级；</w:t>
      </w:r>
    </w:p>
    <w:p w14:paraId="49AC413C">
      <w:pPr>
        <w:spacing w:line="360" w:lineRule="auto"/>
        <w:rPr>
          <w:rFonts w:hint="eastAsia" w:ascii="宋体" w:hAnsi="宋体" w:cs="宋体"/>
          <w:sz w:val="24"/>
          <w:highlight w:val="none"/>
        </w:rPr>
      </w:pPr>
      <w:r>
        <w:rPr>
          <w:rFonts w:hint="eastAsia" w:ascii="宋体" w:hAnsi="宋体" w:cs="宋体"/>
          <w:sz w:val="24"/>
          <w:highlight w:val="none"/>
        </w:rPr>
        <w:t>（3）联合体各方不得再以自己名义单独或参加其他联合体在本招标项目中投标，否则各相关投标均无效。</w:t>
      </w:r>
    </w:p>
    <w:p w14:paraId="58B97219">
      <w:pPr>
        <w:spacing w:line="360" w:lineRule="auto"/>
        <w:rPr>
          <w:rFonts w:hint="eastAsia" w:ascii="宋体" w:hAnsi="宋体" w:cs="宋体"/>
          <w:sz w:val="24"/>
          <w:highlight w:val="none"/>
        </w:rPr>
      </w:pPr>
      <w:r>
        <w:rPr>
          <w:rFonts w:hint="eastAsia" w:ascii="宋体" w:hAnsi="宋体" w:cs="宋体"/>
          <w:sz w:val="24"/>
          <w:highlight w:val="none"/>
        </w:rPr>
        <w:t>1.4.3 投标人不得存在下列情形之一：</w:t>
      </w:r>
    </w:p>
    <w:p w14:paraId="55DE5680">
      <w:pPr>
        <w:spacing w:line="360" w:lineRule="auto"/>
        <w:rPr>
          <w:rFonts w:hint="eastAsia" w:ascii="宋体" w:hAnsi="宋体" w:cs="宋体"/>
          <w:sz w:val="24"/>
          <w:highlight w:val="none"/>
        </w:rPr>
      </w:pPr>
      <w:r>
        <w:rPr>
          <w:rFonts w:hint="eastAsia" w:ascii="宋体" w:hAnsi="宋体" w:cs="宋体"/>
          <w:sz w:val="24"/>
          <w:highlight w:val="none"/>
        </w:rPr>
        <w:t>（1）为招标人不具有独立法人资格的附属机构（单位）；</w:t>
      </w:r>
    </w:p>
    <w:p w14:paraId="61B4EE16">
      <w:pPr>
        <w:spacing w:line="360" w:lineRule="auto"/>
        <w:rPr>
          <w:rFonts w:hint="eastAsia" w:ascii="宋体" w:hAnsi="宋体" w:cs="宋体"/>
          <w:sz w:val="24"/>
          <w:highlight w:val="none"/>
        </w:rPr>
      </w:pPr>
      <w:r>
        <w:rPr>
          <w:rFonts w:hint="eastAsia" w:ascii="宋体" w:hAnsi="宋体" w:cs="宋体"/>
          <w:sz w:val="24"/>
          <w:highlight w:val="none"/>
        </w:rPr>
        <w:t>（2）与招标人存在利害关系且可能影响招标公正性；</w:t>
      </w:r>
    </w:p>
    <w:p w14:paraId="7A81DE93">
      <w:pPr>
        <w:spacing w:line="360" w:lineRule="auto"/>
        <w:rPr>
          <w:rFonts w:hint="eastAsia" w:ascii="宋体" w:hAnsi="宋体" w:cs="宋体"/>
          <w:sz w:val="24"/>
          <w:highlight w:val="none"/>
        </w:rPr>
      </w:pPr>
      <w:r>
        <w:rPr>
          <w:rFonts w:hint="eastAsia" w:ascii="宋体" w:hAnsi="宋体" w:cs="宋体"/>
          <w:sz w:val="24"/>
          <w:highlight w:val="none"/>
        </w:rPr>
        <w:t>（3）与本招标项目的其他投标人为同一个单位负责人；</w:t>
      </w:r>
    </w:p>
    <w:p w14:paraId="1855882C">
      <w:pPr>
        <w:spacing w:line="360" w:lineRule="auto"/>
        <w:rPr>
          <w:rFonts w:hint="eastAsia" w:ascii="宋体" w:hAnsi="宋体" w:cs="宋体"/>
          <w:sz w:val="24"/>
          <w:highlight w:val="none"/>
        </w:rPr>
      </w:pPr>
      <w:r>
        <w:rPr>
          <w:rFonts w:hint="eastAsia" w:ascii="宋体" w:hAnsi="宋体" w:cs="宋体"/>
          <w:sz w:val="24"/>
          <w:highlight w:val="none"/>
        </w:rPr>
        <w:t>（4）与本招标项目的其他投标人存在控股、管理关系；</w:t>
      </w:r>
    </w:p>
    <w:p w14:paraId="08C01CDB">
      <w:pPr>
        <w:spacing w:line="360" w:lineRule="auto"/>
        <w:rPr>
          <w:rFonts w:hint="eastAsia" w:ascii="宋体" w:hAnsi="宋体" w:cs="宋体"/>
          <w:sz w:val="24"/>
          <w:highlight w:val="none"/>
        </w:rPr>
      </w:pPr>
      <w:r>
        <w:rPr>
          <w:rFonts w:hint="eastAsia" w:ascii="宋体" w:hAnsi="宋体" w:cs="宋体"/>
          <w:sz w:val="24"/>
          <w:highlight w:val="none"/>
        </w:rPr>
        <w:t>（5）为本招标项目的代建人；</w:t>
      </w:r>
    </w:p>
    <w:p w14:paraId="597DED8D">
      <w:pPr>
        <w:spacing w:line="360" w:lineRule="auto"/>
        <w:rPr>
          <w:rFonts w:hint="eastAsia" w:ascii="宋体" w:hAnsi="宋体" w:cs="宋体"/>
          <w:sz w:val="24"/>
          <w:highlight w:val="none"/>
        </w:rPr>
      </w:pPr>
      <w:r>
        <w:rPr>
          <w:rFonts w:hint="eastAsia" w:ascii="宋体" w:hAnsi="宋体" w:cs="宋体"/>
          <w:sz w:val="24"/>
          <w:highlight w:val="none"/>
        </w:rPr>
        <w:t>（6）为本招标项目的招标代理机构；</w:t>
      </w:r>
    </w:p>
    <w:p w14:paraId="4B3FAE23">
      <w:pPr>
        <w:spacing w:line="360" w:lineRule="auto"/>
        <w:rPr>
          <w:rFonts w:hint="eastAsia" w:ascii="宋体" w:hAnsi="宋体" w:cs="宋体"/>
          <w:sz w:val="24"/>
          <w:highlight w:val="none"/>
        </w:rPr>
      </w:pPr>
      <w:r>
        <w:rPr>
          <w:rFonts w:hint="eastAsia" w:ascii="宋体" w:hAnsi="宋体" w:cs="宋体"/>
          <w:sz w:val="24"/>
          <w:highlight w:val="none"/>
        </w:rPr>
        <w:t>（7）与本招标项目的代建人或招标代理机构同为一个法定代表人；</w:t>
      </w:r>
    </w:p>
    <w:p w14:paraId="098CAF98">
      <w:pPr>
        <w:spacing w:line="360" w:lineRule="auto"/>
        <w:rPr>
          <w:rFonts w:hint="eastAsia" w:ascii="宋体" w:hAnsi="宋体" w:cs="宋体"/>
          <w:sz w:val="24"/>
          <w:highlight w:val="none"/>
        </w:rPr>
      </w:pPr>
      <w:r>
        <w:rPr>
          <w:rFonts w:hint="eastAsia" w:ascii="宋体" w:hAnsi="宋体" w:cs="宋体"/>
          <w:sz w:val="24"/>
          <w:highlight w:val="none"/>
        </w:rPr>
        <w:t>（8）与本招标项目的代建人或招标代理机构存在控股或参股关系</w:t>
      </w:r>
      <w:r>
        <w:rPr>
          <w:rFonts w:hint="eastAsia" w:ascii="宋体" w:hAnsi="宋体" w:cs="宋体"/>
          <w:sz w:val="24"/>
          <w:highlight w:val="none"/>
          <w:u w:val="single"/>
        </w:rPr>
        <w:t>或相互任职或工作的</w:t>
      </w:r>
      <w:r>
        <w:rPr>
          <w:rFonts w:hint="eastAsia" w:ascii="宋体" w:hAnsi="宋体" w:cs="宋体"/>
          <w:sz w:val="24"/>
          <w:highlight w:val="none"/>
        </w:rPr>
        <w:t>；</w:t>
      </w:r>
    </w:p>
    <w:p w14:paraId="386C8D40">
      <w:pPr>
        <w:spacing w:line="360" w:lineRule="auto"/>
        <w:rPr>
          <w:rFonts w:hint="eastAsia" w:ascii="宋体" w:hAnsi="宋体" w:cs="宋体"/>
          <w:sz w:val="24"/>
          <w:highlight w:val="none"/>
        </w:rPr>
      </w:pPr>
      <w:r>
        <w:rPr>
          <w:rFonts w:hint="eastAsia" w:ascii="宋体" w:hAnsi="宋体" w:cs="宋体"/>
          <w:sz w:val="24"/>
          <w:highlight w:val="none"/>
        </w:rPr>
        <w:t>（9）与承担本招标项目监理业务的单位有隶属关系或其他利害关系；</w:t>
      </w:r>
      <w:r>
        <w:rPr>
          <w:rFonts w:hint="eastAsia" w:ascii="宋体" w:hAnsi="宋体" w:cs="宋体"/>
          <w:sz w:val="24"/>
          <w:highlight w:val="none"/>
          <w:u w:val="single"/>
        </w:rPr>
        <w:t>与本招标项目的检测机构有隶属关系或者其他利害关系；为本招标项目的前期准备提供设计或咨询服务或者与本项目设计人或提供咨询服务的机构存在附属关系的</w:t>
      </w:r>
      <w:r>
        <w:rPr>
          <w:rFonts w:hint="eastAsia" w:ascii="宋体" w:hAnsi="宋体" w:cs="宋体"/>
          <w:sz w:val="24"/>
          <w:highlight w:val="none"/>
        </w:rPr>
        <w:t>；</w:t>
      </w:r>
    </w:p>
    <w:p w14:paraId="3287C98E">
      <w:pPr>
        <w:spacing w:line="360" w:lineRule="auto"/>
        <w:rPr>
          <w:rFonts w:hint="eastAsia" w:ascii="宋体" w:hAnsi="宋体" w:cs="宋体"/>
          <w:sz w:val="24"/>
          <w:highlight w:val="none"/>
        </w:rPr>
      </w:pPr>
      <w:r>
        <w:rPr>
          <w:rFonts w:hint="eastAsia" w:ascii="宋体" w:hAnsi="宋体" w:cs="宋体"/>
          <w:sz w:val="24"/>
          <w:highlight w:val="none"/>
        </w:rPr>
        <w:t>（10）被依法暂停或者取消投标资格</w:t>
      </w:r>
      <w:r>
        <w:rPr>
          <w:rFonts w:hint="eastAsia" w:ascii="宋体" w:hAnsi="宋体" w:cs="宋体"/>
          <w:sz w:val="24"/>
          <w:highlight w:val="none"/>
          <w:u w:val="single"/>
        </w:rPr>
        <w:t>（本项事实应当以根据《中华人民共和国行政处罚法》依法作出并已经生效的行政处罚决定为认定依据。行政处罚决定中已经明确的暂停或取消投标资格的区域范围不包含本标段建设地点的，不受该项规定限制）</w:t>
      </w:r>
      <w:r>
        <w:rPr>
          <w:rFonts w:hint="eastAsia" w:ascii="宋体" w:hAnsi="宋体" w:cs="宋体"/>
          <w:sz w:val="24"/>
          <w:highlight w:val="none"/>
        </w:rPr>
        <w:t>；</w:t>
      </w:r>
    </w:p>
    <w:p w14:paraId="09399012">
      <w:pPr>
        <w:spacing w:line="360" w:lineRule="auto"/>
        <w:rPr>
          <w:rFonts w:hint="eastAsia" w:ascii="宋体" w:hAnsi="宋体" w:cs="宋体"/>
          <w:sz w:val="24"/>
          <w:highlight w:val="none"/>
        </w:rPr>
      </w:pPr>
      <w:r>
        <w:rPr>
          <w:rFonts w:hint="eastAsia" w:ascii="宋体" w:hAnsi="宋体" w:cs="宋体"/>
          <w:sz w:val="24"/>
          <w:highlight w:val="none"/>
        </w:rPr>
        <w:t>（11）被责令停产停业、暂扣或者吊销许可证、暂扣或者吊销执照</w:t>
      </w:r>
      <w:r>
        <w:rPr>
          <w:rFonts w:hint="eastAsia" w:ascii="宋体" w:hAnsi="宋体" w:cs="宋体"/>
          <w:sz w:val="24"/>
          <w:highlight w:val="none"/>
          <w:u w:val="single"/>
        </w:rPr>
        <w:t>（本项事实应当以根据《中华人民共和国行政处罚法》依法作出并已经生效的行政处罚决定为认定依据。）</w:t>
      </w:r>
      <w:r>
        <w:rPr>
          <w:rFonts w:hint="eastAsia" w:ascii="宋体" w:hAnsi="宋体" w:cs="宋体"/>
          <w:sz w:val="24"/>
          <w:highlight w:val="none"/>
        </w:rPr>
        <w:t>；</w:t>
      </w:r>
    </w:p>
    <w:p w14:paraId="544734DA">
      <w:pPr>
        <w:spacing w:line="360" w:lineRule="auto"/>
        <w:rPr>
          <w:rFonts w:hint="eastAsia" w:ascii="宋体" w:hAnsi="宋体" w:cs="宋体"/>
          <w:sz w:val="24"/>
          <w:highlight w:val="none"/>
        </w:rPr>
      </w:pPr>
      <w:r>
        <w:rPr>
          <w:rFonts w:hint="eastAsia" w:ascii="宋体" w:hAnsi="宋体" w:cs="宋体"/>
          <w:sz w:val="24"/>
          <w:highlight w:val="none"/>
        </w:rPr>
        <w:t>（12）进入清算程序，或被宣告破产，或其他丧失履约能力的情形；</w:t>
      </w:r>
    </w:p>
    <w:p w14:paraId="7DB200BD">
      <w:pPr>
        <w:spacing w:line="360" w:lineRule="auto"/>
        <w:rPr>
          <w:rFonts w:hint="eastAsia" w:ascii="宋体" w:hAnsi="宋体" w:cs="宋体"/>
          <w:sz w:val="24"/>
          <w:highlight w:val="none"/>
        </w:rPr>
      </w:pPr>
      <w:r>
        <w:rPr>
          <w:rFonts w:hint="eastAsia" w:ascii="宋体" w:hAnsi="宋体" w:cs="宋体"/>
          <w:sz w:val="24"/>
          <w:highlight w:val="none"/>
        </w:rPr>
        <w:t>（13）</w:t>
      </w:r>
      <w:r>
        <w:rPr>
          <w:rFonts w:hint="eastAsia" w:ascii="宋体" w:hAnsi="宋体" w:cs="宋体"/>
          <w:sz w:val="24"/>
          <w:highlight w:val="none"/>
          <w:u w:val="single"/>
        </w:rPr>
        <w:t>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r>
        <w:rPr>
          <w:rFonts w:hint="eastAsia" w:ascii="宋体" w:hAnsi="宋体" w:cs="宋体"/>
          <w:sz w:val="24"/>
          <w:highlight w:val="none"/>
        </w:rPr>
        <w:t>；</w:t>
      </w:r>
    </w:p>
    <w:p w14:paraId="01BBCBAC">
      <w:pPr>
        <w:spacing w:line="360" w:lineRule="auto"/>
        <w:rPr>
          <w:rFonts w:hint="eastAsia" w:ascii="宋体" w:hAnsi="宋体" w:cs="宋体"/>
          <w:sz w:val="24"/>
          <w:highlight w:val="none"/>
        </w:rPr>
      </w:pPr>
      <w:r>
        <w:rPr>
          <w:rFonts w:hint="eastAsia" w:ascii="宋体" w:hAnsi="宋体" w:cs="宋体"/>
          <w:sz w:val="24"/>
          <w:highlight w:val="none"/>
        </w:rPr>
        <w:t>（14）法律法规或投标人须知前附表规定的其他情形。</w:t>
      </w:r>
    </w:p>
    <w:p w14:paraId="58CAEF4F">
      <w:pPr>
        <w:pStyle w:val="3"/>
        <w:spacing w:before="0" w:after="0" w:line="360" w:lineRule="auto"/>
        <w:rPr>
          <w:rFonts w:hint="eastAsia" w:ascii="宋体" w:hAnsi="宋体" w:cs="宋体"/>
          <w:sz w:val="24"/>
          <w:szCs w:val="24"/>
          <w:highlight w:val="none"/>
        </w:rPr>
      </w:pPr>
      <w:bookmarkStart w:id="22" w:name="_Toc515205198"/>
      <w:bookmarkStart w:id="23" w:name="_Toc529196525"/>
      <w:bookmarkStart w:id="24" w:name="_Toc102997575"/>
      <w:r>
        <w:rPr>
          <w:rFonts w:hint="eastAsia" w:ascii="宋体" w:hAnsi="宋体" w:cs="宋体"/>
          <w:sz w:val="24"/>
          <w:szCs w:val="24"/>
          <w:highlight w:val="none"/>
        </w:rPr>
        <w:t>1.5 费用承担</w:t>
      </w:r>
      <w:bookmarkEnd w:id="22"/>
      <w:bookmarkEnd w:id="23"/>
      <w:bookmarkEnd w:id="24"/>
    </w:p>
    <w:p w14:paraId="2DC639A5">
      <w:pPr>
        <w:spacing w:line="360" w:lineRule="auto"/>
        <w:rPr>
          <w:rFonts w:hint="eastAsia" w:ascii="宋体" w:hAnsi="宋体" w:cs="宋体"/>
          <w:sz w:val="24"/>
          <w:highlight w:val="none"/>
        </w:rPr>
      </w:pPr>
      <w:r>
        <w:rPr>
          <w:rFonts w:hint="eastAsia" w:ascii="宋体" w:hAnsi="宋体" w:cs="宋体"/>
          <w:sz w:val="24"/>
          <w:highlight w:val="none"/>
        </w:rPr>
        <w:t>投标人准备和参加投标活动发生的费用自理。</w:t>
      </w:r>
    </w:p>
    <w:p w14:paraId="235BD564">
      <w:pPr>
        <w:pStyle w:val="3"/>
        <w:spacing w:before="0" w:after="0" w:line="360" w:lineRule="auto"/>
        <w:rPr>
          <w:rFonts w:hint="eastAsia" w:ascii="宋体" w:hAnsi="宋体" w:cs="宋体"/>
          <w:sz w:val="24"/>
          <w:szCs w:val="24"/>
          <w:highlight w:val="none"/>
        </w:rPr>
      </w:pPr>
      <w:bookmarkStart w:id="25" w:name="_Toc529196526"/>
      <w:bookmarkStart w:id="26" w:name="_Toc102997576"/>
      <w:bookmarkStart w:id="27" w:name="_Toc515205199"/>
      <w:r>
        <w:rPr>
          <w:rFonts w:hint="eastAsia" w:ascii="宋体" w:hAnsi="宋体" w:cs="宋体"/>
          <w:sz w:val="24"/>
          <w:szCs w:val="24"/>
          <w:highlight w:val="none"/>
        </w:rPr>
        <w:t>1.6保密</w:t>
      </w:r>
      <w:bookmarkEnd w:id="25"/>
      <w:bookmarkEnd w:id="26"/>
      <w:bookmarkEnd w:id="27"/>
    </w:p>
    <w:p w14:paraId="0E97D9D7">
      <w:pPr>
        <w:spacing w:line="360" w:lineRule="auto"/>
        <w:rPr>
          <w:rFonts w:hint="eastAsia" w:ascii="宋体" w:hAnsi="宋体" w:cs="宋体"/>
          <w:sz w:val="24"/>
          <w:highlight w:val="none"/>
        </w:rPr>
      </w:pPr>
      <w:r>
        <w:rPr>
          <w:rFonts w:hint="eastAsia" w:ascii="宋体" w:hAnsi="宋体" w:cs="宋体"/>
          <w:sz w:val="24"/>
          <w:highlight w:val="none"/>
        </w:rPr>
        <w:t>参与招标投标活动的各方应对招标文件和投标文件中</w:t>
      </w:r>
      <w:bookmarkStart w:id="28" w:name="_Toc352691477"/>
      <w:bookmarkStart w:id="29" w:name="_Toc361508589"/>
      <w:bookmarkStart w:id="30" w:name="_Toc5326"/>
      <w:bookmarkStart w:id="31" w:name="_Toc369531519"/>
      <w:bookmarkStart w:id="32" w:name="_Toc384308214"/>
      <w:r>
        <w:rPr>
          <w:rFonts w:hint="eastAsia" w:ascii="宋体" w:hAnsi="宋体" w:cs="宋体"/>
          <w:sz w:val="24"/>
          <w:highlight w:val="none"/>
        </w:rPr>
        <w:t>的商业和技术等秘密保密</w:t>
      </w:r>
      <w:bookmarkEnd w:id="28"/>
      <w:bookmarkEnd w:id="29"/>
      <w:bookmarkEnd w:id="30"/>
      <w:bookmarkEnd w:id="31"/>
      <w:bookmarkEnd w:id="32"/>
      <w:r>
        <w:rPr>
          <w:rFonts w:hint="eastAsia" w:ascii="宋体" w:hAnsi="宋体" w:cs="宋体"/>
          <w:sz w:val="24"/>
          <w:highlight w:val="none"/>
        </w:rPr>
        <w:t>，否则应承担相应的法律责任。</w:t>
      </w:r>
    </w:p>
    <w:p w14:paraId="148985D7">
      <w:pPr>
        <w:pStyle w:val="3"/>
        <w:spacing w:before="0" w:after="0" w:line="360" w:lineRule="auto"/>
        <w:rPr>
          <w:rFonts w:hint="eastAsia" w:ascii="宋体" w:hAnsi="宋体" w:cs="宋体"/>
          <w:sz w:val="24"/>
          <w:szCs w:val="24"/>
          <w:highlight w:val="none"/>
        </w:rPr>
      </w:pPr>
      <w:bookmarkStart w:id="33" w:name="_Toc515205200"/>
      <w:bookmarkStart w:id="34" w:name="_Toc102997577"/>
      <w:bookmarkStart w:id="35" w:name="_Toc529196527"/>
      <w:r>
        <w:rPr>
          <w:rFonts w:hint="eastAsia" w:ascii="宋体" w:hAnsi="宋体" w:cs="宋体"/>
          <w:sz w:val="24"/>
          <w:szCs w:val="24"/>
          <w:highlight w:val="none"/>
        </w:rPr>
        <w:t>1.7 语言文字</w:t>
      </w:r>
      <w:bookmarkEnd w:id="33"/>
      <w:bookmarkEnd w:id="34"/>
      <w:bookmarkEnd w:id="35"/>
    </w:p>
    <w:p w14:paraId="1BFFC40D">
      <w:pPr>
        <w:spacing w:line="360" w:lineRule="auto"/>
        <w:rPr>
          <w:rFonts w:hint="eastAsia" w:ascii="宋体" w:hAnsi="宋体" w:cs="宋体"/>
          <w:sz w:val="24"/>
          <w:highlight w:val="none"/>
        </w:rPr>
      </w:pPr>
      <w:r>
        <w:rPr>
          <w:rFonts w:hint="eastAsia" w:ascii="宋体" w:hAnsi="宋体" w:cs="宋体"/>
          <w:sz w:val="24"/>
          <w:highlight w:val="none"/>
        </w:rPr>
        <w:t>招标投标文件使用的语言文字为中文。专用术语使用外文的，应附有中文注释。</w:t>
      </w:r>
    </w:p>
    <w:p w14:paraId="29192D3D">
      <w:pPr>
        <w:pStyle w:val="3"/>
        <w:spacing w:before="0" w:after="0" w:line="360" w:lineRule="auto"/>
        <w:rPr>
          <w:rFonts w:hint="eastAsia" w:ascii="宋体" w:hAnsi="宋体" w:cs="宋体"/>
          <w:sz w:val="24"/>
          <w:szCs w:val="24"/>
          <w:highlight w:val="none"/>
        </w:rPr>
      </w:pPr>
      <w:bookmarkStart w:id="36" w:name="_Toc515205201"/>
      <w:bookmarkStart w:id="37" w:name="_Toc102997578"/>
      <w:bookmarkStart w:id="38" w:name="_Toc529196528"/>
      <w:r>
        <w:rPr>
          <w:rFonts w:hint="eastAsia" w:ascii="宋体" w:hAnsi="宋体" w:cs="宋体"/>
          <w:sz w:val="24"/>
          <w:szCs w:val="24"/>
          <w:highlight w:val="none"/>
        </w:rPr>
        <w:t>1.8计量单位</w:t>
      </w:r>
      <w:bookmarkEnd w:id="36"/>
      <w:bookmarkEnd w:id="37"/>
      <w:bookmarkEnd w:id="38"/>
    </w:p>
    <w:p w14:paraId="06F9BDEE">
      <w:pPr>
        <w:spacing w:line="360" w:lineRule="auto"/>
        <w:rPr>
          <w:rFonts w:hint="eastAsia" w:ascii="宋体" w:hAnsi="宋体" w:cs="宋体"/>
          <w:sz w:val="24"/>
          <w:highlight w:val="none"/>
        </w:rPr>
      </w:pPr>
      <w:r>
        <w:rPr>
          <w:rFonts w:hint="eastAsia" w:ascii="宋体" w:hAnsi="宋体" w:cs="宋体"/>
          <w:sz w:val="24"/>
          <w:highlight w:val="none"/>
        </w:rPr>
        <w:t>所有计量均采用中华人民共和国法定计量单位。</w:t>
      </w:r>
    </w:p>
    <w:p w14:paraId="7D88133C">
      <w:pPr>
        <w:pStyle w:val="3"/>
        <w:spacing w:before="0" w:after="0" w:line="360" w:lineRule="auto"/>
        <w:rPr>
          <w:rFonts w:hint="eastAsia" w:ascii="宋体" w:hAnsi="宋体" w:cs="宋体"/>
          <w:sz w:val="24"/>
          <w:szCs w:val="24"/>
          <w:highlight w:val="none"/>
        </w:rPr>
      </w:pPr>
      <w:bookmarkStart w:id="39" w:name="_Toc102997579"/>
      <w:bookmarkStart w:id="40" w:name="_Toc391393967"/>
      <w:bookmarkStart w:id="41" w:name="_Toc152042315"/>
      <w:bookmarkStart w:id="42" w:name="_Toc152045539"/>
      <w:bookmarkStart w:id="43" w:name="_Toc529196529"/>
      <w:bookmarkStart w:id="44" w:name="_Toc361508594"/>
      <w:bookmarkStart w:id="45" w:name="_Toc247527563"/>
      <w:bookmarkStart w:id="46" w:name="_Toc384308219"/>
      <w:bookmarkStart w:id="47" w:name="_Toc482188480"/>
      <w:bookmarkStart w:id="48" w:name="_Toc370676289"/>
      <w:bookmarkStart w:id="49" w:name="_Toc515205202"/>
      <w:bookmarkStart w:id="50" w:name="_Toc247513962"/>
      <w:bookmarkStart w:id="51" w:name="_Toc300834959"/>
      <w:bookmarkStart w:id="52" w:name="_Toc144974507"/>
      <w:r>
        <w:rPr>
          <w:rFonts w:hint="eastAsia" w:ascii="宋体" w:hAnsi="宋体" w:cs="宋体"/>
          <w:sz w:val="24"/>
          <w:szCs w:val="24"/>
          <w:highlight w:val="none"/>
        </w:rPr>
        <w:t>1.9 踏勘现场</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0BE2C82">
      <w:pPr>
        <w:spacing w:line="360" w:lineRule="auto"/>
        <w:rPr>
          <w:rFonts w:hint="eastAsia" w:ascii="宋体" w:hAnsi="宋体" w:cs="宋体"/>
          <w:sz w:val="24"/>
          <w:highlight w:val="none"/>
        </w:rPr>
      </w:pPr>
      <w:r>
        <w:rPr>
          <w:rFonts w:hint="eastAsia" w:ascii="宋体" w:hAnsi="宋体" w:cs="宋体"/>
          <w:sz w:val="24"/>
          <w:highlight w:val="none"/>
        </w:rPr>
        <w:t>1.9.1 投标人须知前附表规定组织踏勘现场的，招标人按投标人须知前附表规定的时间、地点组织投标人踏勘项目现场。部分投标人未按时参加踏勘现场的，不影响踏勘现场的正常进行。</w:t>
      </w:r>
    </w:p>
    <w:p w14:paraId="17B82F3E">
      <w:pPr>
        <w:spacing w:line="360" w:lineRule="auto"/>
        <w:rPr>
          <w:rFonts w:hint="eastAsia" w:ascii="宋体" w:hAnsi="宋体" w:cs="宋体"/>
          <w:sz w:val="24"/>
          <w:highlight w:val="none"/>
        </w:rPr>
      </w:pPr>
      <w:r>
        <w:rPr>
          <w:rFonts w:hint="eastAsia" w:ascii="宋体" w:hAnsi="宋体" w:cs="宋体"/>
          <w:sz w:val="24"/>
          <w:highlight w:val="none"/>
        </w:rPr>
        <w:t>1.9.2 投标人踏勘现场发生的费用自理。</w:t>
      </w:r>
    </w:p>
    <w:p w14:paraId="0A924B87">
      <w:pPr>
        <w:spacing w:line="360" w:lineRule="auto"/>
        <w:rPr>
          <w:rFonts w:hint="eastAsia" w:ascii="宋体" w:hAnsi="宋体" w:cs="宋体"/>
          <w:sz w:val="24"/>
          <w:highlight w:val="none"/>
        </w:rPr>
      </w:pPr>
      <w:r>
        <w:rPr>
          <w:rFonts w:hint="eastAsia" w:ascii="宋体" w:hAnsi="宋体" w:cs="宋体"/>
          <w:sz w:val="24"/>
          <w:highlight w:val="none"/>
        </w:rPr>
        <w:t>1.9.3 除招标人的原因外，投标人自行负责在踏勘现场中所发生的人员伤亡和财产损失。</w:t>
      </w:r>
    </w:p>
    <w:p w14:paraId="23E274F5">
      <w:pPr>
        <w:spacing w:line="360" w:lineRule="auto"/>
        <w:rPr>
          <w:rFonts w:hint="eastAsia" w:ascii="宋体" w:hAnsi="宋体" w:cs="宋体"/>
          <w:sz w:val="24"/>
          <w:highlight w:val="none"/>
        </w:rPr>
      </w:pPr>
      <w:r>
        <w:rPr>
          <w:rFonts w:hint="eastAsia" w:ascii="宋体" w:hAnsi="宋体" w:cs="宋体"/>
          <w:sz w:val="24"/>
          <w:highlight w:val="none"/>
        </w:rPr>
        <w:t>1.9.4 招标人在踏勘现场中介绍的工程场地和相关的周边环境情况，供投标人在编制投标文件时参考，招标人不对投标人据此作出的判断和决策负责。</w:t>
      </w:r>
    </w:p>
    <w:p w14:paraId="130DD124">
      <w:pPr>
        <w:pStyle w:val="3"/>
        <w:spacing w:before="0" w:after="0" w:line="360" w:lineRule="auto"/>
        <w:rPr>
          <w:rFonts w:hint="eastAsia" w:ascii="宋体" w:hAnsi="宋体" w:cs="宋体"/>
          <w:sz w:val="24"/>
          <w:szCs w:val="24"/>
          <w:highlight w:val="none"/>
        </w:rPr>
      </w:pPr>
      <w:bookmarkStart w:id="53" w:name="_Toc102997580"/>
      <w:bookmarkStart w:id="54" w:name="_Toc529196530"/>
      <w:bookmarkStart w:id="55" w:name="_Toc515205203"/>
      <w:r>
        <w:rPr>
          <w:rFonts w:hint="eastAsia" w:ascii="宋体" w:hAnsi="宋体" w:cs="宋体"/>
          <w:sz w:val="24"/>
          <w:szCs w:val="24"/>
          <w:highlight w:val="none"/>
        </w:rPr>
        <w:t>1.10投标预备会</w:t>
      </w:r>
      <w:bookmarkEnd w:id="53"/>
      <w:bookmarkEnd w:id="54"/>
      <w:bookmarkEnd w:id="55"/>
    </w:p>
    <w:p w14:paraId="2DC26E25">
      <w:pPr>
        <w:spacing w:line="360" w:lineRule="auto"/>
        <w:rPr>
          <w:rFonts w:hint="eastAsia" w:ascii="宋体" w:hAnsi="宋体" w:cs="宋体"/>
          <w:sz w:val="24"/>
          <w:highlight w:val="none"/>
        </w:rPr>
      </w:pPr>
      <w:r>
        <w:rPr>
          <w:rFonts w:hint="eastAsia" w:ascii="宋体" w:hAnsi="宋体" w:cs="宋体"/>
          <w:sz w:val="24"/>
          <w:highlight w:val="none"/>
        </w:rPr>
        <w:t>1.10.1 投标人须知前附表规定召开投标预备会的，招标人按投标人须知前附表规定的时间和地点召开投标预备会，澄清投标人提出的问题。</w:t>
      </w:r>
    </w:p>
    <w:p w14:paraId="5CDD3057">
      <w:pPr>
        <w:spacing w:line="360" w:lineRule="auto"/>
        <w:rPr>
          <w:rFonts w:hint="eastAsia" w:ascii="宋体" w:hAnsi="宋体" w:cs="宋体"/>
          <w:sz w:val="24"/>
          <w:highlight w:val="none"/>
        </w:rPr>
      </w:pPr>
      <w:r>
        <w:rPr>
          <w:rFonts w:hint="eastAsia" w:ascii="宋体" w:hAnsi="宋体" w:cs="宋体"/>
          <w:sz w:val="24"/>
          <w:highlight w:val="none"/>
        </w:rPr>
        <w:t>1.10.2 投标人应按投标人须知前附表规定的时间和形式将提出的问题送达招标人，以便招标人在会议期间澄清。</w:t>
      </w:r>
    </w:p>
    <w:p w14:paraId="19D23237">
      <w:pPr>
        <w:spacing w:line="360" w:lineRule="auto"/>
        <w:rPr>
          <w:rFonts w:hint="eastAsia" w:ascii="宋体" w:hAnsi="宋体" w:cs="宋体"/>
          <w:sz w:val="24"/>
          <w:highlight w:val="none"/>
        </w:rPr>
      </w:pPr>
      <w:r>
        <w:rPr>
          <w:rFonts w:hint="eastAsia" w:ascii="宋体" w:hAnsi="宋体" w:cs="宋体"/>
          <w:sz w:val="24"/>
          <w:highlight w:val="none"/>
        </w:rPr>
        <w:t>1.10.3 投标预备会后，招标人将对投标人所提问题的澄清，以投标人须知前附表规定的形式通知所有购买招标文件的投标人。该澄清内容为招标文件的组成部分。</w:t>
      </w:r>
    </w:p>
    <w:p w14:paraId="4CA5366F">
      <w:pPr>
        <w:pStyle w:val="3"/>
        <w:spacing w:before="0" w:after="0" w:line="360" w:lineRule="auto"/>
        <w:rPr>
          <w:rFonts w:hint="eastAsia" w:ascii="宋体" w:hAnsi="宋体" w:cs="宋体"/>
          <w:sz w:val="24"/>
          <w:szCs w:val="24"/>
          <w:highlight w:val="none"/>
        </w:rPr>
      </w:pPr>
      <w:bookmarkStart w:id="56" w:name="_Toc529196531"/>
      <w:bookmarkStart w:id="57" w:name="_Toc102997581"/>
      <w:bookmarkStart w:id="58" w:name="_Toc515205204"/>
      <w:r>
        <w:rPr>
          <w:rFonts w:hint="eastAsia" w:ascii="宋体" w:hAnsi="宋体" w:cs="宋体"/>
          <w:sz w:val="24"/>
          <w:szCs w:val="24"/>
          <w:highlight w:val="none"/>
        </w:rPr>
        <w:t>1.11 分包</w:t>
      </w:r>
      <w:bookmarkEnd w:id="56"/>
      <w:bookmarkEnd w:id="57"/>
      <w:bookmarkEnd w:id="58"/>
    </w:p>
    <w:p w14:paraId="00CBF533">
      <w:pPr>
        <w:pStyle w:val="3"/>
        <w:spacing w:before="0" w:after="0" w:line="360" w:lineRule="auto"/>
        <w:rPr>
          <w:rFonts w:hint="eastAsia" w:ascii="宋体" w:hAnsi="宋体" w:cs="宋体"/>
          <w:b w:val="0"/>
          <w:bCs w:val="0"/>
          <w:sz w:val="24"/>
          <w:szCs w:val="22"/>
          <w:highlight w:val="none"/>
        </w:rPr>
      </w:pPr>
      <w:bookmarkStart w:id="59" w:name="_Toc102997582"/>
      <w:bookmarkStart w:id="60" w:name="_Toc515205205"/>
      <w:bookmarkStart w:id="61" w:name="_Toc529196532"/>
      <w:r>
        <w:rPr>
          <w:rFonts w:hint="eastAsia" w:ascii="宋体" w:hAnsi="宋体" w:cs="宋体"/>
          <w:b w:val="0"/>
          <w:bCs w:val="0"/>
          <w:sz w:val="24"/>
          <w:szCs w:val="22"/>
          <w:highlight w:val="none"/>
        </w:rPr>
        <w:t>本项目除主要</w:t>
      </w:r>
      <w:r>
        <w:rPr>
          <w:rFonts w:hint="eastAsia" w:ascii="宋体" w:hAnsi="宋体" w:cs="宋体"/>
          <w:b w:val="0"/>
          <w:bCs w:val="0"/>
          <w:sz w:val="24"/>
          <w:szCs w:val="22"/>
          <w:highlight w:val="none"/>
          <w:u w:val="single"/>
        </w:rPr>
        <w:t>土壤污染修复技术服务</w:t>
      </w:r>
      <w:r>
        <w:rPr>
          <w:rFonts w:hint="eastAsia" w:ascii="宋体" w:hAnsi="宋体" w:cs="宋体"/>
          <w:b w:val="0"/>
          <w:bCs w:val="0"/>
          <w:sz w:val="24"/>
          <w:szCs w:val="22"/>
          <w:highlight w:val="none"/>
        </w:rPr>
        <w:t>内容外，其他内容报招标人批准后可依法进行分包，由中标人委托具有相应资质的单位负责。此部分工作产生的费用由中标人自行承担，已含于投标报价中。</w:t>
      </w:r>
      <w:bookmarkEnd w:id="59"/>
    </w:p>
    <w:p w14:paraId="2909A949">
      <w:pPr>
        <w:pStyle w:val="3"/>
        <w:spacing w:before="0" w:after="0" w:line="360" w:lineRule="auto"/>
        <w:rPr>
          <w:rFonts w:hint="eastAsia" w:ascii="宋体" w:hAnsi="宋体" w:cs="宋体"/>
          <w:sz w:val="24"/>
          <w:szCs w:val="24"/>
          <w:highlight w:val="none"/>
        </w:rPr>
      </w:pPr>
      <w:bookmarkStart w:id="62" w:name="_Toc102997583"/>
      <w:r>
        <w:rPr>
          <w:rFonts w:hint="eastAsia" w:ascii="宋体" w:hAnsi="宋体" w:cs="宋体"/>
          <w:sz w:val="24"/>
          <w:szCs w:val="24"/>
          <w:highlight w:val="none"/>
        </w:rPr>
        <w:t>1.12响应和偏差</w:t>
      </w:r>
      <w:bookmarkEnd w:id="60"/>
      <w:bookmarkEnd w:id="61"/>
      <w:bookmarkEnd w:id="62"/>
    </w:p>
    <w:p w14:paraId="5FB23DDE">
      <w:pPr>
        <w:spacing w:line="360" w:lineRule="auto"/>
        <w:rPr>
          <w:rFonts w:hint="eastAsia" w:ascii="宋体" w:hAnsi="宋体" w:cs="宋体"/>
          <w:sz w:val="24"/>
          <w:highlight w:val="none"/>
        </w:rPr>
      </w:pPr>
      <w:r>
        <w:rPr>
          <w:rFonts w:hint="eastAsia" w:ascii="宋体" w:hAnsi="宋体" w:cs="宋体"/>
          <w:sz w:val="24"/>
          <w:highlight w:val="none"/>
        </w:rPr>
        <w:t>1.12.1投标文件应当对招标文件的实质性要求和条件作出满足性或更有利于招标人的响应，否则，投标人的投标将被否决。实质性要求和条件见投标人须知前附表。</w:t>
      </w:r>
    </w:p>
    <w:p w14:paraId="27198F08">
      <w:pPr>
        <w:spacing w:line="360" w:lineRule="auto"/>
        <w:rPr>
          <w:rFonts w:hint="eastAsia" w:ascii="宋体" w:hAnsi="宋体" w:cs="宋体"/>
          <w:sz w:val="24"/>
          <w:highlight w:val="none"/>
        </w:rPr>
      </w:pPr>
      <w:r>
        <w:rPr>
          <w:rFonts w:hint="eastAsia" w:ascii="宋体" w:hAnsi="宋体" w:cs="宋体"/>
          <w:sz w:val="24"/>
          <w:highlight w:val="none"/>
        </w:rPr>
        <w:t>1.12.2 投标人应根据招标文件的要求提供投标技术方案等内容以对招标文件作出响应。</w:t>
      </w:r>
    </w:p>
    <w:p w14:paraId="088A057C">
      <w:pPr>
        <w:spacing w:line="360" w:lineRule="auto"/>
        <w:rPr>
          <w:rFonts w:hint="eastAsia" w:ascii="宋体" w:hAnsi="宋体" w:cs="宋体"/>
          <w:sz w:val="24"/>
          <w:highlight w:val="none"/>
        </w:rPr>
      </w:pPr>
      <w:r>
        <w:rPr>
          <w:rFonts w:hint="eastAsia" w:ascii="宋体" w:hAnsi="宋体" w:cs="宋体"/>
          <w:sz w:val="24"/>
          <w:highlight w:val="none"/>
        </w:rPr>
        <w:t>1.12.3投标人须知前附表允许投标文件偏离招标文件某些要求的，偏差应当符合招标文件规定的偏差范围和幅度。</w:t>
      </w:r>
    </w:p>
    <w:p w14:paraId="62C14564">
      <w:pPr>
        <w:pStyle w:val="3"/>
        <w:spacing w:before="0" w:after="0" w:line="360" w:lineRule="auto"/>
        <w:rPr>
          <w:rFonts w:hint="eastAsia" w:ascii="宋体" w:hAnsi="宋体" w:cs="宋体"/>
          <w:highlight w:val="none"/>
        </w:rPr>
      </w:pPr>
      <w:bookmarkStart w:id="63" w:name="_Toc102997584"/>
      <w:bookmarkStart w:id="64" w:name="_Toc515205206"/>
      <w:bookmarkStart w:id="65" w:name="_Toc529196533"/>
      <w:r>
        <w:rPr>
          <w:rFonts w:hint="eastAsia" w:ascii="宋体" w:hAnsi="宋体" w:cs="宋体"/>
          <w:highlight w:val="none"/>
        </w:rPr>
        <w:t>2. 招标文件</w:t>
      </w:r>
      <w:bookmarkEnd w:id="63"/>
      <w:bookmarkEnd w:id="64"/>
      <w:bookmarkEnd w:id="65"/>
    </w:p>
    <w:p w14:paraId="5B109955">
      <w:pPr>
        <w:pStyle w:val="3"/>
        <w:spacing w:before="0" w:after="0" w:line="360" w:lineRule="auto"/>
        <w:rPr>
          <w:rFonts w:hint="eastAsia" w:ascii="宋体" w:hAnsi="宋体" w:cs="宋体"/>
          <w:highlight w:val="none"/>
        </w:rPr>
      </w:pPr>
      <w:bookmarkStart w:id="66" w:name="_Toc529196534"/>
      <w:bookmarkStart w:id="67" w:name="_Toc102997585"/>
      <w:bookmarkStart w:id="68" w:name="_Toc515205207"/>
      <w:r>
        <w:rPr>
          <w:rFonts w:hint="eastAsia" w:ascii="宋体" w:hAnsi="宋体" w:cs="宋体"/>
          <w:highlight w:val="none"/>
        </w:rPr>
        <w:t>2.1 招标文件的组成</w:t>
      </w:r>
      <w:bookmarkEnd w:id="66"/>
      <w:bookmarkEnd w:id="67"/>
      <w:bookmarkEnd w:id="68"/>
    </w:p>
    <w:p w14:paraId="6D804BC1">
      <w:pPr>
        <w:spacing w:line="360" w:lineRule="auto"/>
        <w:rPr>
          <w:rFonts w:hint="eastAsia" w:ascii="宋体" w:hAnsi="宋体" w:cs="宋体"/>
          <w:sz w:val="24"/>
          <w:highlight w:val="none"/>
        </w:rPr>
      </w:pPr>
      <w:r>
        <w:rPr>
          <w:rFonts w:hint="eastAsia" w:ascii="宋体" w:hAnsi="宋体" w:cs="宋体"/>
          <w:sz w:val="24"/>
          <w:highlight w:val="none"/>
        </w:rPr>
        <w:t>本招标文件包括：</w:t>
      </w:r>
    </w:p>
    <w:p w14:paraId="30667788">
      <w:pPr>
        <w:spacing w:line="360" w:lineRule="auto"/>
        <w:rPr>
          <w:rFonts w:hint="eastAsia"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u w:val="single"/>
        </w:rPr>
        <w:t>招标公告</w:t>
      </w:r>
      <w:r>
        <w:rPr>
          <w:rFonts w:hint="eastAsia" w:ascii="宋体" w:hAnsi="宋体" w:cs="宋体"/>
          <w:sz w:val="24"/>
          <w:highlight w:val="none"/>
        </w:rPr>
        <w:t>；</w:t>
      </w:r>
    </w:p>
    <w:p w14:paraId="602813E1">
      <w:pPr>
        <w:spacing w:line="360" w:lineRule="auto"/>
        <w:rPr>
          <w:rFonts w:hint="eastAsia" w:ascii="宋体" w:hAnsi="宋体" w:cs="宋体"/>
          <w:sz w:val="24"/>
          <w:highlight w:val="none"/>
        </w:rPr>
      </w:pPr>
      <w:r>
        <w:rPr>
          <w:rFonts w:hint="eastAsia" w:ascii="宋体" w:hAnsi="宋体" w:cs="宋体"/>
          <w:sz w:val="24"/>
          <w:highlight w:val="none"/>
        </w:rPr>
        <w:t>（2）投标人须知；</w:t>
      </w:r>
    </w:p>
    <w:p w14:paraId="25B0221B">
      <w:pPr>
        <w:spacing w:line="360" w:lineRule="auto"/>
        <w:rPr>
          <w:rFonts w:hint="eastAsia" w:ascii="宋体" w:hAnsi="宋体" w:cs="宋体"/>
          <w:sz w:val="24"/>
          <w:highlight w:val="none"/>
        </w:rPr>
      </w:pPr>
      <w:r>
        <w:rPr>
          <w:rFonts w:hint="eastAsia" w:ascii="宋体" w:hAnsi="宋体" w:cs="宋体"/>
          <w:sz w:val="24"/>
          <w:highlight w:val="none"/>
        </w:rPr>
        <w:t>（3）评标办法；</w:t>
      </w:r>
    </w:p>
    <w:p w14:paraId="7EAE3C66">
      <w:pPr>
        <w:spacing w:line="360" w:lineRule="auto"/>
        <w:rPr>
          <w:rFonts w:hint="eastAsia" w:ascii="宋体" w:hAnsi="宋体" w:cs="宋体"/>
          <w:sz w:val="24"/>
          <w:highlight w:val="none"/>
        </w:rPr>
      </w:pPr>
      <w:r>
        <w:rPr>
          <w:rFonts w:hint="eastAsia" w:ascii="宋体" w:hAnsi="宋体" w:cs="宋体"/>
          <w:sz w:val="24"/>
          <w:highlight w:val="none"/>
        </w:rPr>
        <w:t>（4）合同条款及格式；</w:t>
      </w:r>
    </w:p>
    <w:p w14:paraId="0C035B9E">
      <w:pPr>
        <w:spacing w:line="360" w:lineRule="auto"/>
        <w:rPr>
          <w:rFonts w:hint="eastAsia" w:ascii="宋体" w:hAnsi="宋体" w:cs="宋体"/>
          <w:sz w:val="24"/>
          <w:highlight w:val="none"/>
        </w:rPr>
      </w:pPr>
      <w:r>
        <w:rPr>
          <w:rFonts w:hint="eastAsia" w:ascii="宋体" w:hAnsi="宋体" w:cs="宋体"/>
          <w:sz w:val="24"/>
          <w:highlight w:val="none"/>
        </w:rPr>
        <w:t>（5）委托人要求；</w:t>
      </w:r>
    </w:p>
    <w:p w14:paraId="76A16E5E">
      <w:pPr>
        <w:spacing w:line="360" w:lineRule="auto"/>
        <w:rPr>
          <w:rFonts w:hint="eastAsia" w:ascii="宋体" w:hAnsi="宋体" w:cs="宋体"/>
          <w:sz w:val="24"/>
          <w:highlight w:val="none"/>
        </w:rPr>
      </w:pPr>
      <w:r>
        <w:rPr>
          <w:rFonts w:hint="eastAsia" w:ascii="宋体" w:hAnsi="宋体" w:cs="宋体"/>
          <w:sz w:val="24"/>
          <w:highlight w:val="none"/>
        </w:rPr>
        <w:t>（6）投标文件格式；</w:t>
      </w:r>
    </w:p>
    <w:p w14:paraId="2713E1D8">
      <w:pPr>
        <w:spacing w:line="360" w:lineRule="auto"/>
        <w:rPr>
          <w:rFonts w:hint="eastAsia" w:ascii="宋体" w:hAnsi="宋体" w:cs="宋体"/>
          <w:sz w:val="24"/>
          <w:highlight w:val="none"/>
        </w:rPr>
      </w:pPr>
      <w:r>
        <w:rPr>
          <w:rFonts w:hint="eastAsia" w:ascii="宋体" w:hAnsi="宋体" w:cs="宋体"/>
          <w:sz w:val="24"/>
          <w:highlight w:val="none"/>
        </w:rPr>
        <w:t>（7）投标人须知前附表规定的其他资料。</w:t>
      </w:r>
    </w:p>
    <w:p w14:paraId="670599BB">
      <w:pPr>
        <w:spacing w:line="360" w:lineRule="auto"/>
        <w:rPr>
          <w:rFonts w:hint="eastAsia" w:ascii="宋体" w:hAnsi="宋体" w:cs="宋体"/>
          <w:sz w:val="24"/>
          <w:highlight w:val="none"/>
        </w:rPr>
      </w:pPr>
      <w:r>
        <w:rPr>
          <w:rFonts w:hint="eastAsia" w:ascii="宋体" w:hAnsi="宋体" w:cs="宋体"/>
          <w:sz w:val="24"/>
          <w:highlight w:val="none"/>
        </w:rPr>
        <w:t>根据本章第1.10款、第2.2款和第2.3款对招标文件所作的澄清、修改，构成招标文件的组成部分。</w:t>
      </w:r>
    </w:p>
    <w:p w14:paraId="41DB1638">
      <w:pPr>
        <w:pStyle w:val="3"/>
        <w:spacing w:before="0" w:after="0" w:line="360" w:lineRule="auto"/>
        <w:rPr>
          <w:rFonts w:hint="eastAsia" w:ascii="宋体" w:hAnsi="宋体" w:cs="宋体"/>
          <w:highlight w:val="none"/>
        </w:rPr>
      </w:pPr>
      <w:bookmarkStart w:id="69" w:name="_Toc102997586"/>
      <w:bookmarkStart w:id="70" w:name="_Toc529196535"/>
      <w:bookmarkStart w:id="71" w:name="_Toc515205208"/>
      <w:r>
        <w:rPr>
          <w:rFonts w:hint="eastAsia" w:ascii="宋体" w:hAnsi="宋体" w:cs="宋体"/>
          <w:highlight w:val="none"/>
        </w:rPr>
        <w:t>2.2 招标文件的澄清</w:t>
      </w:r>
      <w:bookmarkEnd w:id="69"/>
      <w:bookmarkEnd w:id="70"/>
      <w:bookmarkEnd w:id="71"/>
    </w:p>
    <w:p w14:paraId="32825FC9">
      <w:pPr>
        <w:spacing w:line="360" w:lineRule="auto"/>
        <w:rPr>
          <w:rFonts w:hint="eastAsia" w:ascii="宋体" w:hAnsi="宋体" w:cs="宋体"/>
          <w:sz w:val="24"/>
          <w:highlight w:val="none"/>
        </w:rPr>
      </w:pPr>
      <w:r>
        <w:rPr>
          <w:rFonts w:hint="eastAsia" w:ascii="宋体" w:hAnsi="宋体" w:cs="宋体"/>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58813243">
      <w:pPr>
        <w:spacing w:line="360" w:lineRule="auto"/>
        <w:rPr>
          <w:rFonts w:hint="eastAsia" w:ascii="宋体" w:hAnsi="宋体" w:cs="宋体"/>
          <w:sz w:val="24"/>
          <w:highlight w:val="none"/>
        </w:rPr>
      </w:pPr>
      <w:r>
        <w:rPr>
          <w:rFonts w:hint="eastAsia" w:ascii="宋体" w:hAnsi="宋体" w:cs="宋体"/>
          <w:sz w:val="24"/>
          <w:highlight w:val="none"/>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38657936">
      <w:pPr>
        <w:spacing w:line="360" w:lineRule="auto"/>
        <w:rPr>
          <w:rFonts w:hint="eastAsia" w:ascii="宋体" w:hAnsi="宋体" w:cs="宋体"/>
          <w:sz w:val="24"/>
          <w:highlight w:val="none"/>
        </w:rPr>
      </w:pPr>
      <w:r>
        <w:rPr>
          <w:rFonts w:hint="eastAsia" w:ascii="宋体" w:hAnsi="宋体" w:cs="宋体"/>
          <w:sz w:val="24"/>
          <w:highlight w:val="none"/>
        </w:rPr>
        <w:t>2.2.3 投标人在收到澄清后，应按投标人须知前附表规定的时间和形式通知招标人，确认已收到该澄清。</w:t>
      </w:r>
    </w:p>
    <w:p w14:paraId="48FBF78A">
      <w:pPr>
        <w:spacing w:line="360" w:lineRule="auto"/>
        <w:rPr>
          <w:rFonts w:hint="eastAsia" w:ascii="宋体" w:hAnsi="宋体" w:cs="宋体"/>
          <w:sz w:val="24"/>
          <w:highlight w:val="none"/>
        </w:rPr>
      </w:pPr>
      <w:r>
        <w:rPr>
          <w:rFonts w:hint="eastAsia" w:ascii="宋体" w:hAnsi="宋体" w:cs="宋体"/>
          <w:sz w:val="24"/>
          <w:highlight w:val="none"/>
        </w:rPr>
        <w:t>2.2.4 除非招标人认为确有必要答复，否则，招标人有权拒绝回复投标人在本章第2.2.1项规定的时间后的任何澄清要求。</w:t>
      </w:r>
    </w:p>
    <w:p w14:paraId="6535E699">
      <w:pPr>
        <w:pStyle w:val="3"/>
        <w:spacing w:before="0" w:after="0" w:line="360" w:lineRule="auto"/>
        <w:rPr>
          <w:rFonts w:hint="eastAsia" w:ascii="宋体" w:hAnsi="宋体" w:cs="宋体"/>
          <w:highlight w:val="none"/>
        </w:rPr>
      </w:pPr>
      <w:bookmarkStart w:id="72" w:name="_Toc529196536"/>
      <w:bookmarkStart w:id="73" w:name="_Toc515205209"/>
      <w:bookmarkStart w:id="74" w:name="_Toc102997587"/>
      <w:bookmarkStart w:id="75" w:name="_Toc352691479"/>
      <w:r>
        <w:rPr>
          <w:rFonts w:hint="eastAsia" w:ascii="宋体" w:hAnsi="宋体" w:cs="宋体"/>
          <w:highlight w:val="none"/>
        </w:rPr>
        <w:t>2.3 招标文件的修</w:t>
      </w:r>
      <w:bookmarkStart w:id="76" w:name="_Toc16514"/>
      <w:bookmarkStart w:id="77" w:name="_Toc369531521"/>
      <w:r>
        <w:rPr>
          <w:rFonts w:hint="eastAsia" w:ascii="宋体" w:hAnsi="宋体" w:cs="宋体"/>
          <w:highlight w:val="none"/>
        </w:rPr>
        <w:t>改</w:t>
      </w:r>
      <w:bookmarkEnd w:id="72"/>
      <w:bookmarkEnd w:id="73"/>
      <w:bookmarkEnd w:id="74"/>
    </w:p>
    <w:p w14:paraId="0CB5D733">
      <w:pPr>
        <w:spacing w:line="360" w:lineRule="auto"/>
        <w:rPr>
          <w:rFonts w:hint="eastAsia" w:ascii="宋体" w:hAnsi="宋体" w:cs="宋体"/>
          <w:sz w:val="24"/>
          <w:highlight w:val="none"/>
        </w:rPr>
      </w:pPr>
      <w:r>
        <w:rPr>
          <w:rFonts w:hint="eastAsia" w:ascii="宋体" w:hAnsi="宋体" w:cs="宋体"/>
          <w:sz w:val="24"/>
          <w:highlight w:val="none"/>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p>
    <w:bookmarkEnd w:id="75"/>
    <w:bookmarkEnd w:id="76"/>
    <w:bookmarkEnd w:id="77"/>
    <w:p w14:paraId="755525AF">
      <w:pPr>
        <w:spacing w:line="360" w:lineRule="auto"/>
        <w:rPr>
          <w:rFonts w:hint="eastAsia" w:ascii="宋体" w:hAnsi="宋体" w:cs="宋体"/>
          <w:sz w:val="24"/>
          <w:highlight w:val="none"/>
        </w:rPr>
      </w:pPr>
      <w:r>
        <w:rPr>
          <w:rFonts w:hint="eastAsia" w:ascii="宋体" w:hAnsi="宋体" w:cs="宋体"/>
          <w:sz w:val="24"/>
          <w:highlight w:val="none"/>
        </w:rPr>
        <w:t>2.3.2 投标人收到修改内容</w:t>
      </w:r>
      <w:bookmarkStart w:id="78" w:name="_Toc247527562"/>
      <w:bookmarkStart w:id="79" w:name="_Toc247513961"/>
      <w:bookmarkStart w:id="80" w:name="_Toc300834958"/>
      <w:bookmarkStart w:id="81" w:name="_Toc24632"/>
      <w:bookmarkStart w:id="82" w:name="_Toc152045538"/>
      <w:bookmarkStart w:id="83" w:name="_Toc352691482"/>
      <w:bookmarkStart w:id="84" w:name="_Toc384308218"/>
      <w:bookmarkStart w:id="85" w:name="_Toc369531524"/>
      <w:bookmarkStart w:id="86" w:name="_Toc361508593"/>
      <w:bookmarkStart w:id="87" w:name="_Toc144974506"/>
      <w:bookmarkStart w:id="88" w:name="_Toc152042314"/>
      <w:r>
        <w:rPr>
          <w:rFonts w:hint="eastAsia" w:ascii="宋体" w:hAnsi="宋体" w:cs="宋体"/>
          <w:sz w:val="24"/>
          <w:highlight w:val="none"/>
        </w:rPr>
        <w:t>后，</w:t>
      </w:r>
      <w:bookmarkEnd w:id="78"/>
      <w:bookmarkEnd w:id="79"/>
      <w:bookmarkEnd w:id="80"/>
      <w:bookmarkEnd w:id="81"/>
      <w:bookmarkEnd w:id="82"/>
      <w:bookmarkEnd w:id="83"/>
      <w:bookmarkEnd w:id="84"/>
      <w:bookmarkEnd w:id="85"/>
      <w:bookmarkEnd w:id="86"/>
      <w:bookmarkEnd w:id="87"/>
      <w:bookmarkEnd w:id="88"/>
      <w:bookmarkStart w:id="89" w:name="_Toc16623"/>
      <w:bookmarkStart w:id="90" w:name="_Toc144974508"/>
      <w:bookmarkStart w:id="91" w:name="_Toc152042316"/>
      <w:bookmarkStart w:id="92" w:name="_Toc300834960"/>
      <w:bookmarkStart w:id="93" w:name="_Toc369531526"/>
      <w:bookmarkStart w:id="94" w:name="_Toc384308220"/>
      <w:bookmarkStart w:id="95" w:name="_Toc361508595"/>
      <w:bookmarkStart w:id="96" w:name="_Toc247513963"/>
      <w:bookmarkStart w:id="97" w:name="_Toc152045540"/>
      <w:bookmarkStart w:id="98" w:name="_Toc247527564"/>
      <w:bookmarkStart w:id="99" w:name="_Toc352691484"/>
      <w:r>
        <w:rPr>
          <w:rFonts w:hint="eastAsia" w:ascii="宋体" w:hAnsi="宋体" w:cs="宋体"/>
          <w:sz w:val="24"/>
          <w:highlight w:val="none"/>
        </w:rPr>
        <w:t>应按投标人须知前附表规定的时间和形式通知招标人，确认已收到该修改。</w:t>
      </w:r>
    </w:p>
    <w:p w14:paraId="37764681">
      <w:pPr>
        <w:pStyle w:val="3"/>
        <w:spacing w:before="0" w:after="0" w:line="360" w:lineRule="auto"/>
        <w:rPr>
          <w:rFonts w:hint="eastAsia" w:ascii="宋体" w:hAnsi="宋体" w:cs="宋体"/>
          <w:highlight w:val="none"/>
        </w:rPr>
      </w:pPr>
      <w:bookmarkStart w:id="100" w:name="_Toc102997588"/>
      <w:bookmarkStart w:id="101" w:name="_Toc529196537"/>
      <w:bookmarkStart w:id="102" w:name="_Toc515205210"/>
      <w:r>
        <w:rPr>
          <w:rFonts w:hint="eastAsia" w:ascii="宋体" w:hAnsi="宋体" w:cs="宋体"/>
          <w:highlight w:val="none"/>
        </w:rPr>
        <w:t>2.</w:t>
      </w:r>
      <w:bookmarkEnd w:id="89"/>
      <w:bookmarkEnd w:id="90"/>
      <w:bookmarkEnd w:id="91"/>
      <w:bookmarkEnd w:id="92"/>
      <w:bookmarkEnd w:id="93"/>
      <w:bookmarkEnd w:id="94"/>
      <w:bookmarkEnd w:id="95"/>
      <w:bookmarkEnd w:id="96"/>
      <w:bookmarkEnd w:id="97"/>
      <w:bookmarkEnd w:id="98"/>
      <w:bookmarkEnd w:id="99"/>
      <w:r>
        <w:rPr>
          <w:rFonts w:hint="eastAsia" w:ascii="宋体" w:hAnsi="宋体" w:cs="宋体"/>
          <w:highlight w:val="none"/>
        </w:rPr>
        <w:t>4 招标文件的异议</w:t>
      </w:r>
      <w:bookmarkEnd w:id="100"/>
      <w:bookmarkEnd w:id="101"/>
      <w:bookmarkEnd w:id="102"/>
    </w:p>
    <w:p w14:paraId="40900915">
      <w:pPr>
        <w:spacing w:line="360" w:lineRule="auto"/>
        <w:rPr>
          <w:rFonts w:hint="eastAsia" w:ascii="宋体" w:hAnsi="宋体" w:cs="宋体"/>
          <w:sz w:val="24"/>
          <w:highlight w:val="none"/>
        </w:rPr>
      </w:pPr>
      <w:r>
        <w:rPr>
          <w:rFonts w:hint="eastAsia" w:ascii="宋体" w:hAnsi="宋体" w:cs="宋体"/>
          <w:sz w:val="24"/>
          <w:highlight w:val="none"/>
        </w:rPr>
        <w:t>投标人或者其他利害关系人对招标文件有异议的，应当在投标截止时间10日前以书面形式提出。招标人将在收到异议之日起3日内作出答复；作出答复前，将暂停招标投标活动。</w:t>
      </w:r>
    </w:p>
    <w:p w14:paraId="74BD9412">
      <w:pPr>
        <w:pStyle w:val="3"/>
        <w:spacing w:before="0" w:after="0" w:line="360" w:lineRule="auto"/>
        <w:rPr>
          <w:rFonts w:hint="eastAsia" w:ascii="宋体" w:hAnsi="宋体" w:cs="宋体"/>
          <w:highlight w:val="none"/>
        </w:rPr>
      </w:pPr>
      <w:bookmarkStart w:id="103" w:name="_Toc529196538"/>
      <w:bookmarkStart w:id="104" w:name="_Toc102997589"/>
      <w:bookmarkStart w:id="105" w:name="_Toc515205211"/>
      <w:r>
        <w:rPr>
          <w:rFonts w:hint="eastAsia" w:ascii="宋体" w:hAnsi="宋体" w:cs="宋体"/>
          <w:highlight w:val="none"/>
        </w:rPr>
        <w:t>3. 投标文件</w:t>
      </w:r>
      <w:bookmarkEnd w:id="103"/>
      <w:bookmarkEnd w:id="104"/>
      <w:bookmarkEnd w:id="105"/>
    </w:p>
    <w:p w14:paraId="7C80BFD5">
      <w:pPr>
        <w:pStyle w:val="3"/>
        <w:spacing w:before="0" w:after="0" w:line="360" w:lineRule="auto"/>
        <w:rPr>
          <w:rFonts w:hint="eastAsia" w:ascii="宋体" w:hAnsi="宋体" w:cs="宋体"/>
          <w:sz w:val="28"/>
          <w:highlight w:val="none"/>
        </w:rPr>
      </w:pPr>
      <w:bookmarkStart w:id="106" w:name="_Toc515205212"/>
      <w:bookmarkStart w:id="107" w:name="_Toc529196539"/>
      <w:bookmarkStart w:id="108" w:name="_Toc102997590"/>
      <w:r>
        <w:rPr>
          <w:rFonts w:hint="eastAsia" w:ascii="宋体" w:hAnsi="宋体" w:cs="宋体"/>
          <w:sz w:val="28"/>
          <w:highlight w:val="none"/>
        </w:rPr>
        <w:t>3.1 投标文件的组成</w:t>
      </w:r>
      <w:bookmarkEnd w:id="106"/>
      <w:bookmarkEnd w:id="107"/>
      <w:bookmarkEnd w:id="108"/>
    </w:p>
    <w:p w14:paraId="06340802">
      <w:pPr>
        <w:spacing w:line="360" w:lineRule="auto"/>
        <w:rPr>
          <w:rFonts w:hint="eastAsia" w:ascii="宋体" w:hAnsi="宋体" w:cs="宋体"/>
          <w:sz w:val="24"/>
          <w:highlight w:val="none"/>
          <w:u w:val="single"/>
        </w:rPr>
      </w:pPr>
      <w:r>
        <w:rPr>
          <w:rFonts w:hint="eastAsia" w:ascii="宋体" w:hAnsi="宋体" w:cs="宋体"/>
          <w:sz w:val="24"/>
          <w:highlight w:val="none"/>
        </w:rPr>
        <w:t>　　3.1.1 投标文件应包括下列内容：</w:t>
      </w:r>
    </w:p>
    <w:p w14:paraId="742A8195">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（1）投标函及其附录；</w:t>
      </w:r>
    </w:p>
    <w:p w14:paraId="284AF167">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（2）法定代表人身份证明或授权委托书；</w:t>
      </w:r>
    </w:p>
    <w:p w14:paraId="11C661AE">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（3）投标报价表；</w:t>
      </w:r>
    </w:p>
    <w:p w14:paraId="345EEBDE">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（4）资格审查资料；</w:t>
      </w:r>
    </w:p>
    <w:p w14:paraId="2EF63160">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（5）技术部分资料；</w:t>
      </w:r>
    </w:p>
    <w:p w14:paraId="53C9C88F">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u w:val="single"/>
        </w:rPr>
        <w:t>（6）商务部分资料；</w:t>
      </w:r>
    </w:p>
    <w:p w14:paraId="6DE12E0C">
      <w:pPr>
        <w:spacing w:line="360" w:lineRule="auto"/>
        <w:rPr>
          <w:rFonts w:hint="eastAsia" w:ascii="宋体" w:hAnsi="宋体" w:cs="宋体"/>
          <w:sz w:val="24"/>
          <w:szCs w:val="24"/>
          <w:highlight w:val="none"/>
        </w:rPr>
      </w:pPr>
      <w:r>
        <w:rPr>
          <w:rFonts w:hint="eastAsia" w:ascii="宋体" w:hAnsi="宋体" w:cs="宋体"/>
          <w:sz w:val="24"/>
          <w:szCs w:val="24"/>
          <w:highlight w:val="none"/>
          <w:u w:val="single"/>
        </w:rPr>
        <w:t>（7）其他资料（投标人认为需提交的其他资料）。</w:t>
      </w:r>
    </w:p>
    <w:p w14:paraId="76D05BB2">
      <w:pPr>
        <w:spacing w:line="360" w:lineRule="auto"/>
        <w:rPr>
          <w:rFonts w:hint="eastAsia" w:ascii="宋体" w:hAnsi="宋体" w:cs="宋体"/>
          <w:dstrike/>
          <w:sz w:val="24"/>
          <w:highlight w:val="none"/>
        </w:rPr>
      </w:pPr>
      <w:r>
        <w:rPr>
          <w:rFonts w:hint="eastAsia" w:ascii="宋体" w:hAnsi="宋体" w:cs="宋体"/>
          <w:sz w:val="24"/>
          <w:szCs w:val="24"/>
          <w:highlight w:val="none"/>
        </w:rPr>
        <w:t>投标人在评标过程中作出的符合法律法规和招标文件规定的澄清确认，构成投标文件的组成部分。</w:t>
      </w:r>
    </w:p>
    <w:p w14:paraId="3443760E">
      <w:pPr>
        <w:pStyle w:val="3"/>
        <w:spacing w:before="0" w:after="0" w:line="360" w:lineRule="auto"/>
        <w:rPr>
          <w:rFonts w:hint="eastAsia" w:ascii="宋体" w:hAnsi="宋体" w:cs="宋体"/>
          <w:sz w:val="28"/>
          <w:szCs w:val="24"/>
          <w:highlight w:val="none"/>
        </w:rPr>
      </w:pPr>
      <w:bookmarkStart w:id="109" w:name="_Toc515205213"/>
      <w:bookmarkStart w:id="110" w:name="_Toc514876754"/>
      <w:bookmarkStart w:id="111" w:name="_Toc529196540"/>
      <w:bookmarkStart w:id="112" w:name="_Toc102997591"/>
      <w:r>
        <w:rPr>
          <w:rFonts w:hint="eastAsia" w:ascii="宋体" w:hAnsi="宋体" w:cs="宋体"/>
          <w:sz w:val="28"/>
          <w:szCs w:val="24"/>
          <w:highlight w:val="none"/>
        </w:rPr>
        <w:t>3.2 投标报价</w:t>
      </w:r>
      <w:bookmarkEnd w:id="109"/>
      <w:bookmarkEnd w:id="110"/>
      <w:bookmarkEnd w:id="111"/>
      <w:bookmarkEnd w:id="112"/>
    </w:p>
    <w:p w14:paraId="54FC6CF6">
      <w:pPr>
        <w:spacing w:line="360" w:lineRule="auto"/>
        <w:rPr>
          <w:rFonts w:hint="eastAsia" w:ascii="宋体" w:hAnsi="宋体" w:cs="宋体"/>
          <w:sz w:val="24"/>
          <w:highlight w:val="none"/>
        </w:rPr>
      </w:pPr>
      <w:r>
        <w:rPr>
          <w:rFonts w:hint="eastAsia" w:ascii="宋体" w:hAnsi="宋体" w:cs="宋体"/>
          <w:sz w:val="24"/>
          <w:highlight w:val="none"/>
        </w:rPr>
        <w:t>3.2.1 投标报价应包括国家规定的增值税税金，除投标人须知前附表另有规定外，增值税税金按一般计税方法计算。投标人应按第六章“投标文件格式”的要求在投标函中进行报价并填写投标报价表。</w:t>
      </w:r>
    </w:p>
    <w:p w14:paraId="64B3E12E">
      <w:pPr>
        <w:spacing w:line="360" w:lineRule="auto"/>
        <w:rPr>
          <w:rFonts w:hint="eastAsia" w:ascii="宋体" w:hAnsi="宋体" w:cs="宋体"/>
          <w:sz w:val="24"/>
          <w:highlight w:val="none"/>
        </w:rPr>
      </w:pPr>
      <w:r>
        <w:rPr>
          <w:rFonts w:hint="eastAsia" w:ascii="宋体" w:hAnsi="宋体" w:cs="宋体"/>
          <w:sz w:val="24"/>
          <w:highlight w:val="none"/>
        </w:rPr>
        <w:t>3.2.2 投标人应充分了解该项目的总体情况以及影响投标报价的其他要素。</w:t>
      </w:r>
    </w:p>
    <w:p w14:paraId="188DFA5A">
      <w:pPr>
        <w:spacing w:line="360" w:lineRule="auto"/>
        <w:rPr>
          <w:rFonts w:hint="eastAsia" w:ascii="宋体" w:hAnsi="宋体" w:cs="宋体"/>
          <w:sz w:val="24"/>
          <w:highlight w:val="none"/>
        </w:rPr>
      </w:pPr>
      <w:r>
        <w:rPr>
          <w:rFonts w:hint="eastAsia" w:ascii="宋体" w:hAnsi="宋体" w:cs="宋体"/>
          <w:sz w:val="24"/>
          <w:highlight w:val="none"/>
        </w:rPr>
        <w:t>3.2.3本项目的报价方式见投标人须知前附表。投标人在投标截止时间前修改投标函中的投标报价总额，应同时修改投标文件“报价表”中的相应报价。此修改须符合本章第4.3款的有关要求。</w:t>
      </w:r>
    </w:p>
    <w:p w14:paraId="1E4CC015">
      <w:pPr>
        <w:spacing w:line="360" w:lineRule="auto"/>
        <w:rPr>
          <w:rFonts w:hint="eastAsia" w:ascii="宋体" w:hAnsi="宋体" w:cs="宋体"/>
          <w:sz w:val="24"/>
          <w:highlight w:val="none"/>
        </w:rPr>
      </w:pPr>
      <w:r>
        <w:rPr>
          <w:rFonts w:hint="eastAsia" w:ascii="宋体" w:hAnsi="宋体" w:cs="宋体"/>
          <w:sz w:val="24"/>
          <w:highlight w:val="none"/>
        </w:rPr>
        <w:t>3.2.4．招标人设有最高投标限价的，投标人的投标报价不得超过最高投标限价，最高投标限价在投标人须知前附表中载明。</w:t>
      </w:r>
    </w:p>
    <w:p w14:paraId="6DA92D64">
      <w:pPr>
        <w:spacing w:line="360" w:lineRule="auto"/>
        <w:rPr>
          <w:rFonts w:hint="eastAsia" w:ascii="宋体" w:hAnsi="宋体" w:cs="宋体"/>
          <w:sz w:val="24"/>
          <w:highlight w:val="none"/>
        </w:rPr>
      </w:pPr>
      <w:r>
        <w:rPr>
          <w:rFonts w:hint="eastAsia" w:ascii="宋体" w:hAnsi="宋体" w:cs="宋体"/>
          <w:sz w:val="24"/>
          <w:highlight w:val="none"/>
        </w:rPr>
        <w:t>3.2.5 投标报价的其他要求见投标人须知前附表3.2.5。</w:t>
      </w:r>
    </w:p>
    <w:p w14:paraId="1177F920">
      <w:pPr>
        <w:pStyle w:val="3"/>
        <w:spacing w:before="0" w:after="0" w:line="360" w:lineRule="auto"/>
        <w:rPr>
          <w:rFonts w:hint="eastAsia" w:ascii="宋体" w:hAnsi="宋体" w:cs="宋体"/>
          <w:sz w:val="28"/>
          <w:szCs w:val="24"/>
          <w:highlight w:val="none"/>
        </w:rPr>
      </w:pPr>
      <w:bookmarkStart w:id="113" w:name="_Toc102997592"/>
      <w:bookmarkStart w:id="114" w:name="_Toc529196541"/>
      <w:bookmarkStart w:id="115" w:name="_Toc515205214"/>
      <w:r>
        <w:rPr>
          <w:rFonts w:hint="eastAsia" w:ascii="宋体" w:hAnsi="宋体" w:cs="宋体"/>
          <w:sz w:val="28"/>
          <w:szCs w:val="24"/>
          <w:highlight w:val="none"/>
        </w:rPr>
        <w:t>3.3 投标有效期</w:t>
      </w:r>
      <w:bookmarkEnd w:id="113"/>
      <w:bookmarkEnd w:id="114"/>
      <w:bookmarkEnd w:id="115"/>
    </w:p>
    <w:p w14:paraId="642FD6C7">
      <w:pPr>
        <w:spacing w:line="360" w:lineRule="auto"/>
        <w:rPr>
          <w:rFonts w:hint="eastAsia" w:ascii="宋体" w:hAnsi="宋体" w:cs="宋体"/>
          <w:sz w:val="24"/>
          <w:highlight w:val="none"/>
        </w:rPr>
      </w:pPr>
      <w:r>
        <w:rPr>
          <w:rFonts w:hint="eastAsia" w:ascii="宋体" w:hAnsi="宋体" w:cs="宋体"/>
          <w:sz w:val="24"/>
          <w:highlight w:val="none"/>
        </w:rPr>
        <w:t>3.3.1 除投标人须知前附表另有规定外，投标有效期为90天。</w:t>
      </w:r>
    </w:p>
    <w:p w14:paraId="279CDE89">
      <w:pPr>
        <w:spacing w:line="360" w:lineRule="auto"/>
        <w:rPr>
          <w:rFonts w:hint="eastAsia" w:ascii="宋体" w:hAnsi="宋体" w:cs="宋体"/>
          <w:sz w:val="24"/>
          <w:highlight w:val="none"/>
        </w:rPr>
      </w:pPr>
      <w:r>
        <w:rPr>
          <w:rFonts w:hint="eastAsia" w:ascii="宋体" w:hAnsi="宋体" w:cs="宋体"/>
          <w:sz w:val="24"/>
          <w:highlight w:val="none"/>
        </w:rPr>
        <w:t>3.3.2 在投标有效期内，投标人撤销投标文件的，应承担招标文件和法律规定的责任。</w:t>
      </w:r>
    </w:p>
    <w:p w14:paraId="1313B958">
      <w:pPr>
        <w:spacing w:line="360" w:lineRule="auto"/>
        <w:rPr>
          <w:rFonts w:hint="eastAsia" w:ascii="宋体" w:hAnsi="宋体" w:cs="宋体"/>
          <w:sz w:val="24"/>
          <w:highlight w:val="none"/>
        </w:rPr>
      </w:pPr>
      <w:r>
        <w:rPr>
          <w:rFonts w:hint="eastAsia" w:ascii="宋体" w:hAnsi="宋体" w:cs="宋体"/>
          <w:sz w:val="24"/>
          <w:highlight w:val="none"/>
        </w:rPr>
        <w:t>3.3.3 出现特殊情况需要延长投标有效期的，招标人以书面形式通知所有投标人延长投标有效期。投标人应予以书面答复，但不得要求或被允许修改其投标文件；投标人拒绝延长的，其投标失效。</w:t>
      </w:r>
    </w:p>
    <w:p w14:paraId="082868A0">
      <w:pPr>
        <w:pStyle w:val="3"/>
        <w:spacing w:before="0" w:after="0" w:line="360" w:lineRule="auto"/>
        <w:rPr>
          <w:rFonts w:hint="eastAsia" w:ascii="宋体" w:hAnsi="宋体" w:cs="宋体"/>
          <w:highlight w:val="none"/>
          <w:u w:val="single"/>
        </w:rPr>
      </w:pPr>
      <w:bookmarkStart w:id="116" w:name="_Toc529196542"/>
      <w:bookmarkStart w:id="117" w:name="_Toc515205215"/>
      <w:bookmarkStart w:id="118" w:name="_Toc102997593"/>
      <w:r>
        <w:rPr>
          <w:rFonts w:hint="eastAsia" w:ascii="宋体" w:hAnsi="宋体" w:cs="宋体"/>
          <w:highlight w:val="none"/>
        </w:rPr>
        <w:t>3.4 投标保证金</w:t>
      </w:r>
      <w:bookmarkEnd w:id="116"/>
      <w:bookmarkEnd w:id="117"/>
      <w:r>
        <w:rPr>
          <w:rFonts w:hint="eastAsia" w:ascii="宋体" w:hAnsi="宋体" w:cs="宋体"/>
          <w:highlight w:val="none"/>
          <w:u w:val="single"/>
        </w:rPr>
        <w:t>（本项目不适用）</w:t>
      </w:r>
      <w:bookmarkEnd w:id="118"/>
    </w:p>
    <w:p w14:paraId="5A531437">
      <w:pPr>
        <w:spacing w:line="360" w:lineRule="auto"/>
        <w:rPr>
          <w:rFonts w:hint="eastAsia" w:ascii="宋体" w:hAnsi="宋体" w:cs="宋体"/>
          <w:sz w:val="24"/>
          <w:highlight w:val="none"/>
        </w:rPr>
      </w:pPr>
      <w:r>
        <w:rPr>
          <w:rFonts w:hint="eastAsia" w:ascii="宋体" w:hAnsi="宋体" w:cs="宋体"/>
          <w:sz w:val="24"/>
          <w:highlight w:val="none"/>
        </w:rPr>
        <w:t>3.4.1 投标人在递交投标文件的同时，应按投标人须知前附表规定的金额</w:t>
      </w:r>
      <w:bookmarkStart w:id="119" w:name="_Toc300834966"/>
      <w:bookmarkStart w:id="120" w:name="_Toc144974513"/>
      <w:bookmarkStart w:id="121" w:name="_Toc4592"/>
      <w:bookmarkStart w:id="122" w:name="_Toc352691489"/>
      <w:bookmarkStart w:id="123" w:name="_Toc361508601"/>
      <w:bookmarkStart w:id="124" w:name="_Toc369531532"/>
      <w:bookmarkStart w:id="125" w:name="_Toc152045545"/>
      <w:bookmarkStart w:id="126" w:name="_Toc384308226"/>
      <w:bookmarkStart w:id="127" w:name="_Toc152042321"/>
      <w:bookmarkStart w:id="128" w:name="_Toc247513969"/>
      <w:bookmarkStart w:id="129" w:name="_Toc247527570"/>
      <w:r>
        <w:rPr>
          <w:rFonts w:hint="eastAsia" w:ascii="宋体" w:hAnsi="宋体" w:cs="宋体"/>
          <w:sz w:val="24"/>
          <w:highlight w:val="none"/>
        </w:rPr>
        <w:t>、形式和第六章“投标文</w:t>
      </w:r>
      <w:bookmarkEnd w:id="119"/>
      <w:bookmarkEnd w:id="120"/>
      <w:bookmarkEnd w:id="121"/>
      <w:bookmarkEnd w:id="122"/>
      <w:bookmarkEnd w:id="123"/>
      <w:bookmarkEnd w:id="124"/>
      <w:bookmarkEnd w:id="125"/>
      <w:bookmarkEnd w:id="126"/>
      <w:bookmarkEnd w:id="127"/>
      <w:bookmarkEnd w:id="128"/>
      <w:bookmarkEnd w:id="129"/>
      <w:r>
        <w:rPr>
          <w:rFonts w:hint="eastAsia" w:ascii="宋体" w:hAnsi="宋体" w:cs="宋体"/>
          <w:sz w:val="24"/>
          <w:highlight w:val="none"/>
        </w:rPr>
        <w:t>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112FFCB8">
      <w:pPr>
        <w:spacing w:line="360" w:lineRule="auto"/>
        <w:jc w:val="left"/>
        <w:rPr>
          <w:rFonts w:hint="eastAsia" w:ascii="宋体" w:hAnsi="宋体" w:cs="宋体"/>
          <w:sz w:val="24"/>
          <w:highlight w:val="none"/>
        </w:rPr>
      </w:pPr>
      <w:r>
        <w:rPr>
          <w:rFonts w:hint="eastAsia" w:ascii="宋体" w:hAnsi="宋体" w:cs="宋体"/>
          <w:sz w:val="24"/>
          <w:highlight w:val="none"/>
        </w:rPr>
        <w:t>3.4.2 投标人不按本章第3.4.1项</w:t>
      </w:r>
      <w:bookmarkStart w:id="130" w:name="_Toc369531533"/>
      <w:bookmarkStart w:id="131" w:name="_Toc384308227"/>
      <w:bookmarkStart w:id="132" w:name="_Toc352691490"/>
      <w:bookmarkStart w:id="133" w:name="_Toc29025"/>
      <w:bookmarkStart w:id="134" w:name="_Toc361508602"/>
      <w:r>
        <w:rPr>
          <w:rFonts w:hint="eastAsia" w:ascii="宋体" w:hAnsi="宋体" w:cs="宋体"/>
          <w:sz w:val="24"/>
          <w:highlight w:val="none"/>
        </w:rPr>
        <w:t>要求提交投标保证金的，</w:t>
      </w:r>
      <w:bookmarkEnd w:id="130"/>
      <w:bookmarkEnd w:id="131"/>
      <w:bookmarkEnd w:id="132"/>
      <w:bookmarkEnd w:id="133"/>
      <w:bookmarkEnd w:id="134"/>
      <w:r>
        <w:rPr>
          <w:rFonts w:hint="eastAsia" w:ascii="宋体" w:hAnsi="宋体" w:cs="宋体"/>
          <w:sz w:val="24"/>
          <w:highlight w:val="none"/>
        </w:rPr>
        <w:t>评标委员会将否决其投标。</w:t>
      </w:r>
    </w:p>
    <w:p w14:paraId="706908CD">
      <w:pPr>
        <w:spacing w:line="360" w:lineRule="auto"/>
        <w:rPr>
          <w:rFonts w:hint="eastAsia" w:ascii="宋体" w:hAnsi="宋体" w:cs="宋体"/>
          <w:sz w:val="24"/>
          <w:highlight w:val="none"/>
        </w:rPr>
      </w:pPr>
      <w:r>
        <w:rPr>
          <w:rFonts w:hint="eastAsia" w:ascii="宋体" w:hAnsi="宋体" w:cs="宋体"/>
          <w:sz w:val="24"/>
          <w:highlight w:val="none"/>
        </w:rPr>
        <w:t>3.4.3 招标人最迟将在与中标人</w:t>
      </w:r>
      <w:bookmarkStart w:id="135" w:name="_Toc369531534"/>
      <w:bookmarkStart w:id="136" w:name="_Toc144974514"/>
      <w:bookmarkStart w:id="137" w:name="_Toc361508603"/>
      <w:bookmarkStart w:id="138" w:name="_Toc247527571"/>
      <w:bookmarkStart w:id="139" w:name="_Toc152042322"/>
      <w:bookmarkStart w:id="140" w:name="_Toc14751"/>
      <w:bookmarkStart w:id="141" w:name="_Toc384308228"/>
      <w:bookmarkStart w:id="142" w:name="_Toc352691491"/>
      <w:bookmarkStart w:id="143" w:name="_Toc300834967"/>
      <w:bookmarkStart w:id="144" w:name="_Toc152045546"/>
      <w:bookmarkStart w:id="145" w:name="_Toc247513970"/>
      <w:r>
        <w:rPr>
          <w:rFonts w:hint="eastAsia" w:ascii="宋体" w:hAnsi="宋体" w:cs="宋体"/>
          <w:sz w:val="24"/>
          <w:highlight w:val="none"/>
        </w:rPr>
        <w:t>签订合同后5日</w:t>
      </w:r>
      <w:bookmarkEnd w:id="135"/>
      <w:bookmarkEnd w:id="136"/>
      <w:bookmarkEnd w:id="137"/>
      <w:bookmarkEnd w:id="138"/>
      <w:bookmarkEnd w:id="139"/>
      <w:bookmarkEnd w:id="140"/>
      <w:bookmarkEnd w:id="141"/>
      <w:bookmarkEnd w:id="142"/>
      <w:bookmarkEnd w:id="143"/>
      <w:bookmarkEnd w:id="144"/>
      <w:bookmarkEnd w:id="145"/>
      <w:r>
        <w:rPr>
          <w:rFonts w:hint="eastAsia" w:ascii="宋体" w:hAnsi="宋体" w:cs="宋体"/>
          <w:sz w:val="24"/>
          <w:highlight w:val="none"/>
        </w:rPr>
        <w:t>内</w:t>
      </w:r>
      <w:bookmarkStart w:id="146" w:name="_Toc152042323"/>
      <w:bookmarkStart w:id="147" w:name="_Toc247513971"/>
      <w:bookmarkStart w:id="148" w:name="_Toc247527572"/>
      <w:bookmarkStart w:id="149" w:name="_Toc152045547"/>
      <w:bookmarkStart w:id="150" w:name="_Toc17952"/>
      <w:bookmarkStart w:id="151" w:name="_Toc300834968"/>
      <w:bookmarkStart w:id="152" w:name="_Toc369531535"/>
      <w:bookmarkStart w:id="153" w:name="_Toc352691492"/>
      <w:bookmarkStart w:id="154" w:name="_Toc361508604"/>
      <w:bookmarkStart w:id="155" w:name="_Toc144974515"/>
      <w:bookmarkStart w:id="156" w:name="_Toc384308229"/>
      <w:r>
        <w:rPr>
          <w:rFonts w:hint="eastAsia" w:ascii="宋体" w:hAnsi="宋体" w:cs="宋体"/>
          <w:sz w:val="24"/>
          <w:highlight w:val="none"/>
        </w:rPr>
        <w:t>，向未中标的投标人和中</w:t>
      </w:r>
      <w:bookmarkEnd w:id="146"/>
      <w:bookmarkEnd w:id="147"/>
      <w:bookmarkEnd w:id="148"/>
      <w:bookmarkEnd w:id="149"/>
      <w:bookmarkEnd w:id="150"/>
      <w:bookmarkEnd w:id="151"/>
      <w:bookmarkEnd w:id="152"/>
      <w:bookmarkEnd w:id="153"/>
      <w:bookmarkEnd w:id="154"/>
      <w:bookmarkEnd w:id="155"/>
      <w:bookmarkEnd w:id="156"/>
      <w:r>
        <w:rPr>
          <w:rFonts w:hint="eastAsia" w:ascii="宋体" w:hAnsi="宋体" w:cs="宋体"/>
          <w:sz w:val="24"/>
          <w:highlight w:val="none"/>
        </w:rPr>
        <w:t>标人退还投标保证金。投标保证金以现金或者支票形式递交的，还应退还银行同期存款利息。</w:t>
      </w:r>
    </w:p>
    <w:p w14:paraId="51061D80">
      <w:pPr>
        <w:spacing w:line="360" w:lineRule="auto"/>
        <w:rPr>
          <w:rFonts w:hint="eastAsia" w:ascii="宋体" w:hAnsi="宋体" w:cs="宋体"/>
          <w:sz w:val="24"/>
          <w:highlight w:val="none"/>
        </w:rPr>
      </w:pPr>
      <w:r>
        <w:rPr>
          <w:rFonts w:hint="eastAsia" w:ascii="宋体" w:hAnsi="宋体" w:cs="宋体"/>
          <w:sz w:val="24"/>
          <w:highlight w:val="none"/>
        </w:rPr>
        <w:t>3.4.4 有下列情形之一的，投标保证金将不予退还：</w:t>
      </w:r>
    </w:p>
    <w:p w14:paraId="498677F9">
      <w:pPr>
        <w:spacing w:line="360" w:lineRule="auto"/>
        <w:rPr>
          <w:rFonts w:hint="eastAsia" w:ascii="宋体" w:hAnsi="宋体" w:cs="宋体"/>
          <w:sz w:val="24"/>
          <w:highlight w:val="none"/>
        </w:rPr>
      </w:pPr>
      <w:r>
        <w:rPr>
          <w:rFonts w:hint="eastAsia" w:ascii="宋体" w:hAnsi="宋体" w:cs="宋体"/>
          <w:sz w:val="24"/>
          <w:highlight w:val="none"/>
        </w:rPr>
        <w:t>（1）投标人在投标有效期内撤销投标文件；</w:t>
      </w:r>
    </w:p>
    <w:p w14:paraId="39C57DCB">
      <w:pPr>
        <w:spacing w:line="360" w:lineRule="auto"/>
        <w:rPr>
          <w:rFonts w:hint="eastAsia" w:ascii="宋体" w:hAnsi="宋体" w:cs="宋体"/>
          <w:sz w:val="24"/>
          <w:highlight w:val="none"/>
        </w:rPr>
      </w:pPr>
      <w:r>
        <w:rPr>
          <w:rFonts w:hint="eastAsia" w:ascii="宋体" w:hAnsi="宋体" w:cs="宋体"/>
          <w:sz w:val="24"/>
          <w:highlight w:val="none"/>
        </w:rPr>
        <w:t>（2）中标人在收到中标通知书后，无正当理由不与招标人订立合同，在签订合同时向招标人提出附加条件，或者不按照招标文件要求提交履约保证金；</w:t>
      </w:r>
    </w:p>
    <w:p w14:paraId="06949F72">
      <w:pPr>
        <w:spacing w:line="360" w:lineRule="auto"/>
        <w:rPr>
          <w:rFonts w:hint="eastAsia" w:ascii="宋体" w:hAnsi="宋体" w:cs="宋体"/>
          <w:sz w:val="24"/>
          <w:highlight w:val="none"/>
        </w:rPr>
      </w:pPr>
      <w:r>
        <w:rPr>
          <w:rFonts w:hint="eastAsia" w:ascii="宋体" w:hAnsi="宋体" w:cs="宋体"/>
          <w:sz w:val="24"/>
          <w:highlight w:val="none"/>
        </w:rPr>
        <w:t>（3）发生投标人须知前附表规定的其他可以不予退还投标保证金的情形。</w:t>
      </w:r>
    </w:p>
    <w:p w14:paraId="69B4C0E5">
      <w:pPr>
        <w:pStyle w:val="3"/>
        <w:spacing w:before="0" w:after="0" w:line="360" w:lineRule="auto"/>
        <w:rPr>
          <w:rFonts w:hint="eastAsia" w:ascii="宋体" w:hAnsi="宋体" w:cs="宋体"/>
          <w:highlight w:val="none"/>
        </w:rPr>
      </w:pPr>
      <w:bookmarkStart w:id="157" w:name="_Toc529196544"/>
      <w:bookmarkStart w:id="158" w:name="_Toc102997594"/>
      <w:bookmarkStart w:id="159" w:name="_Toc515205217"/>
      <w:r>
        <w:rPr>
          <w:rFonts w:hint="eastAsia" w:ascii="宋体" w:hAnsi="宋体" w:cs="宋体"/>
          <w:highlight w:val="none"/>
        </w:rPr>
        <w:t>3.5 资格审查资料</w:t>
      </w:r>
      <w:bookmarkEnd w:id="157"/>
      <w:bookmarkEnd w:id="158"/>
      <w:bookmarkEnd w:id="159"/>
      <w:bookmarkStart w:id="160" w:name="_Toc529196545"/>
      <w:bookmarkStart w:id="161" w:name="_Toc515205218"/>
    </w:p>
    <w:p w14:paraId="23EA3F40">
      <w:pPr>
        <w:spacing w:line="360" w:lineRule="auto"/>
        <w:rPr>
          <w:rFonts w:hint="eastAsia" w:ascii="宋体" w:hAnsi="宋体" w:cs="宋体"/>
          <w:sz w:val="24"/>
          <w:highlight w:val="none"/>
          <w:u w:val="single"/>
        </w:rPr>
      </w:pPr>
      <w:r>
        <w:rPr>
          <w:rFonts w:hint="eastAsia" w:ascii="宋体" w:hAnsi="宋体" w:cs="宋体"/>
          <w:sz w:val="24"/>
          <w:highlight w:val="none"/>
          <w:u w:val="single"/>
        </w:rPr>
        <w:t>3.5.1</w:t>
      </w:r>
      <w:r>
        <w:rPr>
          <w:rFonts w:hint="eastAsia" w:ascii="宋体" w:hAnsi="宋体" w:cs="宋体"/>
          <w:sz w:val="24"/>
          <w:szCs w:val="24"/>
          <w:highlight w:val="none"/>
          <w:u w:val="single"/>
        </w:rPr>
        <w:t>事业单位登记管理部门核发的有效的事业单位法人证书或工商行政管理部门核发的有效的企业法人营业执照</w:t>
      </w:r>
      <w:r>
        <w:rPr>
          <w:rFonts w:hint="eastAsia" w:ascii="宋体" w:hAnsi="宋体" w:cs="宋体"/>
          <w:sz w:val="24"/>
          <w:highlight w:val="none"/>
          <w:u w:val="single"/>
        </w:rPr>
        <w:t>；</w:t>
      </w:r>
    </w:p>
    <w:p w14:paraId="73CF2AF6">
      <w:pPr>
        <w:spacing w:line="360" w:lineRule="auto"/>
        <w:rPr>
          <w:rFonts w:hint="eastAsia" w:ascii="宋体" w:hAnsi="宋体" w:cs="宋体"/>
          <w:sz w:val="24"/>
          <w:highlight w:val="none"/>
          <w:u w:val="single"/>
        </w:rPr>
      </w:pPr>
      <w:r>
        <w:rPr>
          <w:rFonts w:hint="eastAsia" w:ascii="宋体" w:hAnsi="宋体" w:cs="宋体"/>
          <w:sz w:val="24"/>
          <w:highlight w:val="none"/>
          <w:u w:val="single"/>
        </w:rPr>
        <w:t>3.5.2</w:t>
      </w:r>
      <w:r>
        <w:rPr>
          <w:rFonts w:hint="eastAsia" w:asciiTheme="minorEastAsia" w:hAnsiTheme="minorEastAsia" w:eastAsiaTheme="minorEastAsia" w:cstheme="minorEastAsia"/>
          <w:sz w:val="24"/>
          <w:szCs w:val="24"/>
          <w:highlight w:val="none"/>
          <w:u w:val="single"/>
        </w:rPr>
        <w:t>企业</w:t>
      </w:r>
      <w:r>
        <w:rPr>
          <w:rFonts w:hint="eastAsia" w:ascii="宋体" w:hAnsi="宋体" w:cs="宋体"/>
          <w:sz w:val="24"/>
          <w:highlight w:val="none"/>
          <w:u w:val="single"/>
        </w:rPr>
        <w:t>资质证书；</w:t>
      </w:r>
    </w:p>
    <w:p w14:paraId="7F4D89CC">
      <w:pPr>
        <w:spacing w:line="360" w:lineRule="auto"/>
        <w:rPr>
          <w:rFonts w:hint="eastAsia" w:ascii="宋体" w:hAnsi="宋体" w:cs="宋体"/>
          <w:sz w:val="24"/>
          <w:highlight w:val="none"/>
          <w:u w:val="single"/>
        </w:rPr>
      </w:pPr>
      <w:r>
        <w:rPr>
          <w:rFonts w:hint="eastAsia" w:ascii="宋体" w:hAnsi="宋体" w:cs="宋体"/>
          <w:sz w:val="24"/>
          <w:highlight w:val="none"/>
          <w:u w:val="single"/>
        </w:rPr>
        <w:t>3.5.3</w:t>
      </w:r>
      <w:r>
        <w:rPr>
          <w:rFonts w:hint="eastAsia" w:asciiTheme="minorEastAsia" w:hAnsiTheme="minorEastAsia" w:eastAsiaTheme="minorEastAsia" w:cstheme="minorEastAsia"/>
          <w:sz w:val="24"/>
          <w:szCs w:val="24"/>
          <w:highlight w:val="none"/>
          <w:u w:val="single"/>
        </w:rPr>
        <w:t>企业</w:t>
      </w:r>
      <w:r>
        <w:rPr>
          <w:rFonts w:hint="eastAsia" w:ascii="宋体" w:hAnsi="宋体" w:cs="宋体"/>
          <w:sz w:val="24"/>
          <w:highlight w:val="none"/>
          <w:u w:val="single"/>
        </w:rPr>
        <w:t>安全生产许可证；</w:t>
      </w:r>
    </w:p>
    <w:p w14:paraId="123676D3">
      <w:pPr>
        <w:spacing w:line="360" w:lineRule="auto"/>
        <w:rPr>
          <w:rFonts w:hint="eastAsia" w:ascii="宋体" w:hAnsi="宋体" w:cs="宋体"/>
          <w:sz w:val="24"/>
          <w:highlight w:val="none"/>
          <w:u w:val="single"/>
        </w:rPr>
      </w:pPr>
      <w:r>
        <w:rPr>
          <w:rFonts w:hint="eastAsia" w:ascii="宋体" w:hAnsi="宋体" w:cs="宋体"/>
          <w:sz w:val="24"/>
          <w:highlight w:val="none"/>
          <w:u w:val="single"/>
        </w:rPr>
        <w:t>3.5.4项目负责人</w:t>
      </w:r>
      <w:r>
        <w:rPr>
          <w:rFonts w:hint="eastAsia" w:ascii="宋体" w:hAnsi="宋体"/>
          <w:sz w:val="24"/>
          <w:szCs w:val="24"/>
          <w:highlight w:val="none"/>
          <w:u w:val="single"/>
        </w:rPr>
        <w:t>的建造师注册证书，有效期内的安全生产考核合格证（B类）或建筑施工企业项目负责人安全生产考核合格证书</w:t>
      </w:r>
      <w:r>
        <w:rPr>
          <w:rFonts w:hint="eastAsia" w:ascii="宋体" w:hAnsi="宋体" w:cs="宋体"/>
          <w:sz w:val="24"/>
          <w:highlight w:val="none"/>
          <w:u w:val="single"/>
        </w:rPr>
        <w:t>；</w:t>
      </w:r>
    </w:p>
    <w:p w14:paraId="25C253AE">
      <w:pPr>
        <w:pStyle w:val="6"/>
        <w:rPr>
          <w:rFonts w:hint="eastAsia" w:ascii="宋体" w:hAnsi="宋体" w:cs="宋体"/>
          <w:sz w:val="24"/>
          <w:highlight w:val="none"/>
          <w:u w:val="single"/>
        </w:rPr>
      </w:pPr>
      <w:r>
        <w:rPr>
          <w:rFonts w:hint="eastAsia" w:ascii="宋体" w:hAnsi="宋体" w:cs="宋体"/>
          <w:sz w:val="24"/>
          <w:highlight w:val="none"/>
          <w:u w:val="single"/>
        </w:rPr>
        <w:t>3.5.5技术负责人</w:t>
      </w:r>
      <w:r>
        <w:rPr>
          <w:rFonts w:hint="eastAsia" w:ascii="宋体" w:hAnsi="宋体"/>
          <w:sz w:val="24"/>
          <w:szCs w:val="24"/>
          <w:highlight w:val="none"/>
          <w:u w:val="single"/>
        </w:rPr>
        <w:t>的职称证书；</w:t>
      </w:r>
    </w:p>
    <w:p w14:paraId="599CC3CB">
      <w:pPr>
        <w:pStyle w:val="6"/>
        <w:rPr>
          <w:rFonts w:hint="eastAsia" w:ascii="宋体" w:hAnsi="宋体" w:cs="宋体"/>
          <w:sz w:val="24"/>
          <w:highlight w:val="none"/>
          <w:u w:val="single"/>
        </w:rPr>
      </w:pPr>
      <w:r>
        <w:rPr>
          <w:rFonts w:hint="eastAsia" w:ascii="宋体" w:hAnsi="宋体" w:cs="宋体"/>
          <w:sz w:val="24"/>
          <w:highlight w:val="none"/>
          <w:u w:val="single"/>
        </w:rPr>
        <w:t>3.5.6专职安全员</w:t>
      </w:r>
      <w:r>
        <w:rPr>
          <w:rFonts w:hint="eastAsia" w:ascii="宋体" w:hAnsi="宋体"/>
          <w:sz w:val="24"/>
          <w:szCs w:val="24"/>
          <w:highlight w:val="none"/>
          <w:u w:val="single"/>
        </w:rPr>
        <w:t>在有效期内</w:t>
      </w:r>
      <w:r>
        <w:rPr>
          <w:rFonts w:hint="eastAsia" w:ascii="宋体" w:hAnsi="宋体"/>
          <w:bCs/>
          <w:sz w:val="24"/>
          <w:szCs w:val="24"/>
          <w:highlight w:val="none"/>
          <w:u w:val="single"/>
        </w:rPr>
        <w:t>安全生产考核合格证（C类）或建筑施工企业专职安全生产管理人员安全生产考核合格证书（C3类）；</w:t>
      </w:r>
    </w:p>
    <w:p w14:paraId="109A0486">
      <w:pPr>
        <w:spacing w:line="360" w:lineRule="auto"/>
        <w:rPr>
          <w:rFonts w:hint="eastAsia" w:ascii="宋体" w:hAnsi="宋体" w:cs="宋体"/>
          <w:sz w:val="24"/>
          <w:highlight w:val="none"/>
          <w:u w:val="single"/>
        </w:rPr>
      </w:pPr>
      <w:r>
        <w:rPr>
          <w:rFonts w:hint="eastAsia" w:ascii="宋体" w:hAnsi="宋体" w:cs="宋体"/>
          <w:sz w:val="24"/>
          <w:highlight w:val="none"/>
          <w:u w:val="single"/>
        </w:rPr>
        <w:t>3.5.5投标人声明（按招标公告附件一提供）；</w:t>
      </w:r>
    </w:p>
    <w:p w14:paraId="5E8ABD83">
      <w:pPr>
        <w:spacing w:line="360" w:lineRule="auto"/>
        <w:rPr>
          <w:rFonts w:hint="eastAsia" w:ascii="宋体" w:hAnsi="宋体" w:cs="宋体"/>
          <w:sz w:val="24"/>
          <w:highlight w:val="none"/>
          <w:u w:val="single"/>
        </w:rPr>
      </w:pPr>
      <w:r>
        <w:rPr>
          <w:rFonts w:hint="eastAsia" w:ascii="宋体" w:hAnsi="宋体" w:cs="宋体"/>
          <w:sz w:val="24"/>
          <w:highlight w:val="none"/>
          <w:u w:val="single"/>
        </w:rPr>
        <w:t>3.5.6法定代表人证明书，如投标文件为委托代理人签署应同时附上法定代表人证明书和法定代表人授权书；</w:t>
      </w:r>
    </w:p>
    <w:p w14:paraId="440F9AC8">
      <w:pPr>
        <w:spacing w:line="360" w:lineRule="auto"/>
        <w:rPr>
          <w:rFonts w:hint="eastAsia" w:ascii="宋体" w:hAnsi="宋体" w:cs="宋体"/>
          <w:sz w:val="24"/>
          <w:highlight w:val="none"/>
          <w:u w:val="single"/>
        </w:rPr>
      </w:pPr>
      <w:r>
        <w:rPr>
          <w:rFonts w:hint="eastAsia" w:ascii="宋体" w:hAnsi="宋体" w:cs="宋体"/>
          <w:sz w:val="24"/>
          <w:highlight w:val="none"/>
          <w:u w:val="single"/>
        </w:rPr>
        <w:t>3.5.7根据招标公告和招标文件要求，投标人认为需提供的其他材料。</w:t>
      </w:r>
    </w:p>
    <w:p w14:paraId="2261EE01">
      <w:pPr>
        <w:pStyle w:val="3"/>
        <w:spacing w:before="0" w:after="0" w:line="360" w:lineRule="auto"/>
        <w:rPr>
          <w:rFonts w:hint="eastAsia" w:ascii="宋体" w:hAnsi="宋体" w:cs="宋体"/>
          <w:highlight w:val="none"/>
        </w:rPr>
      </w:pPr>
      <w:bookmarkStart w:id="162" w:name="_Toc102997595"/>
      <w:r>
        <w:rPr>
          <w:rFonts w:hint="eastAsia" w:ascii="宋体" w:hAnsi="宋体" w:cs="宋体"/>
          <w:highlight w:val="none"/>
        </w:rPr>
        <w:t>3.6 备选投标方案</w:t>
      </w:r>
      <w:bookmarkEnd w:id="160"/>
      <w:bookmarkEnd w:id="161"/>
      <w:bookmarkEnd w:id="162"/>
    </w:p>
    <w:p w14:paraId="259D15F0">
      <w:pPr>
        <w:spacing w:line="360" w:lineRule="auto"/>
        <w:rPr>
          <w:rFonts w:hint="eastAsia" w:ascii="宋体" w:hAnsi="宋体" w:cs="宋体"/>
          <w:sz w:val="24"/>
          <w:highlight w:val="none"/>
        </w:rPr>
      </w:pPr>
      <w:r>
        <w:rPr>
          <w:rFonts w:hint="eastAsia" w:ascii="宋体" w:hAnsi="宋体" w:cs="宋体"/>
          <w:sz w:val="24"/>
          <w:highlight w:val="none"/>
        </w:rPr>
        <w:t>3.6.1 除投标人须知前附表规定允许外，投标人不得递交备选投标方案，否则其投标将被否决。</w:t>
      </w:r>
    </w:p>
    <w:p w14:paraId="3B24250C">
      <w:pPr>
        <w:spacing w:line="360" w:lineRule="auto"/>
        <w:rPr>
          <w:rFonts w:hint="eastAsia" w:ascii="宋体" w:hAnsi="宋体" w:cs="宋体"/>
          <w:sz w:val="24"/>
          <w:highlight w:val="none"/>
        </w:rPr>
      </w:pPr>
      <w:r>
        <w:rPr>
          <w:rFonts w:hint="eastAsia" w:ascii="宋体" w:hAnsi="宋体" w:cs="宋体"/>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67423BCC">
      <w:pPr>
        <w:spacing w:line="360" w:lineRule="auto"/>
        <w:rPr>
          <w:rFonts w:hint="eastAsia" w:ascii="宋体" w:hAnsi="宋体" w:cs="宋体"/>
          <w:sz w:val="24"/>
          <w:highlight w:val="none"/>
        </w:rPr>
      </w:pPr>
      <w:r>
        <w:rPr>
          <w:rFonts w:hint="eastAsia" w:ascii="宋体" w:hAnsi="宋体" w:cs="宋体"/>
          <w:sz w:val="24"/>
          <w:highlight w:val="none"/>
        </w:rPr>
        <w:t>3.6.3 投标人提供两个或两个以上投标报价，或者在投标文件中提供一个报价，但同时提供两个或两个以上</w:t>
      </w:r>
      <w:bookmarkStart w:id="163" w:name="_Toc361508607"/>
      <w:bookmarkStart w:id="164" w:name="_Toc29902"/>
      <w:bookmarkStart w:id="165" w:name="_Toc384308232"/>
      <w:bookmarkStart w:id="166" w:name="_Toc300834971"/>
      <w:bookmarkStart w:id="167" w:name="_Toc247527575"/>
      <w:bookmarkStart w:id="168" w:name="_Toc152042326"/>
      <w:bookmarkStart w:id="169" w:name="_Toc247513974"/>
      <w:bookmarkStart w:id="170" w:name="_Toc369531538"/>
      <w:bookmarkStart w:id="171" w:name="_Toc152045550"/>
      <w:bookmarkStart w:id="172" w:name="_Toc144974518"/>
      <w:bookmarkStart w:id="173" w:name="_Toc352691495"/>
      <w:r>
        <w:rPr>
          <w:rFonts w:hint="eastAsia" w:ascii="宋体" w:hAnsi="宋体" w:cs="宋体"/>
          <w:sz w:val="24"/>
          <w:highlight w:val="none"/>
        </w:rPr>
        <w:t>服务方案的</w:t>
      </w:r>
      <w:bookmarkEnd w:id="163"/>
      <w:bookmarkEnd w:id="164"/>
      <w:bookmarkEnd w:id="165"/>
      <w:bookmarkEnd w:id="166"/>
      <w:bookmarkEnd w:id="167"/>
      <w:bookmarkEnd w:id="168"/>
      <w:bookmarkEnd w:id="169"/>
      <w:bookmarkEnd w:id="170"/>
      <w:bookmarkEnd w:id="171"/>
      <w:bookmarkEnd w:id="172"/>
      <w:bookmarkEnd w:id="173"/>
      <w:r>
        <w:rPr>
          <w:rFonts w:hint="eastAsia" w:ascii="宋体" w:hAnsi="宋体" w:cs="宋体"/>
          <w:sz w:val="24"/>
          <w:highlight w:val="none"/>
        </w:rPr>
        <w:t>，视为提供备选方案。</w:t>
      </w:r>
    </w:p>
    <w:p w14:paraId="0A296615">
      <w:pPr>
        <w:pStyle w:val="3"/>
        <w:spacing w:before="0" w:after="0" w:line="360" w:lineRule="auto"/>
        <w:rPr>
          <w:rFonts w:hint="eastAsia" w:ascii="宋体" w:hAnsi="宋体" w:cs="宋体"/>
          <w:highlight w:val="none"/>
        </w:rPr>
      </w:pPr>
      <w:bookmarkStart w:id="174" w:name="_Toc102997596"/>
      <w:bookmarkStart w:id="175" w:name="_Toc529196546"/>
      <w:bookmarkStart w:id="176" w:name="_Toc515205219"/>
      <w:r>
        <w:rPr>
          <w:rFonts w:hint="eastAsia" w:ascii="宋体" w:hAnsi="宋体" w:cs="宋体"/>
          <w:highlight w:val="none"/>
        </w:rPr>
        <w:t>3.7 投标文件的编制</w:t>
      </w:r>
      <w:bookmarkEnd w:id="174"/>
      <w:bookmarkEnd w:id="175"/>
      <w:bookmarkEnd w:id="176"/>
    </w:p>
    <w:p w14:paraId="32C77CA4">
      <w:pPr>
        <w:spacing w:line="360" w:lineRule="auto"/>
        <w:rPr>
          <w:rFonts w:hint="eastAsia" w:ascii="宋体" w:hAnsi="宋体" w:cs="宋体"/>
          <w:sz w:val="24"/>
          <w:highlight w:val="none"/>
        </w:rPr>
      </w:pPr>
      <w:r>
        <w:rPr>
          <w:rFonts w:hint="eastAsia" w:ascii="宋体" w:hAnsi="宋体" w:cs="宋体"/>
          <w:sz w:val="24"/>
          <w:highlight w:val="none"/>
        </w:rPr>
        <w:t>3.7.1 投标文件应按第六章“投标文件格式”进行编写，如有必要，可以增加附页，作为投标文件的组成部分。其中，投标函附录在满足招标文件实质性要求的基础上，可以提出比招标文件要求更有利于招标人的承诺。</w:t>
      </w:r>
    </w:p>
    <w:p w14:paraId="0C0143BE">
      <w:pPr>
        <w:spacing w:line="360" w:lineRule="auto"/>
        <w:rPr>
          <w:rFonts w:hint="eastAsia" w:ascii="宋体" w:hAnsi="宋体" w:cs="宋体"/>
          <w:sz w:val="24"/>
          <w:highlight w:val="none"/>
        </w:rPr>
      </w:pPr>
      <w:r>
        <w:rPr>
          <w:rFonts w:hint="eastAsia" w:ascii="宋体" w:hAnsi="宋体" w:cs="宋体"/>
          <w:sz w:val="24"/>
          <w:highlight w:val="none"/>
        </w:rPr>
        <w:t>3.7.2 投标文件应当对招标文件有关服务期限、投标有效期、委托人要求、招标范围等实质性内容作出响应。</w:t>
      </w:r>
    </w:p>
    <w:p w14:paraId="3A462360">
      <w:pPr>
        <w:spacing w:line="360" w:lineRule="auto"/>
        <w:rPr>
          <w:rFonts w:hint="eastAsia" w:ascii="宋体" w:hAnsi="宋体" w:cs="宋体"/>
          <w:sz w:val="24"/>
          <w:highlight w:val="none"/>
        </w:rPr>
      </w:pPr>
      <w:bookmarkStart w:id="177" w:name="_Toc514946914"/>
      <w:r>
        <w:rPr>
          <w:rFonts w:hint="eastAsia" w:ascii="宋体" w:hAnsi="宋体" w:cs="宋体"/>
          <w:sz w:val="24"/>
          <w:highlight w:val="none"/>
        </w:rPr>
        <w:t>3.7.3投标文件全部采用电子文档，除投标人须知前附表另有规定外，投标文件所附证书证件均为扫描件，并采用单位和个人数字证书，对投标文件加盖电子印章。由投标人的法定代表人签字或加盖电子印章的，应附法定代表人身份证明，由代理人签字或加盖电子印章的，应附由法定代表人签署的授权委托书。签字或盖章的具体要求见投标人须知前附表。</w:t>
      </w:r>
      <w:bookmarkEnd w:id="177"/>
    </w:p>
    <w:p w14:paraId="39A76C63">
      <w:pPr>
        <w:pStyle w:val="3"/>
        <w:spacing w:before="0" w:after="0" w:line="360" w:lineRule="auto"/>
        <w:rPr>
          <w:rFonts w:hint="eastAsia" w:ascii="宋体" w:hAnsi="宋体" w:cs="宋体"/>
          <w:highlight w:val="none"/>
        </w:rPr>
      </w:pPr>
      <w:bookmarkStart w:id="178" w:name="_Toc102997597"/>
      <w:bookmarkStart w:id="179" w:name="_Toc515205220"/>
      <w:bookmarkStart w:id="180" w:name="_Toc529196547"/>
      <w:r>
        <w:rPr>
          <w:rFonts w:hint="eastAsia" w:ascii="宋体" w:hAnsi="宋体" w:cs="宋体"/>
          <w:highlight w:val="none"/>
        </w:rPr>
        <w:t>4. 投标</w:t>
      </w:r>
      <w:bookmarkEnd w:id="178"/>
      <w:bookmarkEnd w:id="179"/>
      <w:bookmarkEnd w:id="180"/>
    </w:p>
    <w:p w14:paraId="39147011">
      <w:pPr>
        <w:pStyle w:val="3"/>
        <w:spacing w:before="0" w:after="0" w:line="360" w:lineRule="auto"/>
        <w:rPr>
          <w:rFonts w:hint="eastAsia" w:ascii="宋体" w:hAnsi="宋体" w:cs="宋体"/>
          <w:sz w:val="28"/>
          <w:highlight w:val="none"/>
        </w:rPr>
      </w:pPr>
      <w:bookmarkStart w:id="181" w:name="_Toc515205221"/>
      <w:bookmarkStart w:id="182" w:name="_Toc529196548"/>
      <w:bookmarkStart w:id="183" w:name="_Toc102997598"/>
      <w:r>
        <w:rPr>
          <w:rFonts w:hint="eastAsia" w:ascii="宋体" w:hAnsi="宋体" w:cs="宋体"/>
          <w:sz w:val="28"/>
          <w:highlight w:val="none"/>
        </w:rPr>
        <w:t>4.1 投标文件的密封和标记</w:t>
      </w:r>
      <w:bookmarkEnd w:id="181"/>
      <w:bookmarkEnd w:id="182"/>
      <w:bookmarkEnd w:id="183"/>
    </w:p>
    <w:p w14:paraId="0CD126EC">
      <w:pPr>
        <w:spacing w:line="360" w:lineRule="auto"/>
        <w:rPr>
          <w:rFonts w:hint="eastAsia" w:ascii="宋体" w:hAnsi="宋体" w:cs="宋体"/>
          <w:sz w:val="24"/>
          <w:highlight w:val="none"/>
        </w:rPr>
      </w:pPr>
      <w:r>
        <w:rPr>
          <w:rFonts w:hint="eastAsia" w:ascii="宋体" w:hAnsi="宋体" w:cs="宋体"/>
          <w:sz w:val="24"/>
          <w:highlight w:val="none"/>
        </w:rPr>
        <w:t>4.1.1投标人应当按照招标文件和电子招标投标交易平台的要求加密投标文件，具体要求见投标人须知前附表。</w:t>
      </w:r>
    </w:p>
    <w:p w14:paraId="40470812">
      <w:pPr>
        <w:spacing w:line="360" w:lineRule="auto"/>
        <w:rPr>
          <w:rFonts w:hint="eastAsia" w:ascii="宋体" w:hAnsi="宋体" w:cs="宋体"/>
          <w:sz w:val="24"/>
          <w:highlight w:val="none"/>
        </w:rPr>
      </w:pPr>
      <w:r>
        <w:rPr>
          <w:rFonts w:hint="eastAsia" w:ascii="宋体" w:hAnsi="宋体" w:cs="宋体"/>
          <w:sz w:val="24"/>
          <w:highlight w:val="none"/>
        </w:rPr>
        <w:t>4.1.2 投标文件封套上应写明的内容见投标人须知前附表。</w:t>
      </w:r>
    </w:p>
    <w:p w14:paraId="24EF360E">
      <w:pPr>
        <w:spacing w:line="360" w:lineRule="auto"/>
        <w:rPr>
          <w:rFonts w:hint="eastAsia" w:ascii="宋体" w:hAnsi="宋体" w:cs="宋体"/>
          <w:sz w:val="24"/>
          <w:highlight w:val="none"/>
        </w:rPr>
      </w:pPr>
      <w:r>
        <w:rPr>
          <w:rFonts w:hint="eastAsia" w:ascii="宋体" w:hAnsi="宋体" w:cs="宋体"/>
          <w:sz w:val="24"/>
          <w:highlight w:val="none"/>
        </w:rPr>
        <w:t>4.1.3 未按本章第4.1.1项要求密封的投标文件，招标人将予以拒收。</w:t>
      </w:r>
    </w:p>
    <w:p w14:paraId="2110BF54">
      <w:pPr>
        <w:pStyle w:val="3"/>
        <w:spacing w:before="0" w:after="0" w:line="360" w:lineRule="auto"/>
        <w:rPr>
          <w:rFonts w:hint="eastAsia" w:ascii="宋体" w:hAnsi="宋体" w:cs="宋体"/>
          <w:sz w:val="28"/>
          <w:szCs w:val="24"/>
          <w:highlight w:val="none"/>
        </w:rPr>
      </w:pPr>
      <w:bookmarkStart w:id="184" w:name="_Toc515205222"/>
      <w:bookmarkStart w:id="185" w:name="_Toc102997599"/>
      <w:bookmarkStart w:id="186" w:name="_Toc529196549"/>
      <w:r>
        <w:rPr>
          <w:rFonts w:hint="eastAsia" w:ascii="宋体" w:hAnsi="宋体" w:cs="宋体"/>
          <w:sz w:val="28"/>
          <w:szCs w:val="24"/>
          <w:highlight w:val="none"/>
        </w:rPr>
        <w:t>4.2 投标文件的递交</w:t>
      </w:r>
      <w:bookmarkEnd w:id="184"/>
      <w:bookmarkEnd w:id="185"/>
      <w:bookmarkEnd w:id="186"/>
    </w:p>
    <w:p w14:paraId="7E3957CF">
      <w:pPr>
        <w:spacing w:line="360" w:lineRule="auto"/>
        <w:rPr>
          <w:rFonts w:hint="eastAsia" w:ascii="宋体" w:hAnsi="宋体" w:cs="宋体"/>
          <w:sz w:val="24"/>
          <w:highlight w:val="none"/>
        </w:rPr>
      </w:pPr>
      <w:r>
        <w:rPr>
          <w:rFonts w:hint="eastAsia" w:ascii="宋体" w:hAnsi="宋体" w:cs="宋体"/>
          <w:sz w:val="24"/>
          <w:highlight w:val="none"/>
        </w:rPr>
        <w:t>4.2.1 投标人应在投标人须知前附表规定的投标截止时间前递交投标文件。</w:t>
      </w:r>
    </w:p>
    <w:p w14:paraId="4CD766D5">
      <w:pPr>
        <w:spacing w:line="360" w:lineRule="auto"/>
        <w:rPr>
          <w:rFonts w:hint="eastAsia" w:ascii="宋体" w:hAnsi="宋体" w:cs="宋体"/>
          <w:sz w:val="24"/>
          <w:highlight w:val="none"/>
        </w:rPr>
      </w:pPr>
      <w:r>
        <w:rPr>
          <w:rFonts w:hint="eastAsia" w:ascii="宋体" w:hAnsi="宋体" w:cs="宋体"/>
          <w:sz w:val="24"/>
          <w:highlight w:val="none"/>
        </w:rPr>
        <w:t>4.2.2投标人通过下载招标文件的电子招标投标交易平台递交电子投标文件。</w:t>
      </w:r>
    </w:p>
    <w:p w14:paraId="257C3A42">
      <w:pPr>
        <w:spacing w:line="360" w:lineRule="auto"/>
        <w:rPr>
          <w:rFonts w:hint="eastAsia" w:ascii="宋体" w:hAnsi="宋体" w:cs="宋体"/>
          <w:sz w:val="24"/>
          <w:highlight w:val="none"/>
        </w:rPr>
      </w:pPr>
      <w:r>
        <w:rPr>
          <w:rFonts w:hint="eastAsia" w:ascii="宋体" w:hAnsi="宋体" w:cs="宋体"/>
          <w:sz w:val="24"/>
          <w:highlight w:val="none"/>
        </w:rPr>
        <w:t>4.2.3 除投标人须知前附表另有规定外，投标人所递交的投标文件不予退还。</w:t>
      </w:r>
    </w:p>
    <w:p w14:paraId="2752076A">
      <w:pPr>
        <w:spacing w:line="360" w:lineRule="auto"/>
        <w:rPr>
          <w:rFonts w:hint="eastAsia" w:ascii="宋体" w:hAnsi="宋体" w:cs="宋体"/>
          <w:sz w:val="24"/>
          <w:highlight w:val="none"/>
        </w:rPr>
      </w:pPr>
      <w:r>
        <w:rPr>
          <w:rFonts w:hint="eastAsia" w:ascii="宋体" w:hAnsi="宋体" w:cs="宋体"/>
          <w:sz w:val="24"/>
          <w:highlight w:val="none"/>
        </w:rPr>
        <w:t>4.2.4投标人完成电子投标文件上传后，电子招标投标交易平台即时向投标人发出递交回执通知。递交时间以递交回执通知载明的传输完成时间为准。</w:t>
      </w:r>
    </w:p>
    <w:p w14:paraId="6ACDC95C">
      <w:pPr>
        <w:spacing w:line="360" w:lineRule="auto"/>
        <w:jc w:val="left"/>
        <w:rPr>
          <w:rFonts w:hint="eastAsia" w:ascii="宋体" w:hAnsi="宋体" w:cs="宋体"/>
          <w:sz w:val="24"/>
          <w:highlight w:val="none"/>
        </w:rPr>
      </w:pPr>
      <w:r>
        <w:rPr>
          <w:rFonts w:hint="eastAsia" w:ascii="宋体" w:hAnsi="宋体" w:cs="宋体"/>
          <w:sz w:val="24"/>
          <w:highlight w:val="none"/>
        </w:rPr>
        <w:t>4.2.5 逾期送达的投标文件，电子招标投标交易平台将予以拒收。</w:t>
      </w:r>
    </w:p>
    <w:p w14:paraId="4F8C8CE0">
      <w:pPr>
        <w:pStyle w:val="3"/>
        <w:spacing w:before="0" w:after="0" w:line="360" w:lineRule="auto"/>
        <w:rPr>
          <w:rFonts w:hint="eastAsia" w:ascii="宋体" w:hAnsi="宋体" w:cs="宋体"/>
          <w:sz w:val="28"/>
          <w:szCs w:val="24"/>
          <w:highlight w:val="none"/>
        </w:rPr>
      </w:pPr>
      <w:bookmarkStart w:id="187" w:name="_Toc529196550"/>
      <w:bookmarkStart w:id="188" w:name="_Toc102997600"/>
      <w:bookmarkStart w:id="189" w:name="_Toc515205223"/>
      <w:r>
        <w:rPr>
          <w:rFonts w:hint="eastAsia" w:ascii="宋体" w:hAnsi="宋体" w:cs="宋体"/>
          <w:sz w:val="28"/>
          <w:szCs w:val="24"/>
          <w:highlight w:val="none"/>
        </w:rPr>
        <w:t>4.3 投标文件的修改与撤回</w:t>
      </w:r>
      <w:bookmarkEnd w:id="187"/>
      <w:bookmarkEnd w:id="188"/>
      <w:bookmarkEnd w:id="189"/>
    </w:p>
    <w:p w14:paraId="0350A500">
      <w:pPr>
        <w:spacing w:line="360" w:lineRule="auto"/>
        <w:rPr>
          <w:rFonts w:hint="eastAsia" w:ascii="宋体" w:hAnsi="宋体" w:cs="宋体"/>
          <w:sz w:val="24"/>
          <w:highlight w:val="none"/>
        </w:rPr>
      </w:pPr>
      <w:r>
        <w:rPr>
          <w:rFonts w:hint="eastAsia" w:ascii="宋体" w:hAnsi="宋体" w:cs="宋体"/>
          <w:sz w:val="24"/>
          <w:highlight w:val="none"/>
        </w:rPr>
        <w:t>4.3.1 在本章第4.2.1项规定的投标截止时间前，投标人可以修改或撤回已递交的投标文件，但应以书面形式通知招标人。</w:t>
      </w:r>
    </w:p>
    <w:p w14:paraId="493F41F5">
      <w:pPr>
        <w:spacing w:line="360" w:lineRule="auto"/>
        <w:rPr>
          <w:rFonts w:hint="eastAsia" w:ascii="宋体" w:hAnsi="宋体" w:cs="宋体"/>
          <w:sz w:val="24"/>
          <w:highlight w:val="none"/>
        </w:rPr>
      </w:pPr>
      <w:r>
        <w:rPr>
          <w:rFonts w:hint="eastAsia" w:ascii="宋体" w:hAnsi="宋体" w:cs="宋体"/>
          <w:sz w:val="24"/>
          <w:highlight w:val="none"/>
        </w:rPr>
        <w:t>4.3.2投标人修改或撤回已递交投标文件的通知，应按照本章第3.7.3项的要求加盖电子印章。电子招标投标交易平台收到通知后，即时向投标人发出确认回执通知。</w:t>
      </w:r>
    </w:p>
    <w:p w14:paraId="7913C4E7">
      <w:pPr>
        <w:spacing w:line="360" w:lineRule="auto"/>
        <w:rPr>
          <w:rFonts w:hint="eastAsia" w:ascii="宋体" w:hAnsi="宋体" w:cs="宋体"/>
          <w:sz w:val="24"/>
          <w:highlight w:val="none"/>
        </w:rPr>
      </w:pPr>
      <w:r>
        <w:rPr>
          <w:rFonts w:hint="eastAsia" w:ascii="宋体" w:hAnsi="宋体" w:cs="宋体"/>
          <w:sz w:val="24"/>
          <w:highlight w:val="none"/>
        </w:rPr>
        <w:t>4.3.</w:t>
      </w:r>
      <w:bookmarkStart w:id="190" w:name="_Toc152045553"/>
      <w:bookmarkStart w:id="191" w:name="_Toc247513977"/>
      <w:bookmarkStart w:id="192" w:name="_Toc384308235"/>
      <w:bookmarkStart w:id="193" w:name="_Toc144974521"/>
      <w:bookmarkStart w:id="194" w:name="_Toc247527578"/>
      <w:bookmarkStart w:id="195" w:name="_Toc361508610"/>
      <w:bookmarkStart w:id="196" w:name="_Toc152042329"/>
      <w:bookmarkStart w:id="197" w:name="_Toc352691497"/>
      <w:bookmarkStart w:id="198" w:name="_Toc19203"/>
      <w:bookmarkStart w:id="199" w:name="_Toc300834974"/>
      <w:bookmarkStart w:id="200" w:name="_Toc369531541"/>
      <w:r>
        <w:rPr>
          <w:rFonts w:hint="eastAsia" w:ascii="宋体" w:hAnsi="宋体" w:cs="宋体"/>
          <w:sz w:val="24"/>
          <w:highlight w:val="none"/>
        </w:rPr>
        <w:t>3 修改的内容为投标</w:t>
      </w:r>
      <w:bookmarkEnd w:id="190"/>
      <w:bookmarkEnd w:id="191"/>
      <w:bookmarkEnd w:id="192"/>
      <w:bookmarkEnd w:id="193"/>
      <w:bookmarkEnd w:id="194"/>
      <w:bookmarkEnd w:id="195"/>
      <w:bookmarkEnd w:id="196"/>
      <w:bookmarkEnd w:id="197"/>
      <w:bookmarkEnd w:id="198"/>
      <w:bookmarkEnd w:id="199"/>
      <w:bookmarkEnd w:id="200"/>
      <w:r>
        <w:rPr>
          <w:rFonts w:hint="eastAsia" w:ascii="宋体" w:hAnsi="宋体" w:cs="宋体"/>
          <w:sz w:val="24"/>
          <w:highlight w:val="none"/>
        </w:rPr>
        <w:t>文件的组成部分。修改的投标文件应按照本章第3条、第4条的规定进行编制、密封、标记和递交，并标明“修改”字样。</w:t>
      </w:r>
    </w:p>
    <w:p w14:paraId="2BDBD84E">
      <w:pPr>
        <w:pStyle w:val="3"/>
        <w:spacing w:before="0" w:after="0" w:line="360" w:lineRule="auto"/>
        <w:rPr>
          <w:rFonts w:hint="eastAsia" w:ascii="宋体" w:hAnsi="宋体" w:cs="宋体"/>
          <w:highlight w:val="none"/>
        </w:rPr>
      </w:pPr>
      <w:bookmarkStart w:id="201" w:name="_Toc102997601"/>
      <w:bookmarkStart w:id="202" w:name="_Toc529196551"/>
      <w:bookmarkStart w:id="203" w:name="_Toc515205224"/>
      <w:r>
        <w:rPr>
          <w:rFonts w:hint="eastAsia" w:ascii="宋体" w:hAnsi="宋体" w:cs="宋体"/>
          <w:highlight w:val="none"/>
        </w:rPr>
        <w:t>5. 开标</w:t>
      </w:r>
      <w:bookmarkEnd w:id="201"/>
      <w:bookmarkEnd w:id="202"/>
      <w:bookmarkEnd w:id="203"/>
    </w:p>
    <w:p w14:paraId="405B29C1">
      <w:pPr>
        <w:pStyle w:val="3"/>
        <w:spacing w:before="0" w:after="0" w:line="360" w:lineRule="auto"/>
        <w:rPr>
          <w:rFonts w:hint="eastAsia" w:ascii="宋体" w:hAnsi="宋体" w:cs="宋体"/>
          <w:sz w:val="28"/>
          <w:highlight w:val="none"/>
        </w:rPr>
      </w:pPr>
      <w:bookmarkStart w:id="204" w:name="_Toc515205226"/>
      <w:bookmarkStart w:id="205" w:name="_Toc529196553"/>
      <w:bookmarkStart w:id="206" w:name="_Toc102997602"/>
      <w:r>
        <w:rPr>
          <w:rFonts w:hint="eastAsia" w:ascii="宋体" w:hAnsi="宋体" w:cs="宋体"/>
          <w:sz w:val="28"/>
          <w:highlight w:val="none"/>
        </w:rPr>
        <w:t>5.1 开标时间和地点</w:t>
      </w:r>
      <w:bookmarkEnd w:id="204"/>
      <w:bookmarkEnd w:id="205"/>
      <w:bookmarkEnd w:id="206"/>
    </w:p>
    <w:p w14:paraId="3D0A6AF4">
      <w:pPr>
        <w:spacing w:line="360" w:lineRule="auto"/>
        <w:rPr>
          <w:rFonts w:hint="eastAsia" w:ascii="宋体" w:hAnsi="宋体" w:cs="宋体"/>
          <w:sz w:val="24"/>
          <w:highlight w:val="none"/>
        </w:rPr>
      </w:pPr>
      <w:r>
        <w:rPr>
          <w:rFonts w:hint="eastAsia" w:ascii="宋体" w:hAnsi="宋体" w:cs="宋体"/>
          <w:sz w:val="24"/>
          <w:highlight w:val="none"/>
        </w:rPr>
        <w:t>招标人在本章第4.2.1项规定的投标截止时间（开标时间）,通过电子招标投标交易平台公开开标，所有投标人的法定代表人或其委托代理人应当准时参加。</w:t>
      </w:r>
    </w:p>
    <w:p w14:paraId="79F1707E">
      <w:pPr>
        <w:pStyle w:val="3"/>
        <w:spacing w:before="0" w:after="0" w:line="360" w:lineRule="auto"/>
        <w:rPr>
          <w:rFonts w:hint="eastAsia" w:ascii="宋体" w:hAnsi="宋体" w:cs="宋体"/>
          <w:highlight w:val="none"/>
        </w:rPr>
      </w:pPr>
      <w:bookmarkStart w:id="207" w:name="_Toc529196554"/>
      <w:bookmarkStart w:id="208" w:name="_Toc515205227"/>
      <w:bookmarkStart w:id="209" w:name="_Toc102997603"/>
      <w:r>
        <w:rPr>
          <w:rFonts w:hint="eastAsia" w:ascii="宋体" w:hAnsi="宋体" w:cs="宋体"/>
          <w:highlight w:val="none"/>
        </w:rPr>
        <w:t>5.2 开标程序</w:t>
      </w:r>
      <w:bookmarkEnd w:id="207"/>
      <w:bookmarkEnd w:id="208"/>
      <w:bookmarkEnd w:id="209"/>
    </w:p>
    <w:p w14:paraId="4E23C4B4">
      <w:pPr>
        <w:spacing w:line="360" w:lineRule="auto"/>
        <w:rPr>
          <w:rFonts w:hint="eastAsia" w:ascii="宋体" w:hAnsi="宋体" w:cs="宋体"/>
          <w:sz w:val="24"/>
          <w:highlight w:val="none"/>
        </w:rPr>
      </w:pPr>
      <w:r>
        <w:rPr>
          <w:rFonts w:hint="eastAsia" w:ascii="宋体" w:hAnsi="宋体" w:cs="宋体"/>
          <w:sz w:val="24"/>
          <w:highlight w:val="none"/>
        </w:rPr>
        <w:t>主持人按下列程序进行开标：</w:t>
      </w:r>
    </w:p>
    <w:p w14:paraId="7E827988">
      <w:pPr>
        <w:spacing w:line="360" w:lineRule="auto"/>
        <w:rPr>
          <w:rFonts w:hint="eastAsia" w:ascii="宋体" w:hAnsi="宋体" w:cs="宋体"/>
          <w:sz w:val="24"/>
          <w:highlight w:val="none"/>
        </w:rPr>
      </w:pPr>
      <w:r>
        <w:rPr>
          <w:rFonts w:hint="eastAsia" w:ascii="宋体" w:hAnsi="宋体" w:cs="宋体"/>
          <w:sz w:val="24"/>
          <w:highlight w:val="none"/>
        </w:rPr>
        <w:t>（1）宣布开标纪律；</w:t>
      </w:r>
    </w:p>
    <w:p w14:paraId="102B6CF2">
      <w:pPr>
        <w:spacing w:line="360" w:lineRule="auto"/>
        <w:rPr>
          <w:rFonts w:hint="eastAsia" w:ascii="宋体" w:hAnsi="宋体" w:cs="宋体"/>
          <w:sz w:val="24"/>
          <w:highlight w:val="none"/>
        </w:rPr>
      </w:pPr>
      <w:r>
        <w:rPr>
          <w:rFonts w:hint="eastAsia" w:ascii="宋体" w:hAnsi="宋体" w:cs="宋体"/>
          <w:sz w:val="24"/>
          <w:highlight w:val="none"/>
        </w:rPr>
        <w:t>（2）公布在投标截止时间前递交投标文件的投标人名称；</w:t>
      </w:r>
    </w:p>
    <w:p w14:paraId="58A6CEB4">
      <w:pPr>
        <w:spacing w:line="360" w:lineRule="auto"/>
        <w:rPr>
          <w:rFonts w:hint="eastAsia" w:ascii="宋体" w:hAnsi="宋体" w:cs="宋体"/>
          <w:sz w:val="24"/>
          <w:highlight w:val="none"/>
        </w:rPr>
      </w:pPr>
      <w:r>
        <w:rPr>
          <w:rFonts w:hint="eastAsia" w:ascii="宋体" w:hAnsi="宋体" w:cs="宋体"/>
          <w:sz w:val="24"/>
          <w:highlight w:val="none"/>
        </w:rPr>
        <w:t>（3）宣布</w:t>
      </w:r>
      <w:bookmarkStart w:id="210" w:name="_Toc361508611"/>
      <w:bookmarkStart w:id="211" w:name="_Toc247527579"/>
      <w:bookmarkStart w:id="212" w:name="_Toc300834975"/>
      <w:bookmarkStart w:id="213" w:name="_Toc144974522"/>
      <w:bookmarkStart w:id="214" w:name="_Toc352691498"/>
      <w:bookmarkStart w:id="215" w:name="_Toc247513978"/>
      <w:bookmarkStart w:id="216" w:name="_Toc384308236"/>
      <w:bookmarkStart w:id="217" w:name="_Toc22119"/>
      <w:bookmarkStart w:id="218" w:name="_Toc152045554"/>
      <w:bookmarkStart w:id="219" w:name="_Toc369531542"/>
      <w:bookmarkStart w:id="220" w:name="_Toc152042330"/>
      <w:r>
        <w:rPr>
          <w:rFonts w:hint="eastAsia" w:ascii="宋体" w:hAnsi="宋体" w:cs="宋体"/>
          <w:sz w:val="24"/>
          <w:highlight w:val="none"/>
        </w:rPr>
        <w:t>开标人、唱标人、记录人</w:t>
      </w:r>
      <w:bookmarkEnd w:id="210"/>
      <w:bookmarkEnd w:id="211"/>
      <w:bookmarkEnd w:id="212"/>
      <w:bookmarkEnd w:id="213"/>
      <w:bookmarkEnd w:id="214"/>
      <w:bookmarkEnd w:id="215"/>
      <w:bookmarkEnd w:id="216"/>
      <w:bookmarkEnd w:id="217"/>
      <w:bookmarkEnd w:id="218"/>
      <w:bookmarkEnd w:id="219"/>
      <w:bookmarkEnd w:id="220"/>
      <w:r>
        <w:rPr>
          <w:rFonts w:hint="eastAsia" w:ascii="宋体" w:hAnsi="宋体" w:cs="宋体"/>
          <w:sz w:val="24"/>
          <w:highlight w:val="none"/>
        </w:rPr>
        <w:t>、监标人等有关人员姓名；</w:t>
      </w:r>
    </w:p>
    <w:p w14:paraId="50278501">
      <w:pPr>
        <w:spacing w:line="360" w:lineRule="auto"/>
        <w:rPr>
          <w:rFonts w:hint="eastAsia" w:ascii="宋体" w:hAnsi="宋体" w:cs="宋体"/>
          <w:sz w:val="24"/>
          <w:highlight w:val="none"/>
        </w:rPr>
      </w:pPr>
      <w:r>
        <w:rPr>
          <w:rFonts w:hint="eastAsia" w:ascii="宋体" w:hAnsi="宋体" w:cs="宋体"/>
          <w:sz w:val="24"/>
          <w:highlight w:val="none"/>
        </w:rPr>
        <w:t>（4）投标人通过电子招标投标交易平台对已递交的电子投标文件进行解密，公布招标项目名称、投标人名称、投标</w:t>
      </w:r>
      <w:r>
        <w:rPr>
          <w:rFonts w:hint="eastAsia" w:ascii="宋体" w:hAnsi="宋体" w:cs="宋体"/>
          <w:sz w:val="24"/>
          <w:highlight w:val="none"/>
          <w:u w:val="single"/>
        </w:rPr>
        <w:t>总</w:t>
      </w:r>
      <w:r>
        <w:rPr>
          <w:rFonts w:hint="eastAsia" w:ascii="宋体" w:hAnsi="宋体" w:cs="宋体"/>
          <w:sz w:val="24"/>
          <w:highlight w:val="none"/>
        </w:rPr>
        <w:t>报价、服务期限及其他内容，并记录在案；</w:t>
      </w:r>
    </w:p>
    <w:p w14:paraId="42952DE0">
      <w:pPr>
        <w:spacing w:line="360" w:lineRule="auto"/>
        <w:rPr>
          <w:rFonts w:hint="eastAsia" w:ascii="宋体" w:hAnsi="宋体" w:cs="宋体"/>
          <w:sz w:val="24"/>
          <w:highlight w:val="none"/>
        </w:rPr>
      </w:pPr>
      <w:r>
        <w:rPr>
          <w:rFonts w:hint="eastAsia" w:ascii="宋体" w:hAnsi="宋体" w:cs="宋体"/>
          <w:sz w:val="24"/>
          <w:highlight w:val="none"/>
        </w:rPr>
        <w:t>（5）投标人代表、招标人代表、监标人、记录人等有关人员使用本人的电子印章在开标记录上签字确认；</w:t>
      </w:r>
    </w:p>
    <w:p w14:paraId="62DB34ED">
      <w:pPr>
        <w:spacing w:line="360" w:lineRule="auto"/>
        <w:rPr>
          <w:rFonts w:hint="eastAsia" w:ascii="宋体" w:hAnsi="宋体" w:cs="宋体"/>
          <w:sz w:val="24"/>
          <w:highlight w:val="none"/>
        </w:rPr>
      </w:pPr>
      <w:r>
        <w:rPr>
          <w:rFonts w:hint="eastAsia" w:ascii="宋体" w:hAnsi="宋体" w:cs="宋体"/>
          <w:sz w:val="24"/>
          <w:highlight w:val="none"/>
        </w:rPr>
        <w:t>（6）开标结束。</w:t>
      </w:r>
    </w:p>
    <w:p w14:paraId="2D3C356E">
      <w:pPr>
        <w:pStyle w:val="3"/>
        <w:spacing w:before="0" w:after="0" w:line="360" w:lineRule="auto"/>
        <w:rPr>
          <w:rFonts w:hint="eastAsia" w:ascii="宋体" w:hAnsi="宋体" w:cs="宋体"/>
          <w:highlight w:val="none"/>
        </w:rPr>
      </w:pPr>
      <w:bookmarkStart w:id="221" w:name="_Toc529196555"/>
      <w:bookmarkStart w:id="222" w:name="_Toc515205228"/>
      <w:bookmarkStart w:id="223" w:name="_Toc102997604"/>
      <w:r>
        <w:rPr>
          <w:rFonts w:hint="eastAsia" w:ascii="宋体" w:hAnsi="宋体" w:cs="宋体"/>
          <w:highlight w:val="none"/>
        </w:rPr>
        <w:t>5.3 开标异议</w:t>
      </w:r>
      <w:bookmarkEnd w:id="221"/>
      <w:bookmarkEnd w:id="222"/>
      <w:bookmarkEnd w:id="223"/>
    </w:p>
    <w:p w14:paraId="25522092">
      <w:pPr>
        <w:spacing w:line="360" w:lineRule="auto"/>
        <w:rPr>
          <w:rFonts w:hint="eastAsia" w:ascii="宋体" w:hAnsi="宋体" w:cs="宋体"/>
          <w:sz w:val="24"/>
          <w:highlight w:val="none"/>
        </w:rPr>
      </w:pPr>
      <w:r>
        <w:rPr>
          <w:rFonts w:hint="eastAsia" w:ascii="宋体" w:hAnsi="宋体" w:cs="宋体"/>
          <w:sz w:val="24"/>
          <w:highlight w:val="none"/>
        </w:rPr>
        <w:t>投标人对开标有异议的，应当在开标现场提出，招标人当场作出答复，并制作记录。</w:t>
      </w:r>
    </w:p>
    <w:p w14:paraId="5AA9EAF7">
      <w:pPr>
        <w:pStyle w:val="3"/>
        <w:spacing w:before="0" w:after="0" w:line="360" w:lineRule="auto"/>
        <w:rPr>
          <w:rFonts w:hint="eastAsia" w:ascii="宋体" w:hAnsi="宋体" w:cs="宋体"/>
          <w:highlight w:val="none"/>
        </w:rPr>
      </w:pPr>
      <w:bookmarkStart w:id="224" w:name="_Toc515205229"/>
      <w:bookmarkStart w:id="225" w:name="_Toc529196556"/>
      <w:bookmarkStart w:id="226" w:name="_Toc102997605"/>
      <w:r>
        <w:rPr>
          <w:rFonts w:hint="eastAsia" w:ascii="宋体" w:hAnsi="宋体" w:cs="宋体"/>
          <w:highlight w:val="none"/>
        </w:rPr>
        <w:t>6. 评标</w:t>
      </w:r>
      <w:bookmarkEnd w:id="224"/>
      <w:bookmarkEnd w:id="225"/>
      <w:bookmarkEnd w:id="226"/>
    </w:p>
    <w:p w14:paraId="62AE5C8A">
      <w:pPr>
        <w:pStyle w:val="3"/>
        <w:spacing w:before="0" w:after="0" w:line="360" w:lineRule="auto"/>
        <w:rPr>
          <w:rFonts w:hint="eastAsia" w:ascii="宋体" w:hAnsi="宋体" w:cs="宋体"/>
          <w:highlight w:val="none"/>
        </w:rPr>
      </w:pPr>
      <w:bookmarkStart w:id="227" w:name="_Toc102997606"/>
      <w:bookmarkStart w:id="228" w:name="_Toc515205230"/>
      <w:bookmarkStart w:id="229" w:name="_Toc529196557"/>
      <w:r>
        <w:rPr>
          <w:rFonts w:hint="eastAsia" w:ascii="宋体" w:hAnsi="宋体" w:cs="宋体"/>
          <w:highlight w:val="none"/>
        </w:rPr>
        <w:t>6.1 评标委员会</w:t>
      </w:r>
      <w:bookmarkEnd w:id="227"/>
      <w:bookmarkEnd w:id="228"/>
      <w:bookmarkEnd w:id="229"/>
    </w:p>
    <w:p w14:paraId="3CECE553">
      <w:pPr>
        <w:spacing w:line="360" w:lineRule="auto"/>
        <w:rPr>
          <w:rFonts w:hint="eastAsia" w:ascii="宋体" w:hAnsi="宋体" w:cs="宋体"/>
          <w:sz w:val="24"/>
          <w:highlight w:val="none"/>
        </w:rPr>
      </w:pPr>
      <w:r>
        <w:rPr>
          <w:rFonts w:hint="eastAsia" w:ascii="宋体" w:hAnsi="宋体" w:cs="宋体"/>
          <w:sz w:val="24"/>
          <w:highlight w:val="none"/>
        </w:rPr>
        <w:t>6.1.1 评标由招标人依法组建的评标委员会负责。评标委员会成员人数以及技术、经济等方面专家的确定方式见投标人须知前附表。</w:t>
      </w:r>
    </w:p>
    <w:p w14:paraId="109CEC72">
      <w:pPr>
        <w:spacing w:line="360" w:lineRule="auto"/>
        <w:rPr>
          <w:rFonts w:hint="eastAsia" w:ascii="宋体" w:hAnsi="宋体" w:cs="宋体"/>
          <w:sz w:val="24"/>
          <w:highlight w:val="none"/>
        </w:rPr>
      </w:pPr>
      <w:r>
        <w:rPr>
          <w:rFonts w:hint="eastAsia" w:ascii="宋体" w:hAnsi="宋体" w:cs="宋体"/>
          <w:sz w:val="24"/>
          <w:highlight w:val="none"/>
        </w:rPr>
        <w:t>6.1.2 评标委员会成员有下列情形之一的，应当回避：</w:t>
      </w:r>
    </w:p>
    <w:p w14:paraId="725F2891">
      <w:pPr>
        <w:spacing w:line="360" w:lineRule="auto"/>
        <w:rPr>
          <w:rFonts w:hint="eastAsia" w:ascii="宋体" w:hAnsi="宋体" w:cs="宋体"/>
          <w:sz w:val="24"/>
          <w:highlight w:val="none"/>
        </w:rPr>
      </w:pPr>
      <w:r>
        <w:rPr>
          <w:rFonts w:hint="eastAsia" w:ascii="宋体" w:hAnsi="宋体" w:cs="宋体"/>
          <w:sz w:val="24"/>
          <w:highlight w:val="none"/>
        </w:rPr>
        <w:t>（1）投标人或投标人主要负责人的近亲属；</w:t>
      </w:r>
    </w:p>
    <w:p w14:paraId="5CB87BA9">
      <w:pPr>
        <w:spacing w:line="360" w:lineRule="auto"/>
        <w:rPr>
          <w:rFonts w:hint="eastAsia" w:ascii="宋体" w:hAnsi="宋体" w:cs="宋体"/>
          <w:sz w:val="24"/>
          <w:highlight w:val="none"/>
        </w:rPr>
      </w:pPr>
      <w:r>
        <w:rPr>
          <w:rFonts w:hint="eastAsia" w:ascii="宋体" w:hAnsi="宋体" w:cs="宋体"/>
          <w:sz w:val="24"/>
          <w:highlight w:val="none"/>
        </w:rPr>
        <w:t>（2）项目主管部门或者行政监督部门的人员；</w:t>
      </w:r>
    </w:p>
    <w:p w14:paraId="74A6D6FC">
      <w:pPr>
        <w:spacing w:line="360" w:lineRule="auto"/>
        <w:rPr>
          <w:rFonts w:hint="eastAsia" w:ascii="宋体" w:hAnsi="宋体" w:cs="宋体"/>
          <w:sz w:val="24"/>
          <w:highlight w:val="none"/>
        </w:rPr>
      </w:pPr>
      <w:r>
        <w:rPr>
          <w:rFonts w:hint="eastAsia" w:ascii="宋体" w:hAnsi="宋体" w:cs="宋体"/>
          <w:sz w:val="24"/>
          <w:highlight w:val="none"/>
        </w:rPr>
        <w:t>（3）与投标人有经济利益关系，可能影响对投标公正评审的；</w:t>
      </w:r>
    </w:p>
    <w:p w14:paraId="4E462AB8">
      <w:pPr>
        <w:spacing w:line="360" w:lineRule="auto"/>
        <w:rPr>
          <w:rFonts w:hint="eastAsia" w:ascii="宋体" w:hAnsi="宋体" w:cs="宋体"/>
          <w:sz w:val="24"/>
          <w:highlight w:val="none"/>
        </w:rPr>
      </w:pPr>
      <w:r>
        <w:rPr>
          <w:rFonts w:hint="eastAsia" w:ascii="宋体" w:hAnsi="宋体" w:cs="宋体"/>
          <w:sz w:val="24"/>
          <w:highlight w:val="none"/>
        </w:rPr>
        <w:t>（4）曾因在招标、评</w:t>
      </w:r>
      <w:bookmarkStart w:id="230" w:name="_Toc384308237"/>
      <w:bookmarkStart w:id="231" w:name="_Toc352691499"/>
      <w:bookmarkStart w:id="232" w:name="_Toc361508612"/>
      <w:bookmarkStart w:id="233" w:name="_Toc152042331"/>
      <w:bookmarkStart w:id="234" w:name="_Toc6230"/>
      <w:bookmarkStart w:id="235" w:name="_Toc369531543"/>
      <w:bookmarkStart w:id="236" w:name="_Toc247513979"/>
      <w:bookmarkStart w:id="237" w:name="_Toc247527580"/>
      <w:bookmarkStart w:id="238" w:name="_Toc152045555"/>
      <w:bookmarkStart w:id="239" w:name="_Toc144974523"/>
      <w:bookmarkStart w:id="240" w:name="_Toc300834976"/>
      <w:r>
        <w:rPr>
          <w:rFonts w:hint="eastAsia" w:ascii="宋体" w:hAnsi="宋体" w:cs="宋体"/>
          <w:sz w:val="24"/>
          <w:highlight w:val="none"/>
        </w:rPr>
        <w:t>标以及其他</w:t>
      </w:r>
      <w:bookmarkEnd w:id="230"/>
      <w:bookmarkEnd w:id="231"/>
      <w:bookmarkEnd w:id="232"/>
      <w:bookmarkEnd w:id="233"/>
      <w:bookmarkEnd w:id="234"/>
      <w:bookmarkEnd w:id="235"/>
      <w:bookmarkEnd w:id="236"/>
      <w:bookmarkEnd w:id="237"/>
      <w:bookmarkEnd w:id="238"/>
      <w:bookmarkEnd w:id="239"/>
      <w:bookmarkEnd w:id="240"/>
      <w:r>
        <w:rPr>
          <w:rFonts w:hint="eastAsia" w:ascii="宋体" w:hAnsi="宋体" w:cs="宋体"/>
          <w:sz w:val="24"/>
          <w:highlight w:val="none"/>
        </w:rPr>
        <w:t>与</w:t>
      </w:r>
      <w:bookmarkStart w:id="241" w:name="_Toc384308238"/>
      <w:bookmarkStart w:id="242" w:name="_Toc369531544"/>
      <w:bookmarkStart w:id="243" w:name="_Toc300834977"/>
      <w:bookmarkStart w:id="244" w:name="_Toc152042332"/>
      <w:bookmarkStart w:id="245" w:name="_Toc361508613"/>
      <w:bookmarkStart w:id="246" w:name="_Toc247513980"/>
      <w:bookmarkStart w:id="247" w:name="_Toc352691500"/>
      <w:bookmarkStart w:id="248" w:name="_Toc17703"/>
      <w:bookmarkStart w:id="249" w:name="_Toc144974524"/>
      <w:bookmarkStart w:id="250" w:name="_Toc247527581"/>
      <w:bookmarkStart w:id="251" w:name="_Toc152045556"/>
      <w:r>
        <w:rPr>
          <w:rFonts w:hint="eastAsia" w:ascii="宋体" w:hAnsi="宋体" w:cs="宋体"/>
          <w:sz w:val="24"/>
          <w:highlight w:val="none"/>
        </w:rPr>
        <w:t>招标投标有关活动中从事违法行</w:t>
      </w:r>
      <w:bookmarkEnd w:id="241"/>
      <w:bookmarkEnd w:id="242"/>
      <w:bookmarkEnd w:id="243"/>
      <w:bookmarkEnd w:id="244"/>
      <w:bookmarkEnd w:id="245"/>
      <w:bookmarkEnd w:id="246"/>
      <w:bookmarkEnd w:id="247"/>
      <w:bookmarkEnd w:id="248"/>
      <w:bookmarkEnd w:id="249"/>
      <w:bookmarkEnd w:id="250"/>
      <w:bookmarkEnd w:id="251"/>
      <w:r>
        <w:rPr>
          <w:rFonts w:hint="eastAsia" w:ascii="宋体" w:hAnsi="宋体" w:cs="宋体"/>
          <w:sz w:val="24"/>
          <w:highlight w:val="none"/>
        </w:rPr>
        <w:t>为而受过行政处罚或刑事处罚的；</w:t>
      </w:r>
    </w:p>
    <w:p w14:paraId="48DC48A5">
      <w:pPr>
        <w:spacing w:line="360" w:lineRule="auto"/>
        <w:rPr>
          <w:rFonts w:hint="eastAsia" w:ascii="宋体" w:hAnsi="宋体" w:cs="宋体"/>
          <w:sz w:val="24"/>
          <w:highlight w:val="none"/>
        </w:rPr>
      </w:pPr>
      <w:r>
        <w:rPr>
          <w:rFonts w:hint="eastAsia" w:ascii="宋体" w:hAnsi="宋体" w:cs="宋体"/>
          <w:sz w:val="24"/>
          <w:highlight w:val="none"/>
        </w:rPr>
        <w:t>（5）与投标人有其他利害关系。</w:t>
      </w:r>
    </w:p>
    <w:p w14:paraId="2ADCFAB3">
      <w:pPr>
        <w:spacing w:line="360" w:lineRule="auto"/>
        <w:rPr>
          <w:rFonts w:hint="eastAsia" w:ascii="宋体" w:hAnsi="宋体" w:cs="宋体"/>
          <w:sz w:val="24"/>
          <w:highlight w:val="none"/>
        </w:rPr>
      </w:pPr>
      <w:r>
        <w:rPr>
          <w:rFonts w:hint="eastAsia" w:ascii="宋体" w:hAnsi="宋体" w:cs="宋体"/>
          <w:sz w:val="24"/>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1B6D4EB6">
      <w:pPr>
        <w:pStyle w:val="3"/>
        <w:spacing w:before="0" w:after="0" w:line="360" w:lineRule="auto"/>
        <w:rPr>
          <w:rFonts w:hint="eastAsia" w:ascii="宋体" w:hAnsi="宋体" w:cs="宋体"/>
          <w:highlight w:val="none"/>
        </w:rPr>
      </w:pPr>
      <w:bookmarkStart w:id="252" w:name="_Toc102997607"/>
      <w:bookmarkStart w:id="253" w:name="_Toc529196558"/>
      <w:bookmarkStart w:id="254" w:name="_Toc515205231"/>
      <w:r>
        <w:rPr>
          <w:rFonts w:hint="eastAsia" w:ascii="宋体" w:hAnsi="宋体" w:cs="宋体"/>
          <w:highlight w:val="none"/>
        </w:rPr>
        <w:t>6.2 评标原则</w:t>
      </w:r>
      <w:bookmarkEnd w:id="252"/>
      <w:bookmarkEnd w:id="253"/>
      <w:bookmarkEnd w:id="254"/>
    </w:p>
    <w:p w14:paraId="6F9BC0EE">
      <w:pPr>
        <w:spacing w:line="360" w:lineRule="auto"/>
        <w:rPr>
          <w:rFonts w:hint="eastAsia" w:ascii="宋体" w:hAnsi="宋体" w:cs="宋体"/>
          <w:sz w:val="24"/>
          <w:highlight w:val="none"/>
        </w:rPr>
      </w:pPr>
      <w:r>
        <w:rPr>
          <w:rFonts w:hint="eastAsia" w:ascii="宋体" w:hAnsi="宋体" w:cs="宋体"/>
          <w:sz w:val="24"/>
          <w:highlight w:val="none"/>
        </w:rPr>
        <w:t>评标活动遵循公平、公正、科学和择优的原</w:t>
      </w:r>
      <w:bookmarkStart w:id="255" w:name="_Toc352691501"/>
      <w:bookmarkStart w:id="256" w:name="_Toc18949"/>
      <w:bookmarkStart w:id="257" w:name="_Toc369531545"/>
      <w:bookmarkStart w:id="258" w:name="_Toc144974525"/>
      <w:bookmarkStart w:id="259" w:name="_Toc300834978"/>
      <w:bookmarkStart w:id="260" w:name="_Toc247513981"/>
      <w:bookmarkStart w:id="261" w:name="_Toc152045557"/>
      <w:bookmarkStart w:id="262" w:name="_Toc247527582"/>
      <w:bookmarkStart w:id="263" w:name="_Toc152042333"/>
      <w:bookmarkStart w:id="264" w:name="_Toc361508614"/>
      <w:bookmarkStart w:id="265" w:name="_Toc384308239"/>
      <w:r>
        <w:rPr>
          <w:rFonts w:hint="eastAsia" w:ascii="宋体" w:hAnsi="宋体" w:cs="宋体"/>
          <w:sz w:val="24"/>
          <w:highlight w:val="none"/>
        </w:rPr>
        <w:t>则。</w:t>
      </w:r>
    </w:p>
    <w:p w14:paraId="4E141668">
      <w:pPr>
        <w:pStyle w:val="3"/>
        <w:spacing w:before="0" w:after="0" w:line="360" w:lineRule="auto"/>
        <w:rPr>
          <w:rFonts w:hint="eastAsia" w:ascii="宋体" w:hAnsi="宋体" w:cs="宋体"/>
          <w:highlight w:val="none"/>
        </w:rPr>
      </w:pPr>
      <w:bookmarkStart w:id="266" w:name="_Toc529196559"/>
      <w:bookmarkStart w:id="267" w:name="_Toc102997608"/>
      <w:bookmarkStart w:id="268" w:name="_Toc515205232"/>
      <w:r>
        <w:rPr>
          <w:rFonts w:hint="eastAsia" w:ascii="宋体" w:hAnsi="宋体" w:cs="宋体"/>
          <w:highlight w:val="none"/>
        </w:rPr>
        <w:t>6.3 评标</w:t>
      </w:r>
      <w:bookmarkEnd w:id="266"/>
      <w:bookmarkEnd w:id="267"/>
      <w:bookmarkEnd w:id="268"/>
    </w:p>
    <w:p w14:paraId="677FBF2A">
      <w:pPr>
        <w:spacing w:line="360" w:lineRule="auto"/>
        <w:rPr>
          <w:rFonts w:hint="eastAsia" w:ascii="宋体" w:hAnsi="宋体" w:cs="宋体"/>
          <w:sz w:val="24"/>
          <w:highlight w:val="none"/>
        </w:rPr>
      </w:pPr>
      <w:r>
        <w:rPr>
          <w:rFonts w:hint="eastAsia" w:ascii="宋体" w:hAnsi="宋体" w:cs="宋体"/>
          <w:sz w:val="24"/>
          <w:highlight w:val="none"/>
        </w:rPr>
        <w:t>6</w:t>
      </w:r>
      <w:bookmarkEnd w:id="255"/>
      <w:bookmarkEnd w:id="256"/>
      <w:bookmarkEnd w:id="257"/>
      <w:bookmarkEnd w:id="258"/>
      <w:bookmarkEnd w:id="259"/>
      <w:bookmarkEnd w:id="260"/>
      <w:bookmarkEnd w:id="261"/>
      <w:bookmarkEnd w:id="262"/>
      <w:bookmarkEnd w:id="263"/>
      <w:bookmarkEnd w:id="264"/>
      <w:bookmarkEnd w:id="265"/>
      <w:r>
        <w:rPr>
          <w:rFonts w:hint="eastAsia" w:ascii="宋体" w:hAnsi="宋体" w:cs="宋体"/>
          <w:sz w:val="24"/>
          <w:highlight w:val="none"/>
        </w:rPr>
        <w:t>.3.1评标委员会按照第三章“评标办法”规定的方法、评审因素、标准和程序对投标文件进行评审。第三章“评标办法”没有规定的方法、评审因素和标准，不作为评标依据。</w:t>
      </w:r>
    </w:p>
    <w:p w14:paraId="09935699">
      <w:pPr>
        <w:spacing w:line="360" w:lineRule="auto"/>
        <w:rPr>
          <w:rFonts w:hint="eastAsia" w:ascii="宋体" w:hAnsi="宋体" w:cs="宋体"/>
          <w:sz w:val="24"/>
          <w:highlight w:val="none"/>
        </w:rPr>
      </w:pPr>
      <w:r>
        <w:rPr>
          <w:rFonts w:hint="eastAsia" w:ascii="宋体" w:hAnsi="宋体" w:cs="宋体"/>
          <w:sz w:val="24"/>
          <w:highlight w:val="none"/>
        </w:rPr>
        <w:t>6.3.2评标完成后，评标委员会应当向招标人提交书面评标报告和中标候选人名单。评标委员会推荐中标</w:t>
      </w:r>
      <w:bookmarkStart w:id="269" w:name="_Toc352691502"/>
      <w:bookmarkStart w:id="270" w:name="_Toc384308240"/>
      <w:bookmarkStart w:id="271" w:name="_Toc144974526"/>
      <w:bookmarkStart w:id="272" w:name="_Toc369531546"/>
      <w:bookmarkStart w:id="273" w:name="_Toc152042334"/>
      <w:bookmarkStart w:id="274" w:name="_Toc12259"/>
      <w:bookmarkStart w:id="275" w:name="_Toc361508615"/>
      <w:bookmarkStart w:id="276" w:name="_Toc247513982"/>
      <w:bookmarkStart w:id="277" w:name="_Toc247527583"/>
      <w:bookmarkStart w:id="278" w:name="_Toc152045558"/>
      <w:bookmarkStart w:id="279" w:name="_Toc300834979"/>
      <w:r>
        <w:rPr>
          <w:rFonts w:hint="eastAsia" w:ascii="宋体" w:hAnsi="宋体" w:cs="宋体"/>
          <w:sz w:val="24"/>
          <w:highlight w:val="none"/>
        </w:rPr>
        <w:t>候选人的人数见投标人须知前附</w:t>
      </w:r>
      <w:bookmarkEnd w:id="269"/>
      <w:bookmarkEnd w:id="270"/>
      <w:bookmarkEnd w:id="271"/>
      <w:bookmarkEnd w:id="272"/>
      <w:bookmarkEnd w:id="273"/>
      <w:bookmarkEnd w:id="274"/>
      <w:bookmarkEnd w:id="275"/>
      <w:bookmarkEnd w:id="276"/>
      <w:bookmarkEnd w:id="277"/>
      <w:bookmarkEnd w:id="278"/>
      <w:bookmarkEnd w:id="279"/>
      <w:r>
        <w:rPr>
          <w:rFonts w:hint="eastAsia" w:ascii="宋体" w:hAnsi="宋体" w:cs="宋体"/>
          <w:sz w:val="24"/>
          <w:highlight w:val="none"/>
        </w:rPr>
        <w:t>表。</w:t>
      </w:r>
    </w:p>
    <w:p w14:paraId="12C92E9A">
      <w:pPr>
        <w:pStyle w:val="3"/>
        <w:spacing w:before="0" w:after="0" w:line="360" w:lineRule="auto"/>
        <w:rPr>
          <w:rFonts w:hint="eastAsia" w:ascii="宋体" w:hAnsi="宋体" w:cs="宋体"/>
          <w:highlight w:val="none"/>
        </w:rPr>
      </w:pPr>
      <w:bookmarkStart w:id="280" w:name="_Toc515205233"/>
      <w:bookmarkStart w:id="281" w:name="_Toc529196560"/>
      <w:bookmarkStart w:id="282" w:name="_Toc102997609"/>
      <w:r>
        <w:rPr>
          <w:rFonts w:hint="eastAsia" w:ascii="宋体" w:hAnsi="宋体" w:cs="宋体"/>
          <w:highlight w:val="none"/>
        </w:rPr>
        <w:t>7. 合同授予</w:t>
      </w:r>
      <w:bookmarkEnd w:id="280"/>
      <w:bookmarkEnd w:id="281"/>
      <w:bookmarkEnd w:id="282"/>
    </w:p>
    <w:p w14:paraId="58098535">
      <w:pPr>
        <w:pStyle w:val="3"/>
        <w:spacing w:before="0" w:after="0" w:line="360" w:lineRule="auto"/>
        <w:rPr>
          <w:rFonts w:hint="eastAsia" w:ascii="宋体" w:hAnsi="宋体" w:cs="宋体"/>
          <w:highlight w:val="none"/>
        </w:rPr>
      </w:pPr>
      <w:bookmarkStart w:id="283" w:name="_Toc102997610"/>
      <w:bookmarkStart w:id="284" w:name="_Toc515205234"/>
      <w:bookmarkStart w:id="285" w:name="_Toc529196561"/>
      <w:r>
        <w:rPr>
          <w:rFonts w:hint="eastAsia" w:ascii="宋体" w:hAnsi="宋体" w:cs="宋体"/>
          <w:highlight w:val="none"/>
        </w:rPr>
        <w:t>7.1 中标候选人公示</w:t>
      </w:r>
      <w:bookmarkEnd w:id="283"/>
      <w:bookmarkEnd w:id="284"/>
      <w:bookmarkEnd w:id="285"/>
    </w:p>
    <w:p w14:paraId="47B3D77E">
      <w:pPr>
        <w:spacing w:line="360" w:lineRule="auto"/>
        <w:rPr>
          <w:rFonts w:hint="eastAsia" w:ascii="宋体" w:hAnsi="宋体" w:cs="宋体"/>
          <w:sz w:val="24"/>
          <w:highlight w:val="none"/>
        </w:rPr>
      </w:pPr>
      <w:r>
        <w:rPr>
          <w:rFonts w:hint="eastAsia" w:ascii="宋体" w:hAnsi="宋体" w:cs="宋体"/>
          <w:sz w:val="24"/>
          <w:highlight w:val="none"/>
        </w:rPr>
        <w:t>招标人在收到评标报告之日起3日内，按照投标人须知前附表规定的公示媒介和期限公示中标候选人，公示期不得少于3天。</w:t>
      </w:r>
    </w:p>
    <w:p w14:paraId="1148E9B5">
      <w:pPr>
        <w:pStyle w:val="3"/>
        <w:spacing w:before="0" w:after="0" w:line="360" w:lineRule="auto"/>
        <w:rPr>
          <w:rFonts w:hint="eastAsia" w:ascii="宋体" w:hAnsi="宋体" w:cs="宋体"/>
          <w:highlight w:val="none"/>
        </w:rPr>
      </w:pPr>
      <w:bookmarkStart w:id="286" w:name="_Toc515205235"/>
      <w:bookmarkStart w:id="287" w:name="_Toc529196562"/>
      <w:bookmarkStart w:id="288" w:name="_Toc102997611"/>
      <w:r>
        <w:rPr>
          <w:rFonts w:hint="eastAsia" w:ascii="宋体" w:hAnsi="宋体" w:cs="宋体"/>
          <w:highlight w:val="none"/>
        </w:rPr>
        <w:t>7.2 评标结果异议</w:t>
      </w:r>
      <w:bookmarkEnd w:id="286"/>
      <w:bookmarkEnd w:id="287"/>
      <w:bookmarkEnd w:id="288"/>
    </w:p>
    <w:p w14:paraId="4EC7269C">
      <w:pPr>
        <w:spacing w:line="360" w:lineRule="auto"/>
        <w:rPr>
          <w:rFonts w:hint="eastAsia" w:ascii="宋体" w:hAnsi="宋体" w:cs="宋体"/>
          <w:sz w:val="24"/>
          <w:highlight w:val="none"/>
        </w:rPr>
      </w:pPr>
      <w:r>
        <w:rPr>
          <w:rFonts w:hint="eastAsia" w:ascii="宋体" w:hAnsi="宋体" w:cs="宋体"/>
          <w:sz w:val="24"/>
          <w:highlight w:val="none"/>
        </w:rPr>
        <w:t>投标人或者其他利</w:t>
      </w:r>
      <w:bookmarkStart w:id="289" w:name="_Toc352691505"/>
      <w:bookmarkStart w:id="290" w:name="_Toc369531549"/>
      <w:bookmarkStart w:id="291" w:name="_Toc144974529"/>
      <w:bookmarkStart w:id="292" w:name="_Toc152045561"/>
      <w:bookmarkStart w:id="293" w:name="_Toc247527586"/>
      <w:bookmarkStart w:id="294" w:name="_Toc300834982"/>
      <w:bookmarkStart w:id="295" w:name="_Toc384308243"/>
      <w:bookmarkStart w:id="296" w:name="_Toc361508618"/>
      <w:bookmarkStart w:id="297" w:name="_Toc30095"/>
      <w:bookmarkStart w:id="298" w:name="_Toc152042337"/>
      <w:bookmarkStart w:id="299" w:name="_Toc247513985"/>
      <w:r>
        <w:rPr>
          <w:rFonts w:hint="eastAsia" w:ascii="宋体" w:hAnsi="宋体" w:cs="宋体"/>
          <w:sz w:val="24"/>
          <w:highlight w:val="none"/>
        </w:rPr>
        <w:t>害关系人对评标结</w:t>
      </w:r>
      <w:bookmarkEnd w:id="289"/>
      <w:bookmarkEnd w:id="290"/>
      <w:bookmarkEnd w:id="291"/>
      <w:bookmarkEnd w:id="292"/>
      <w:bookmarkEnd w:id="293"/>
      <w:bookmarkEnd w:id="294"/>
      <w:bookmarkEnd w:id="295"/>
      <w:bookmarkEnd w:id="296"/>
      <w:bookmarkEnd w:id="297"/>
      <w:bookmarkEnd w:id="298"/>
      <w:bookmarkEnd w:id="299"/>
      <w:r>
        <w:rPr>
          <w:rFonts w:hint="eastAsia" w:ascii="宋体" w:hAnsi="宋体" w:cs="宋体"/>
          <w:sz w:val="24"/>
          <w:highlight w:val="none"/>
        </w:rPr>
        <w:t>果有异议的，应当在中标候选人公示期间提出。招标人将在收到异议之日起3日内作出答复；作出答复前，将暂停招标投标活动。</w:t>
      </w:r>
    </w:p>
    <w:p w14:paraId="339697BE">
      <w:pPr>
        <w:pStyle w:val="3"/>
        <w:spacing w:before="0" w:after="0" w:line="360" w:lineRule="auto"/>
        <w:rPr>
          <w:rFonts w:hint="eastAsia" w:ascii="宋体" w:hAnsi="宋体" w:cs="宋体"/>
          <w:highlight w:val="none"/>
        </w:rPr>
      </w:pPr>
      <w:bookmarkStart w:id="300" w:name="_Toc102997612"/>
      <w:bookmarkStart w:id="301" w:name="_Toc515205236"/>
      <w:bookmarkStart w:id="302" w:name="_Toc529196563"/>
      <w:r>
        <w:rPr>
          <w:rFonts w:hint="eastAsia" w:ascii="宋体" w:hAnsi="宋体" w:cs="宋体"/>
          <w:highlight w:val="none"/>
        </w:rPr>
        <w:t>7.3 中标候选人履约能力审查</w:t>
      </w:r>
      <w:bookmarkEnd w:id="300"/>
      <w:bookmarkEnd w:id="301"/>
      <w:bookmarkEnd w:id="302"/>
    </w:p>
    <w:p w14:paraId="30C4567E">
      <w:pPr>
        <w:spacing w:line="360" w:lineRule="auto"/>
        <w:rPr>
          <w:rFonts w:hint="eastAsia" w:ascii="宋体" w:hAnsi="宋体" w:cs="宋体"/>
          <w:sz w:val="24"/>
          <w:highlight w:val="none"/>
        </w:rPr>
      </w:pPr>
      <w:r>
        <w:rPr>
          <w:rFonts w:hint="eastAsia" w:ascii="宋体" w:hAnsi="宋体" w:cs="宋体"/>
          <w:sz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4B77ECBD">
      <w:pPr>
        <w:pStyle w:val="3"/>
        <w:spacing w:before="0" w:after="0" w:line="360" w:lineRule="auto"/>
        <w:rPr>
          <w:rFonts w:hint="eastAsia" w:ascii="宋体" w:hAnsi="宋体" w:cs="宋体"/>
          <w:highlight w:val="none"/>
        </w:rPr>
      </w:pPr>
      <w:bookmarkStart w:id="303" w:name="_Toc529196564"/>
      <w:bookmarkStart w:id="304" w:name="_Toc102997613"/>
      <w:bookmarkStart w:id="305" w:name="_Toc515205237"/>
      <w:r>
        <w:rPr>
          <w:rFonts w:hint="eastAsia" w:ascii="宋体" w:hAnsi="宋体" w:cs="宋体"/>
          <w:highlight w:val="none"/>
        </w:rPr>
        <w:t>7.4 定标</w:t>
      </w:r>
      <w:bookmarkEnd w:id="303"/>
      <w:bookmarkEnd w:id="304"/>
      <w:bookmarkEnd w:id="305"/>
    </w:p>
    <w:p w14:paraId="6BCF929E">
      <w:pPr>
        <w:spacing w:line="360" w:lineRule="auto"/>
        <w:rPr>
          <w:rFonts w:hint="eastAsia" w:ascii="宋体" w:hAnsi="宋体" w:cs="宋体"/>
          <w:sz w:val="24"/>
          <w:highlight w:val="none"/>
        </w:rPr>
      </w:pPr>
      <w:r>
        <w:rPr>
          <w:rFonts w:hint="eastAsia" w:ascii="宋体" w:hAnsi="宋体" w:cs="宋体"/>
          <w:sz w:val="24"/>
          <w:highlight w:val="none"/>
        </w:rPr>
        <w:t>按照投标人须知前附表的规定，招标人或招标人授权的评标委员会依法确定中标人。</w:t>
      </w:r>
    </w:p>
    <w:p w14:paraId="42C6D492">
      <w:pPr>
        <w:pStyle w:val="3"/>
        <w:spacing w:before="0" w:after="0" w:line="360" w:lineRule="auto"/>
        <w:rPr>
          <w:rFonts w:hint="eastAsia" w:ascii="宋体" w:hAnsi="宋体" w:cs="宋体"/>
          <w:highlight w:val="none"/>
        </w:rPr>
      </w:pPr>
      <w:bookmarkStart w:id="306" w:name="_Toc529196565"/>
      <w:bookmarkStart w:id="307" w:name="_Toc515205238"/>
      <w:bookmarkStart w:id="308" w:name="_Toc102997614"/>
      <w:r>
        <w:rPr>
          <w:rFonts w:hint="eastAsia" w:ascii="宋体" w:hAnsi="宋体" w:cs="宋体"/>
          <w:highlight w:val="none"/>
        </w:rPr>
        <w:t>7.5 中标通知</w:t>
      </w:r>
      <w:bookmarkEnd w:id="306"/>
      <w:bookmarkEnd w:id="307"/>
      <w:bookmarkEnd w:id="308"/>
    </w:p>
    <w:p w14:paraId="00F5B15F">
      <w:pPr>
        <w:spacing w:line="360" w:lineRule="auto"/>
        <w:rPr>
          <w:rFonts w:hint="eastAsia" w:ascii="宋体" w:hAnsi="宋体" w:cs="宋体"/>
          <w:sz w:val="24"/>
          <w:highlight w:val="none"/>
        </w:rPr>
      </w:pPr>
      <w:r>
        <w:rPr>
          <w:rFonts w:hint="eastAsia" w:ascii="宋体" w:hAnsi="宋体" w:cs="宋体"/>
          <w:sz w:val="24"/>
          <w:highlight w:val="none"/>
        </w:rPr>
        <w:t>在本章第3.3款规定的投标有效期内，招标人以书面形式向中标人发出中标</w:t>
      </w:r>
      <w:bookmarkStart w:id="309" w:name="_Toc300834983"/>
      <w:bookmarkStart w:id="310" w:name="_Toc369531550"/>
      <w:bookmarkStart w:id="311" w:name="_Toc5668"/>
      <w:bookmarkStart w:id="312" w:name="_Toc384308244"/>
      <w:bookmarkStart w:id="313" w:name="_Toc361508619"/>
      <w:bookmarkStart w:id="314" w:name="_Toc352691506"/>
      <w:r>
        <w:rPr>
          <w:rFonts w:hint="eastAsia" w:ascii="宋体" w:hAnsi="宋体" w:cs="宋体"/>
          <w:sz w:val="24"/>
          <w:highlight w:val="none"/>
        </w:rPr>
        <w:t>通知书，同时将中</w:t>
      </w:r>
      <w:bookmarkEnd w:id="309"/>
      <w:bookmarkEnd w:id="310"/>
      <w:bookmarkEnd w:id="311"/>
      <w:bookmarkEnd w:id="312"/>
      <w:bookmarkEnd w:id="313"/>
      <w:bookmarkEnd w:id="314"/>
      <w:r>
        <w:rPr>
          <w:rFonts w:hint="eastAsia" w:ascii="宋体" w:hAnsi="宋体" w:cs="宋体"/>
          <w:sz w:val="24"/>
          <w:highlight w:val="none"/>
        </w:rPr>
        <w:t>标结果通知未中标的投标人。</w:t>
      </w:r>
    </w:p>
    <w:p w14:paraId="0192935D">
      <w:pPr>
        <w:pStyle w:val="3"/>
        <w:spacing w:before="0" w:after="0" w:line="360" w:lineRule="auto"/>
        <w:rPr>
          <w:rFonts w:hint="eastAsia" w:ascii="宋体" w:hAnsi="宋体" w:cs="宋体"/>
          <w:highlight w:val="none"/>
        </w:rPr>
      </w:pPr>
      <w:bookmarkStart w:id="315" w:name="_Toc529196566"/>
      <w:bookmarkStart w:id="316" w:name="_Toc102997615"/>
      <w:bookmarkStart w:id="317" w:name="_Toc515205239"/>
      <w:r>
        <w:rPr>
          <w:rFonts w:hint="eastAsia" w:ascii="宋体" w:hAnsi="宋体" w:cs="宋体"/>
          <w:highlight w:val="none"/>
        </w:rPr>
        <w:t>7.6 履约保证金</w:t>
      </w:r>
      <w:bookmarkEnd w:id="315"/>
      <w:bookmarkEnd w:id="316"/>
      <w:bookmarkEnd w:id="317"/>
    </w:p>
    <w:p w14:paraId="36F2DEE2">
      <w:pPr>
        <w:tabs>
          <w:tab w:val="left" w:pos="1050"/>
        </w:tabs>
        <w:spacing w:line="360" w:lineRule="auto"/>
        <w:rPr>
          <w:rFonts w:hint="eastAsia" w:ascii="宋体" w:hAnsi="宋体" w:cs="宋体"/>
          <w:sz w:val="24"/>
          <w:highlight w:val="none"/>
        </w:rPr>
      </w:pPr>
      <w:r>
        <w:rPr>
          <w:rFonts w:hint="eastAsia" w:ascii="宋体" w:hAnsi="宋体" w:cs="宋体"/>
          <w:sz w:val="24"/>
          <w:highlight w:val="none"/>
        </w:rPr>
        <w:t>7.6.1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68573252">
      <w:pPr>
        <w:spacing w:line="360" w:lineRule="auto"/>
        <w:rPr>
          <w:rFonts w:hint="eastAsia" w:ascii="宋体" w:hAnsi="宋体" w:cs="宋体"/>
          <w:sz w:val="24"/>
          <w:highlight w:val="none"/>
        </w:rPr>
      </w:pPr>
      <w:r>
        <w:rPr>
          <w:rFonts w:hint="eastAsia" w:ascii="宋体" w:hAnsi="宋体" w:cs="宋体"/>
          <w:sz w:val="24"/>
          <w:highlight w:val="none"/>
        </w:rPr>
        <w:t>7.6.2 中标人不能按本章第7.6.1项要求提交履约保证金的，视为放弃中标，给招标人造成的损失，中标人还应当予以赔偿。</w:t>
      </w:r>
    </w:p>
    <w:p w14:paraId="45CBBDBE">
      <w:pPr>
        <w:pStyle w:val="3"/>
        <w:spacing w:before="0" w:after="0" w:line="360" w:lineRule="auto"/>
        <w:rPr>
          <w:rFonts w:hint="eastAsia" w:ascii="宋体" w:hAnsi="宋体" w:cs="宋体"/>
          <w:highlight w:val="none"/>
        </w:rPr>
      </w:pPr>
      <w:bookmarkStart w:id="318" w:name="_Toc102997616"/>
      <w:bookmarkStart w:id="319" w:name="_Toc529196567"/>
      <w:bookmarkStart w:id="320" w:name="_Toc515205240"/>
      <w:r>
        <w:rPr>
          <w:rFonts w:hint="eastAsia" w:ascii="宋体" w:hAnsi="宋体" w:cs="宋体"/>
          <w:highlight w:val="none"/>
        </w:rPr>
        <w:t>7.7 签订合同</w:t>
      </w:r>
      <w:bookmarkEnd w:id="318"/>
      <w:bookmarkEnd w:id="319"/>
      <w:bookmarkEnd w:id="320"/>
    </w:p>
    <w:p w14:paraId="50F1B151">
      <w:pPr>
        <w:spacing w:line="360" w:lineRule="auto"/>
        <w:rPr>
          <w:rFonts w:hint="eastAsia" w:ascii="宋体" w:hAnsi="宋体" w:cs="宋体"/>
          <w:sz w:val="24"/>
          <w:highlight w:val="none"/>
        </w:rPr>
      </w:pPr>
      <w:r>
        <w:rPr>
          <w:rFonts w:hint="eastAsia" w:ascii="宋体" w:hAnsi="宋体" w:cs="宋体"/>
          <w:sz w:val="24"/>
          <w:highlight w:val="none"/>
        </w:rPr>
        <w:t>7.7.1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给招标人造成的损失，中标人还应当予以赔偿。</w:t>
      </w:r>
    </w:p>
    <w:p w14:paraId="781F5ED0">
      <w:pPr>
        <w:spacing w:line="360" w:lineRule="auto"/>
        <w:rPr>
          <w:rFonts w:hint="eastAsia" w:ascii="宋体" w:hAnsi="宋体" w:cs="宋体"/>
          <w:sz w:val="24"/>
          <w:highlight w:val="none"/>
        </w:rPr>
      </w:pPr>
      <w:r>
        <w:rPr>
          <w:rFonts w:hint="eastAsia" w:ascii="宋体" w:hAnsi="宋体" w:cs="宋体"/>
          <w:sz w:val="24"/>
          <w:highlight w:val="none"/>
        </w:rPr>
        <w:t>7.7.2 发出中标通知书后，招标人无正当理由拒签合同，或者在签订合同时向中标人提出附加条件的；给中标人造成损失的，还应当赔偿损失。</w:t>
      </w:r>
    </w:p>
    <w:p w14:paraId="6FC4BC33">
      <w:pPr>
        <w:spacing w:line="360" w:lineRule="auto"/>
        <w:rPr>
          <w:rFonts w:hint="eastAsia" w:ascii="宋体" w:hAnsi="宋体" w:cs="宋体"/>
          <w:sz w:val="24"/>
          <w:highlight w:val="none"/>
        </w:rPr>
      </w:pPr>
      <w:r>
        <w:rPr>
          <w:rFonts w:hint="eastAsia" w:ascii="宋体" w:hAnsi="宋体" w:cs="宋体"/>
          <w:sz w:val="24"/>
          <w:highlight w:val="none"/>
        </w:rPr>
        <w:t>7.7.3联合体中标的，联合体各方应当共同与招标人签订合同，就中标项目向招标人承担连带责任。</w:t>
      </w:r>
    </w:p>
    <w:p w14:paraId="1B7C7ACB">
      <w:pPr>
        <w:pStyle w:val="3"/>
        <w:spacing w:before="0" w:after="0" w:line="360" w:lineRule="auto"/>
        <w:rPr>
          <w:rFonts w:hint="eastAsia" w:ascii="宋体" w:hAnsi="宋体" w:cs="宋体"/>
          <w:highlight w:val="none"/>
        </w:rPr>
      </w:pPr>
      <w:bookmarkStart w:id="321" w:name="_Toc384308252"/>
      <w:bookmarkStart w:id="322" w:name="_Toc24067"/>
      <w:bookmarkStart w:id="323" w:name="_Toc361508627"/>
      <w:bookmarkStart w:id="324" w:name="_Toc102997617"/>
      <w:bookmarkStart w:id="325" w:name="_Toc529196568"/>
      <w:bookmarkStart w:id="326" w:name="_Toc515205241"/>
      <w:bookmarkStart w:id="327" w:name="_Toc300834991"/>
      <w:bookmarkStart w:id="328" w:name="_Toc247527593"/>
      <w:bookmarkStart w:id="329" w:name="_Toc144974536"/>
      <w:bookmarkStart w:id="330" w:name="_Toc247513992"/>
      <w:bookmarkStart w:id="331" w:name="_Toc152045568"/>
      <w:bookmarkStart w:id="332" w:name="_Toc152042344"/>
      <w:r>
        <w:rPr>
          <w:rFonts w:hint="eastAsia" w:ascii="宋体" w:hAnsi="宋体" w:cs="宋体"/>
          <w:highlight w:val="none"/>
        </w:rPr>
        <w:t>8.</w:t>
      </w:r>
      <w:bookmarkEnd w:id="321"/>
      <w:bookmarkEnd w:id="322"/>
      <w:bookmarkEnd w:id="323"/>
      <w:r>
        <w:rPr>
          <w:rFonts w:hint="eastAsia" w:ascii="宋体" w:hAnsi="宋体" w:cs="宋体"/>
          <w:highlight w:val="none"/>
        </w:rPr>
        <w:t>纪律和监督</w:t>
      </w:r>
      <w:bookmarkEnd w:id="324"/>
      <w:bookmarkEnd w:id="325"/>
      <w:bookmarkEnd w:id="326"/>
    </w:p>
    <w:p w14:paraId="38653BD7">
      <w:pPr>
        <w:pStyle w:val="3"/>
        <w:spacing w:before="0" w:after="0" w:line="360" w:lineRule="auto"/>
        <w:rPr>
          <w:rFonts w:hint="eastAsia" w:ascii="宋体" w:hAnsi="宋体" w:cs="宋体"/>
          <w:highlight w:val="none"/>
        </w:rPr>
      </w:pPr>
      <w:bookmarkStart w:id="333" w:name="_Toc529196569"/>
      <w:bookmarkStart w:id="334" w:name="_Toc102997618"/>
      <w:bookmarkStart w:id="335" w:name="_Toc515205242"/>
      <w:r>
        <w:rPr>
          <w:rFonts w:hint="eastAsia" w:ascii="宋体" w:hAnsi="宋体" w:cs="宋体"/>
          <w:highlight w:val="none"/>
        </w:rPr>
        <w:t>8.1 对招标人的纪律要求</w:t>
      </w:r>
      <w:bookmarkEnd w:id="333"/>
      <w:bookmarkEnd w:id="334"/>
      <w:bookmarkEnd w:id="335"/>
    </w:p>
    <w:p w14:paraId="0BA8D803">
      <w:pPr>
        <w:spacing w:line="360" w:lineRule="auto"/>
        <w:rPr>
          <w:rFonts w:hint="eastAsia" w:ascii="宋体" w:hAnsi="宋体" w:cs="宋体"/>
          <w:sz w:val="24"/>
          <w:highlight w:val="none"/>
        </w:rPr>
      </w:pPr>
      <w:r>
        <w:rPr>
          <w:rFonts w:hint="eastAsia" w:ascii="宋体" w:hAnsi="宋体" w:cs="宋体"/>
          <w:sz w:val="24"/>
          <w:highlight w:val="none"/>
        </w:rPr>
        <w:t>招标人不得泄露招标投标活动中应当保密的情况和资料，不得与投标人串通损害国家利益、社会公共利益或者他人合法权益。</w:t>
      </w:r>
    </w:p>
    <w:p w14:paraId="191DA648">
      <w:pPr>
        <w:pStyle w:val="3"/>
        <w:spacing w:before="0" w:after="0" w:line="360" w:lineRule="auto"/>
        <w:rPr>
          <w:rFonts w:hint="eastAsia" w:ascii="宋体" w:hAnsi="宋体" w:cs="宋体"/>
          <w:highlight w:val="none"/>
        </w:rPr>
      </w:pPr>
      <w:bookmarkStart w:id="336" w:name="_Toc515205243"/>
      <w:bookmarkStart w:id="337" w:name="_Toc529196570"/>
      <w:bookmarkStart w:id="338" w:name="_Toc102997619"/>
      <w:r>
        <w:rPr>
          <w:rFonts w:hint="eastAsia" w:ascii="宋体" w:hAnsi="宋体" w:cs="宋体"/>
          <w:highlight w:val="none"/>
        </w:rPr>
        <w:t>8.2 对投标人的纪律要求</w:t>
      </w:r>
      <w:bookmarkEnd w:id="336"/>
      <w:bookmarkEnd w:id="337"/>
      <w:bookmarkEnd w:id="338"/>
    </w:p>
    <w:p w14:paraId="2AF95CF8">
      <w:pPr>
        <w:spacing w:line="360" w:lineRule="auto"/>
        <w:rPr>
          <w:rFonts w:hint="eastAsia" w:ascii="宋体" w:hAnsi="宋体" w:cs="宋体"/>
          <w:sz w:val="24"/>
          <w:highlight w:val="none"/>
        </w:rPr>
      </w:pPr>
      <w:r>
        <w:rPr>
          <w:rFonts w:hint="eastAsia" w:ascii="宋体" w:hAnsi="宋体" w:cs="宋体"/>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2419A84">
      <w:pPr>
        <w:pStyle w:val="3"/>
        <w:spacing w:before="0" w:after="0" w:line="360" w:lineRule="auto"/>
        <w:rPr>
          <w:rFonts w:hint="eastAsia" w:ascii="宋体" w:hAnsi="宋体" w:cs="宋体"/>
          <w:highlight w:val="none"/>
        </w:rPr>
      </w:pPr>
      <w:bookmarkStart w:id="339" w:name="_Toc515205244"/>
      <w:bookmarkStart w:id="340" w:name="_Toc102997620"/>
      <w:bookmarkStart w:id="341" w:name="_Toc529196571"/>
      <w:r>
        <w:rPr>
          <w:rFonts w:hint="eastAsia" w:ascii="宋体" w:hAnsi="宋体" w:cs="宋体"/>
          <w:highlight w:val="none"/>
        </w:rPr>
        <w:t>8.3 对评标委员会成员的纪律要求</w:t>
      </w:r>
      <w:bookmarkEnd w:id="339"/>
      <w:bookmarkEnd w:id="340"/>
      <w:bookmarkEnd w:id="341"/>
    </w:p>
    <w:p w14:paraId="4EF601C8">
      <w:pPr>
        <w:spacing w:line="360" w:lineRule="auto"/>
        <w:rPr>
          <w:rFonts w:hint="eastAsia" w:ascii="宋体" w:hAnsi="宋体" w:cs="宋体"/>
          <w:sz w:val="24"/>
          <w:highlight w:val="none"/>
        </w:rPr>
      </w:pPr>
      <w:r>
        <w:rPr>
          <w:rFonts w:hint="eastAsia" w:ascii="宋体" w:hAnsi="宋体" w:cs="宋体"/>
          <w:sz w:val="24"/>
          <w:highlight w:val="none"/>
        </w:rPr>
        <w:t>评标委员会成员不得收受他人的财物或者其他好处，不得向他人透露对投标文件的评审</w:t>
      </w:r>
      <w:bookmarkStart w:id="342" w:name="_Toc361508628"/>
      <w:bookmarkStart w:id="343" w:name="_Toc13644"/>
      <w:bookmarkStart w:id="344" w:name="_Toc369531559"/>
      <w:bookmarkStart w:id="345" w:name="_Toc352691515"/>
      <w:bookmarkStart w:id="346" w:name="_Toc384308253"/>
      <w:r>
        <w:rPr>
          <w:rFonts w:hint="eastAsia" w:ascii="宋体" w:hAnsi="宋体" w:cs="宋体"/>
          <w:sz w:val="24"/>
          <w:highlight w:val="none"/>
        </w:rPr>
        <w:t>和比较、中标候选人</w:t>
      </w:r>
      <w:bookmarkEnd w:id="327"/>
      <w:bookmarkEnd w:id="328"/>
      <w:bookmarkEnd w:id="329"/>
      <w:bookmarkEnd w:id="330"/>
      <w:bookmarkEnd w:id="331"/>
      <w:bookmarkEnd w:id="332"/>
      <w:bookmarkEnd w:id="342"/>
      <w:bookmarkEnd w:id="343"/>
      <w:bookmarkEnd w:id="344"/>
      <w:bookmarkEnd w:id="345"/>
      <w:bookmarkEnd w:id="346"/>
      <w:r>
        <w:rPr>
          <w:rFonts w:hint="eastAsia" w:ascii="宋体" w:hAnsi="宋体" w:cs="宋体"/>
          <w:sz w:val="24"/>
          <w:highlight w:val="none"/>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08E5B5C8">
      <w:pPr>
        <w:pStyle w:val="3"/>
        <w:spacing w:before="0" w:after="0" w:line="360" w:lineRule="auto"/>
        <w:rPr>
          <w:rFonts w:hint="eastAsia" w:ascii="宋体" w:hAnsi="宋体" w:cs="宋体"/>
          <w:highlight w:val="none"/>
        </w:rPr>
      </w:pPr>
      <w:bookmarkStart w:id="347" w:name="_Toc102997621"/>
      <w:bookmarkStart w:id="348" w:name="_Toc529196572"/>
      <w:bookmarkStart w:id="349" w:name="_Toc515205245"/>
      <w:r>
        <w:rPr>
          <w:rFonts w:hint="eastAsia" w:ascii="宋体" w:hAnsi="宋体" w:cs="宋体"/>
          <w:highlight w:val="none"/>
        </w:rPr>
        <w:t>8.4 对与评标活动有关的工作人员的纪律要求</w:t>
      </w:r>
      <w:bookmarkEnd w:id="347"/>
      <w:bookmarkEnd w:id="348"/>
      <w:bookmarkEnd w:id="349"/>
    </w:p>
    <w:p w14:paraId="68F8A14A">
      <w:pPr>
        <w:spacing w:line="360" w:lineRule="auto"/>
        <w:rPr>
          <w:rFonts w:hint="eastAsia" w:ascii="宋体" w:hAnsi="宋体" w:cs="宋体"/>
          <w:sz w:val="24"/>
          <w:highlight w:val="none"/>
        </w:rPr>
      </w:pPr>
      <w:r>
        <w:rPr>
          <w:rFonts w:hint="eastAsia" w:ascii="宋体" w:hAnsi="宋体" w:cs="宋体"/>
          <w:sz w:val="24"/>
          <w:highlight w:val="none"/>
        </w:rPr>
        <w:t>与评标活动有关的工作人员不得收受他人的财物或者其他好处，不得向他人透露对投标文件</w:t>
      </w:r>
      <w:bookmarkStart w:id="350" w:name="_Toc247527594"/>
      <w:bookmarkStart w:id="351" w:name="_Toc247513993"/>
      <w:bookmarkStart w:id="352" w:name="_Toc361508629"/>
      <w:bookmarkStart w:id="353" w:name="_Toc384308254"/>
      <w:bookmarkStart w:id="354" w:name="_Toc152045569"/>
      <w:bookmarkStart w:id="355" w:name="_Toc19429"/>
      <w:bookmarkStart w:id="356" w:name="_Toc144974537"/>
      <w:bookmarkStart w:id="357" w:name="_Toc300834992"/>
      <w:bookmarkStart w:id="358" w:name="_Toc352691516"/>
      <w:bookmarkStart w:id="359" w:name="_Toc152042345"/>
      <w:bookmarkStart w:id="360" w:name="_Toc369531560"/>
      <w:r>
        <w:rPr>
          <w:rFonts w:hint="eastAsia" w:ascii="宋体" w:hAnsi="宋体" w:cs="宋体"/>
          <w:sz w:val="24"/>
          <w:highlight w:val="none"/>
        </w:rPr>
        <w:t>的评审和比较、中标</w:t>
      </w:r>
      <w:bookmarkEnd w:id="350"/>
      <w:bookmarkEnd w:id="351"/>
      <w:bookmarkEnd w:id="352"/>
      <w:bookmarkEnd w:id="353"/>
      <w:bookmarkEnd w:id="354"/>
      <w:bookmarkEnd w:id="355"/>
      <w:bookmarkEnd w:id="356"/>
      <w:bookmarkEnd w:id="357"/>
      <w:bookmarkEnd w:id="358"/>
      <w:bookmarkEnd w:id="359"/>
      <w:bookmarkEnd w:id="360"/>
      <w:r>
        <w:rPr>
          <w:rFonts w:hint="eastAsia" w:ascii="宋体" w:hAnsi="宋体" w:cs="宋体"/>
          <w:sz w:val="24"/>
          <w:highlight w:val="none"/>
        </w:rPr>
        <w:t>候选人的推荐情况以及评标有关的其他情况。在评标活动中，与评标活动有关的工作人员不得擅离职守，影响评标程序正常进行。</w:t>
      </w:r>
    </w:p>
    <w:p w14:paraId="52D9AA88">
      <w:pPr>
        <w:pStyle w:val="3"/>
        <w:spacing w:before="0" w:after="0" w:line="360" w:lineRule="auto"/>
        <w:rPr>
          <w:rFonts w:hint="eastAsia" w:ascii="宋体" w:hAnsi="宋体" w:cs="宋体"/>
          <w:highlight w:val="none"/>
        </w:rPr>
      </w:pPr>
      <w:bookmarkStart w:id="361" w:name="_Toc102997622"/>
      <w:bookmarkStart w:id="362" w:name="_Toc515205246"/>
      <w:bookmarkStart w:id="363" w:name="_Toc529196573"/>
      <w:r>
        <w:rPr>
          <w:rFonts w:hint="eastAsia" w:ascii="宋体" w:hAnsi="宋体" w:cs="宋体"/>
          <w:highlight w:val="none"/>
        </w:rPr>
        <w:t>8.5 投诉</w:t>
      </w:r>
      <w:bookmarkEnd w:id="361"/>
      <w:bookmarkEnd w:id="362"/>
      <w:bookmarkEnd w:id="363"/>
    </w:p>
    <w:p w14:paraId="0ECADEFE">
      <w:pPr>
        <w:spacing w:line="360" w:lineRule="auto"/>
        <w:rPr>
          <w:rFonts w:hint="eastAsia" w:ascii="宋体" w:hAnsi="宋体" w:cs="宋体"/>
          <w:sz w:val="24"/>
          <w:highlight w:val="none"/>
        </w:rPr>
      </w:pPr>
      <w:r>
        <w:rPr>
          <w:rFonts w:hint="eastAsia" w:ascii="宋体" w:hAnsi="宋体" w:cs="宋体"/>
          <w:sz w:val="24"/>
          <w:highlight w:val="none"/>
        </w:rPr>
        <w:t>8.5.1 投标人或者其他利害关系人认为招标投标活动不符合法律、行政法规规定的，可以自知道或者应当知道之日起10日内向有关行政监督部门投诉。投诉应当有明确的请求和必要的证明材料。</w:t>
      </w:r>
    </w:p>
    <w:p w14:paraId="006D5946">
      <w:pPr>
        <w:spacing w:line="360" w:lineRule="auto"/>
        <w:rPr>
          <w:rFonts w:hint="eastAsia" w:ascii="宋体" w:hAnsi="宋体" w:cs="宋体"/>
          <w:sz w:val="24"/>
          <w:highlight w:val="none"/>
        </w:rPr>
      </w:pPr>
      <w:r>
        <w:rPr>
          <w:rFonts w:hint="eastAsia" w:ascii="宋体" w:hAnsi="宋体" w:cs="宋体"/>
          <w:sz w:val="24"/>
          <w:highlight w:val="none"/>
        </w:rPr>
        <w:t>8.5.2 投标人或者其他利害关系人对招标文件、开标和评标结果提出投诉的，应当按照投标人须知第2.4款、第5.3款和第7.2款的规定先向招标人提出异议。异议答复期间</w:t>
      </w:r>
      <w:bookmarkStart w:id="364" w:name="_Toc152045570"/>
      <w:bookmarkStart w:id="365" w:name="_Toc247527595"/>
      <w:bookmarkStart w:id="366" w:name="_Toc384308255"/>
      <w:bookmarkStart w:id="367" w:name="_Toc352691517"/>
      <w:bookmarkStart w:id="368" w:name="_Toc144974538"/>
      <w:bookmarkStart w:id="369" w:name="_Toc247513994"/>
      <w:bookmarkStart w:id="370" w:name="_Toc369531561"/>
      <w:bookmarkStart w:id="371" w:name="_Toc300834993"/>
      <w:bookmarkStart w:id="372" w:name="_Toc12776"/>
      <w:bookmarkStart w:id="373" w:name="_Toc361508630"/>
      <w:bookmarkStart w:id="374" w:name="_Toc152042346"/>
      <w:r>
        <w:rPr>
          <w:rFonts w:hint="eastAsia" w:ascii="宋体" w:hAnsi="宋体" w:cs="宋体"/>
          <w:sz w:val="24"/>
          <w:highlight w:val="none"/>
        </w:rPr>
        <w:t>不计算在第8.5.</w:t>
      </w:r>
      <w:bookmarkEnd w:id="364"/>
      <w:bookmarkEnd w:id="365"/>
      <w:bookmarkEnd w:id="366"/>
      <w:bookmarkEnd w:id="367"/>
      <w:bookmarkEnd w:id="368"/>
      <w:bookmarkEnd w:id="369"/>
      <w:bookmarkEnd w:id="370"/>
      <w:bookmarkEnd w:id="371"/>
      <w:bookmarkEnd w:id="372"/>
      <w:bookmarkEnd w:id="373"/>
      <w:bookmarkEnd w:id="374"/>
      <w:r>
        <w:rPr>
          <w:rFonts w:hint="eastAsia" w:ascii="宋体" w:hAnsi="宋体" w:cs="宋体"/>
          <w:sz w:val="24"/>
          <w:highlight w:val="none"/>
        </w:rPr>
        <w:t>1项规定的期限内。</w:t>
      </w:r>
    </w:p>
    <w:p w14:paraId="31A4EACE">
      <w:pPr>
        <w:pStyle w:val="3"/>
        <w:spacing w:before="0" w:after="0" w:line="360" w:lineRule="auto"/>
        <w:rPr>
          <w:rFonts w:hint="eastAsia" w:ascii="宋体" w:hAnsi="宋体" w:cs="宋体"/>
          <w:highlight w:val="none"/>
        </w:rPr>
      </w:pPr>
      <w:bookmarkStart w:id="375" w:name="_Toc529196574"/>
      <w:bookmarkStart w:id="376" w:name="_Toc477134992"/>
      <w:bookmarkStart w:id="377" w:name="_Toc515205247"/>
      <w:bookmarkStart w:id="378" w:name="_Toc102997623"/>
      <w:r>
        <w:rPr>
          <w:rFonts w:hint="eastAsia" w:ascii="宋体" w:hAnsi="宋体" w:cs="宋体"/>
          <w:highlight w:val="none"/>
        </w:rPr>
        <w:t>9. 是否采用电子招标投标</w:t>
      </w:r>
      <w:bookmarkEnd w:id="375"/>
      <w:bookmarkEnd w:id="376"/>
      <w:bookmarkEnd w:id="377"/>
      <w:bookmarkEnd w:id="378"/>
    </w:p>
    <w:p w14:paraId="340C472A">
      <w:pPr>
        <w:spacing w:line="360" w:lineRule="auto"/>
        <w:rPr>
          <w:rFonts w:hint="eastAsia" w:ascii="宋体" w:hAnsi="宋体" w:cs="宋体"/>
          <w:sz w:val="24"/>
          <w:highlight w:val="none"/>
        </w:rPr>
      </w:pPr>
      <w:r>
        <w:rPr>
          <w:rFonts w:hint="eastAsia" w:ascii="宋体" w:hAnsi="宋体" w:cs="宋体"/>
          <w:sz w:val="24"/>
          <w:highlight w:val="none"/>
        </w:rPr>
        <w:t>本招标项目是否采用电子招标投标方式，见投标人须知前附表。</w:t>
      </w:r>
    </w:p>
    <w:p w14:paraId="620ACB9B">
      <w:pPr>
        <w:pStyle w:val="3"/>
        <w:spacing w:before="0" w:after="0" w:line="360" w:lineRule="auto"/>
        <w:rPr>
          <w:rFonts w:hint="eastAsia" w:ascii="宋体" w:hAnsi="宋体" w:cs="宋体"/>
          <w:highlight w:val="none"/>
        </w:rPr>
      </w:pPr>
      <w:bookmarkStart w:id="379" w:name="_Toc529196575"/>
      <w:bookmarkStart w:id="380" w:name="_Toc102997624"/>
      <w:bookmarkStart w:id="381" w:name="_Toc515205248"/>
      <w:r>
        <w:rPr>
          <w:rFonts w:hint="eastAsia" w:ascii="宋体" w:hAnsi="宋体" w:cs="宋体"/>
          <w:highlight w:val="none"/>
        </w:rPr>
        <w:t>10. 需要补充的其他内容</w:t>
      </w:r>
      <w:bookmarkEnd w:id="379"/>
      <w:bookmarkEnd w:id="380"/>
      <w:bookmarkEnd w:id="381"/>
    </w:p>
    <w:p w14:paraId="35D2B4C2">
      <w:pPr>
        <w:spacing w:line="360" w:lineRule="auto"/>
        <w:rPr>
          <w:rFonts w:hint="eastAsia" w:ascii="宋体" w:hAnsi="宋体" w:cs="宋体"/>
          <w:b/>
          <w:bCs/>
          <w:sz w:val="28"/>
          <w:szCs w:val="20"/>
          <w:highlight w:val="none"/>
        </w:rPr>
      </w:pPr>
      <w:r>
        <w:rPr>
          <w:rFonts w:hint="eastAsia" w:ascii="宋体" w:hAnsi="宋体" w:cs="宋体"/>
          <w:sz w:val="24"/>
          <w:highlight w:val="none"/>
        </w:rPr>
        <w:t>见投标人须知前附表。</w:t>
      </w:r>
      <w:r>
        <w:rPr>
          <w:rFonts w:hint="eastAsia" w:ascii="宋体" w:hAnsi="宋体" w:cs="宋体"/>
          <w:b/>
          <w:bCs/>
          <w:sz w:val="28"/>
          <w:szCs w:val="20"/>
          <w:highlight w:val="none"/>
        </w:rPr>
        <w:br w:type="page"/>
      </w:r>
      <w:bookmarkStart w:id="382" w:name="_Toc530728900"/>
      <w:r>
        <w:rPr>
          <w:rFonts w:hint="eastAsia" w:ascii="宋体" w:hAnsi="宋体" w:cs="宋体"/>
          <w:b/>
          <w:bCs/>
          <w:sz w:val="28"/>
          <w:szCs w:val="20"/>
          <w:highlight w:val="none"/>
        </w:rPr>
        <w:t>附件一：开标记录表</w:t>
      </w:r>
      <w:bookmarkEnd w:id="382"/>
      <w:r>
        <w:rPr>
          <w:rFonts w:hint="eastAsia" w:ascii="宋体" w:hAnsi="宋体" w:cs="宋体"/>
          <w:b/>
          <w:bCs/>
          <w:sz w:val="28"/>
          <w:szCs w:val="20"/>
          <w:highlight w:val="none"/>
        </w:rPr>
        <w:t>（按广州交易集团有限公司（广州公共资源交易中心）版式为准）</w:t>
      </w:r>
    </w:p>
    <w:p w14:paraId="15CF3978">
      <w:pPr>
        <w:spacing w:line="440" w:lineRule="exact"/>
        <w:jc w:val="center"/>
        <w:rPr>
          <w:rFonts w:hint="eastAsia" w:ascii="宋体" w:hAnsi="宋体" w:cs="宋体"/>
          <w:sz w:val="28"/>
          <w:highlight w:val="none"/>
        </w:rPr>
      </w:pPr>
      <w:r>
        <w:rPr>
          <w:rFonts w:hint="eastAsia" w:ascii="宋体" w:hAnsi="宋体" w:cs="宋体"/>
          <w:sz w:val="28"/>
          <w:highlight w:val="none"/>
        </w:rPr>
        <w:t>开标记录表</w:t>
      </w:r>
    </w:p>
    <w:p w14:paraId="08D27ADE">
      <w:pPr>
        <w:wordWrap w:val="0"/>
        <w:spacing w:before="120" w:beforeLines="50" w:after="120" w:afterLines="50" w:line="400" w:lineRule="exact"/>
        <w:ind w:right="420"/>
        <w:jc w:val="right"/>
        <w:rPr>
          <w:rFonts w:hint="eastAsia" w:ascii="宋体" w:hAnsi="宋体" w:cs="宋体"/>
          <w:highlight w:val="none"/>
        </w:rPr>
      </w:pPr>
      <w:r>
        <w:rPr>
          <w:rFonts w:hint="eastAsia" w:ascii="宋体" w:hAnsi="宋体" w:cs="宋体"/>
          <w:highlight w:val="none"/>
        </w:rPr>
        <w:t>开标时间：  年  月  日  时  分</w:t>
      </w:r>
    </w:p>
    <w:p w14:paraId="676A81F2">
      <w:pPr>
        <w:spacing w:before="120" w:beforeLines="50" w:after="120" w:afterLines="50" w:line="400" w:lineRule="exact"/>
        <w:ind w:right="420"/>
        <w:rPr>
          <w:rFonts w:hint="eastAsia" w:ascii="宋体" w:hAnsi="宋体" w:cs="宋体"/>
          <w:highlight w:val="none"/>
        </w:rPr>
      </w:pPr>
      <w:r>
        <w:rPr>
          <w:rFonts w:hint="eastAsia" w:ascii="宋体" w:hAnsi="宋体" w:cs="宋体"/>
          <w:highlight w:val="none"/>
        </w:rPr>
        <w:t>项目名称：</w:t>
      </w:r>
    </w:p>
    <w:tbl>
      <w:tblPr>
        <w:tblStyle w:val="19"/>
        <w:tblW w:w="8877" w:type="dxa"/>
        <w:jc w:val="center"/>
        <w:tblLayout w:type="fixed"/>
        <w:tblCellMar>
          <w:top w:w="0" w:type="dxa"/>
          <w:left w:w="108" w:type="dxa"/>
          <w:bottom w:w="0" w:type="dxa"/>
          <w:right w:w="108" w:type="dxa"/>
        </w:tblCellMar>
      </w:tblPr>
      <w:tblGrid>
        <w:gridCol w:w="510"/>
        <w:gridCol w:w="622"/>
        <w:gridCol w:w="735"/>
        <w:gridCol w:w="869"/>
        <w:gridCol w:w="961"/>
        <w:gridCol w:w="961"/>
        <w:gridCol w:w="1188"/>
        <w:gridCol w:w="1188"/>
        <w:gridCol w:w="851"/>
        <w:gridCol w:w="992"/>
      </w:tblGrid>
      <w:tr w14:paraId="5AC7EF4F">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25638321">
            <w:pPr>
              <w:spacing w:line="360" w:lineRule="auto"/>
              <w:jc w:val="center"/>
              <w:rPr>
                <w:rFonts w:hint="eastAsia" w:ascii="宋体" w:hAnsi="宋体" w:cs="宋体"/>
                <w:sz w:val="18"/>
                <w:highlight w:val="none"/>
              </w:rPr>
            </w:pPr>
            <w:r>
              <w:rPr>
                <w:rFonts w:hint="eastAsia" w:ascii="宋体" w:hAnsi="宋体" w:cs="宋体"/>
                <w:sz w:val="18"/>
                <w:highlight w:val="none"/>
              </w:rPr>
              <w:t>序号</w:t>
            </w:r>
          </w:p>
        </w:tc>
        <w:tc>
          <w:tcPr>
            <w:tcW w:w="622" w:type="dxa"/>
            <w:tcBorders>
              <w:top w:val="single" w:color="auto" w:sz="4" w:space="0"/>
              <w:left w:val="single" w:color="auto" w:sz="4" w:space="0"/>
              <w:bottom w:val="single" w:color="auto" w:sz="4" w:space="0"/>
              <w:right w:val="single" w:color="auto" w:sz="4" w:space="0"/>
            </w:tcBorders>
            <w:vAlign w:val="center"/>
          </w:tcPr>
          <w:p w14:paraId="4A8820EA">
            <w:pPr>
              <w:spacing w:line="360" w:lineRule="auto"/>
              <w:jc w:val="center"/>
              <w:rPr>
                <w:rFonts w:hint="eastAsia" w:ascii="宋体" w:hAnsi="宋体" w:cs="宋体"/>
                <w:sz w:val="18"/>
                <w:highlight w:val="none"/>
              </w:rPr>
            </w:pPr>
            <w:r>
              <w:rPr>
                <w:rFonts w:hint="eastAsia" w:ascii="宋体" w:hAnsi="宋体" w:cs="宋体"/>
                <w:sz w:val="18"/>
                <w:highlight w:val="none"/>
              </w:rPr>
              <w:t>投标人</w:t>
            </w:r>
          </w:p>
        </w:tc>
        <w:tc>
          <w:tcPr>
            <w:tcW w:w="735" w:type="dxa"/>
            <w:tcBorders>
              <w:top w:val="single" w:color="auto" w:sz="4" w:space="0"/>
              <w:left w:val="single" w:color="auto" w:sz="4" w:space="0"/>
              <w:bottom w:val="single" w:color="auto" w:sz="4" w:space="0"/>
              <w:right w:val="single" w:color="auto" w:sz="4" w:space="0"/>
            </w:tcBorders>
            <w:vAlign w:val="center"/>
          </w:tcPr>
          <w:p w14:paraId="5D5050AA">
            <w:pPr>
              <w:spacing w:line="360" w:lineRule="auto"/>
              <w:jc w:val="center"/>
              <w:rPr>
                <w:rFonts w:hint="eastAsia" w:ascii="宋体" w:hAnsi="宋体" w:cs="宋体"/>
                <w:sz w:val="18"/>
                <w:highlight w:val="none"/>
              </w:rPr>
            </w:pPr>
            <w:r>
              <w:rPr>
                <w:rFonts w:hint="eastAsia" w:ascii="宋体" w:hAnsi="宋体" w:cs="宋体"/>
                <w:sz w:val="18"/>
                <w:highlight w:val="none"/>
              </w:rPr>
              <w:t>密封情况</w:t>
            </w:r>
          </w:p>
        </w:tc>
        <w:tc>
          <w:tcPr>
            <w:tcW w:w="869" w:type="dxa"/>
            <w:tcBorders>
              <w:top w:val="single" w:color="auto" w:sz="4" w:space="0"/>
              <w:left w:val="single" w:color="auto" w:sz="4" w:space="0"/>
              <w:bottom w:val="single" w:color="auto" w:sz="4" w:space="0"/>
              <w:right w:val="single" w:color="auto" w:sz="4" w:space="0"/>
            </w:tcBorders>
            <w:vAlign w:val="center"/>
          </w:tcPr>
          <w:p w14:paraId="1DC3DABF">
            <w:pPr>
              <w:spacing w:line="360" w:lineRule="auto"/>
              <w:jc w:val="center"/>
              <w:rPr>
                <w:rFonts w:hint="eastAsia" w:ascii="宋体" w:hAnsi="宋体" w:cs="宋体"/>
                <w:sz w:val="18"/>
                <w:highlight w:val="none"/>
              </w:rPr>
            </w:pPr>
            <w:r>
              <w:rPr>
                <w:rFonts w:hint="eastAsia" w:ascii="宋体" w:hAnsi="宋体" w:cs="宋体"/>
                <w:sz w:val="18"/>
                <w:highlight w:val="none"/>
              </w:rPr>
              <w:t>投标总报价</w:t>
            </w:r>
          </w:p>
          <w:p w14:paraId="4ADFF026">
            <w:pPr>
              <w:spacing w:line="360" w:lineRule="auto"/>
              <w:jc w:val="center"/>
              <w:rPr>
                <w:rFonts w:hint="eastAsia" w:ascii="宋体" w:hAnsi="宋体" w:cs="宋体"/>
                <w:sz w:val="18"/>
                <w:highlight w:val="none"/>
              </w:rPr>
            </w:pPr>
            <w:r>
              <w:rPr>
                <w:rFonts w:hint="eastAsia" w:ascii="宋体" w:hAnsi="宋体" w:cs="宋体"/>
                <w:sz w:val="18"/>
                <w:highlight w:val="none"/>
              </w:rPr>
              <w:t>（元）</w:t>
            </w:r>
          </w:p>
        </w:tc>
        <w:tc>
          <w:tcPr>
            <w:tcW w:w="961" w:type="dxa"/>
            <w:tcBorders>
              <w:top w:val="single" w:color="auto" w:sz="4" w:space="0"/>
              <w:left w:val="single" w:color="auto" w:sz="4" w:space="0"/>
              <w:bottom w:val="single" w:color="auto" w:sz="4" w:space="0"/>
              <w:right w:val="single" w:color="auto" w:sz="4" w:space="0"/>
            </w:tcBorders>
            <w:vAlign w:val="center"/>
          </w:tcPr>
          <w:p w14:paraId="7D182513">
            <w:pPr>
              <w:spacing w:line="360" w:lineRule="auto"/>
              <w:jc w:val="center"/>
              <w:rPr>
                <w:rFonts w:hint="eastAsia" w:ascii="宋体" w:hAnsi="宋体" w:cs="宋体"/>
                <w:sz w:val="18"/>
                <w:highlight w:val="none"/>
              </w:rPr>
            </w:pPr>
            <w:r>
              <w:rPr>
                <w:rFonts w:hint="eastAsia" w:ascii="宋体" w:hAnsi="宋体" w:cs="宋体"/>
                <w:sz w:val="18"/>
                <w:highlight w:val="none"/>
              </w:rPr>
              <w:t>项目负责人</w:t>
            </w:r>
          </w:p>
        </w:tc>
        <w:tc>
          <w:tcPr>
            <w:tcW w:w="961" w:type="dxa"/>
            <w:tcBorders>
              <w:top w:val="single" w:color="auto" w:sz="4" w:space="0"/>
              <w:left w:val="single" w:color="auto" w:sz="4" w:space="0"/>
              <w:bottom w:val="single" w:color="auto" w:sz="4" w:space="0"/>
              <w:right w:val="single" w:color="auto" w:sz="4" w:space="0"/>
            </w:tcBorders>
            <w:vAlign w:val="center"/>
          </w:tcPr>
          <w:p w14:paraId="347F0D30">
            <w:pPr>
              <w:spacing w:line="360" w:lineRule="auto"/>
              <w:jc w:val="center"/>
              <w:rPr>
                <w:rFonts w:hint="eastAsia" w:ascii="宋体" w:hAnsi="宋体" w:cs="宋体"/>
                <w:sz w:val="18"/>
                <w:highlight w:val="none"/>
              </w:rPr>
            </w:pPr>
            <w:r>
              <w:rPr>
                <w:rFonts w:hint="eastAsia" w:ascii="宋体" w:hAnsi="宋体" w:cs="宋体"/>
                <w:sz w:val="18"/>
                <w:highlight w:val="none"/>
              </w:rPr>
              <w:t>服务期限</w:t>
            </w:r>
          </w:p>
        </w:tc>
        <w:tc>
          <w:tcPr>
            <w:tcW w:w="1188" w:type="dxa"/>
            <w:tcBorders>
              <w:top w:val="single" w:color="auto" w:sz="4" w:space="0"/>
              <w:left w:val="single" w:color="auto" w:sz="4" w:space="0"/>
              <w:bottom w:val="single" w:color="auto" w:sz="4" w:space="0"/>
              <w:right w:val="single" w:color="auto" w:sz="4" w:space="0"/>
            </w:tcBorders>
            <w:vAlign w:val="center"/>
          </w:tcPr>
          <w:p w14:paraId="4F225243">
            <w:pPr>
              <w:spacing w:line="360" w:lineRule="auto"/>
              <w:jc w:val="center"/>
              <w:rPr>
                <w:rFonts w:hint="eastAsia" w:ascii="宋体" w:hAnsi="宋体" w:cs="宋体"/>
                <w:sz w:val="18"/>
                <w:highlight w:val="none"/>
              </w:rPr>
            </w:pPr>
            <w:r>
              <w:rPr>
                <w:rFonts w:hint="eastAsia" w:ascii="宋体" w:hAnsi="宋体" w:cs="宋体"/>
                <w:sz w:val="18"/>
                <w:highlight w:val="none"/>
              </w:rPr>
              <w:t>投标文件递交情况</w:t>
            </w:r>
          </w:p>
        </w:tc>
        <w:tc>
          <w:tcPr>
            <w:tcW w:w="1188" w:type="dxa"/>
            <w:tcBorders>
              <w:top w:val="single" w:color="auto" w:sz="4" w:space="0"/>
              <w:left w:val="single" w:color="auto" w:sz="4" w:space="0"/>
              <w:bottom w:val="single" w:color="auto" w:sz="4" w:space="0"/>
              <w:right w:val="single" w:color="auto" w:sz="4" w:space="0"/>
            </w:tcBorders>
            <w:vAlign w:val="center"/>
          </w:tcPr>
          <w:p w14:paraId="201DF646">
            <w:pPr>
              <w:spacing w:line="360" w:lineRule="auto"/>
              <w:jc w:val="center"/>
              <w:rPr>
                <w:rFonts w:hint="eastAsia" w:ascii="宋体" w:hAnsi="宋体" w:cs="宋体"/>
                <w:sz w:val="18"/>
                <w:highlight w:val="none"/>
              </w:rPr>
            </w:pPr>
            <w:r>
              <w:rPr>
                <w:rFonts w:hint="eastAsia" w:ascii="宋体" w:hAnsi="宋体" w:cs="宋体"/>
                <w:sz w:val="18"/>
                <w:highlight w:val="none"/>
              </w:rPr>
              <w:t>投标文件解密情况</w:t>
            </w:r>
          </w:p>
        </w:tc>
        <w:tc>
          <w:tcPr>
            <w:tcW w:w="851" w:type="dxa"/>
            <w:tcBorders>
              <w:top w:val="single" w:color="auto" w:sz="4" w:space="0"/>
              <w:left w:val="single" w:color="auto" w:sz="4" w:space="0"/>
              <w:bottom w:val="single" w:color="auto" w:sz="4" w:space="0"/>
              <w:right w:val="single" w:color="auto" w:sz="4" w:space="0"/>
            </w:tcBorders>
            <w:vAlign w:val="center"/>
          </w:tcPr>
          <w:p w14:paraId="37F0D2FA">
            <w:pPr>
              <w:spacing w:line="360" w:lineRule="auto"/>
              <w:jc w:val="center"/>
              <w:rPr>
                <w:rFonts w:hint="eastAsia" w:ascii="宋体" w:hAnsi="宋体" w:cs="宋体"/>
                <w:sz w:val="18"/>
                <w:highlight w:val="none"/>
              </w:rPr>
            </w:pPr>
            <w:r>
              <w:rPr>
                <w:rFonts w:hint="eastAsia" w:ascii="宋体" w:hAnsi="宋体" w:cs="宋体"/>
                <w:sz w:val="18"/>
                <w:highlight w:val="none"/>
              </w:rPr>
              <w:t>备注</w:t>
            </w:r>
          </w:p>
        </w:tc>
        <w:tc>
          <w:tcPr>
            <w:tcW w:w="992" w:type="dxa"/>
            <w:tcBorders>
              <w:top w:val="single" w:color="auto" w:sz="4" w:space="0"/>
              <w:left w:val="single" w:color="auto" w:sz="4" w:space="0"/>
              <w:bottom w:val="single" w:color="auto" w:sz="4" w:space="0"/>
              <w:right w:val="single" w:color="auto" w:sz="4" w:space="0"/>
            </w:tcBorders>
            <w:vAlign w:val="center"/>
          </w:tcPr>
          <w:p w14:paraId="72EDD5BB">
            <w:pPr>
              <w:spacing w:line="360" w:lineRule="auto"/>
              <w:jc w:val="center"/>
              <w:rPr>
                <w:rFonts w:hint="eastAsia" w:ascii="宋体" w:hAnsi="宋体" w:cs="宋体"/>
                <w:sz w:val="18"/>
                <w:highlight w:val="none"/>
              </w:rPr>
            </w:pPr>
            <w:r>
              <w:rPr>
                <w:rFonts w:hint="eastAsia" w:ascii="宋体" w:hAnsi="宋体" w:cs="宋体"/>
                <w:sz w:val="18"/>
                <w:highlight w:val="none"/>
              </w:rPr>
              <w:t>投标人代表签名</w:t>
            </w:r>
          </w:p>
        </w:tc>
      </w:tr>
      <w:tr w14:paraId="24C10D77">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1822C203">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44261459">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79B8A886">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17EFA3C5">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8029634">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588B6CB">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D2BB37A">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6899CC30">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8EE7C92">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64251BA">
            <w:pPr>
              <w:spacing w:line="500" w:lineRule="exact"/>
              <w:jc w:val="center"/>
              <w:rPr>
                <w:rFonts w:hint="eastAsia" w:ascii="宋体" w:hAnsi="宋体" w:cs="宋体"/>
                <w:highlight w:val="none"/>
              </w:rPr>
            </w:pPr>
          </w:p>
        </w:tc>
      </w:tr>
      <w:tr w14:paraId="2AFE73FD">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4A732FC8">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26C7F1CD">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2C91715D">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195806C2">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4398A4F">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F4D5EC1">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34837B71">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6C5728C4">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407CB5A4">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DAC1F82">
            <w:pPr>
              <w:spacing w:line="500" w:lineRule="exact"/>
              <w:jc w:val="center"/>
              <w:rPr>
                <w:rFonts w:hint="eastAsia" w:ascii="宋体" w:hAnsi="宋体" w:cs="宋体"/>
                <w:highlight w:val="none"/>
              </w:rPr>
            </w:pPr>
          </w:p>
        </w:tc>
      </w:tr>
      <w:tr w14:paraId="781A3E9A">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6B7D2C15">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62EC1BDC">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4B443C25">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0BCA790D">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BDCB5D1">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C499C48">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7549BA29">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B80D9DC">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ED17F1A">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2B4FB83D">
            <w:pPr>
              <w:spacing w:line="500" w:lineRule="exact"/>
              <w:jc w:val="center"/>
              <w:rPr>
                <w:rFonts w:hint="eastAsia" w:ascii="宋体" w:hAnsi="宋体" w:cs="宋体"/>
                <w:highlight w:val="none"/>
              </w:rPr>
            </w:pPr>
          </w:p>
        </w:tc>
      </w:tr>
      <w:tr w14:paraId="13953AE0">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022C7E67">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4E5B7EBE">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2419F0A5">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624CA467">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F7EBA2C">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6FE5B967">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64A431C">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07A0985">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3BF91A0">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45A133AE">
            <w:pPr>
              <w:spacing w:line="500" w:lineRule="exact"/>
              <w:jc w:val="center"/>
              <w:rPr>
                <w:rFonts w:hint="eastAsia" w:ascii="宋体" w:hAnsi="宋体" w:cs="宋体"/>
                <w:highlight w:val="none"/>
              </w:rPr>
            </w:pPr>
          </w:p>
        </w:tc>
      </w:tr>
      <w:tr w14:paraId="4DF00CA5">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57E957C6">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043EACE8">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610A2DD3">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7307DC99">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BF1B7A4">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9D28497">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5A8D7519">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D5CBDA1">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88D62DF">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7318285C">
            <w:pPr>
              <w:spacing w:line="500" w:lineRule="exact"/>
              <w:jc w:val="center"/>
              <w:rPr>
                <w:rFonts w:hint="eastAsia" w:ascii="宋体" w:hAnsi="宋体" w:cs="宋体"/>
                <w:highlight w:val="none"/>
              </w:rPr>
            </w:pPr>
          </w:p>
        </w:tc>
      </w:tr>
      <w:tr w14:paraId="3C883A89">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18DD46D7">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5CB1AF62">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6C15D15A">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793BDA89">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0551DBA">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F7043DC">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0FDD00E9">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597800EF">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AF255B5">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2C521A1D">
            <w:pPr>
              <w:spacing w:line="500" w:lineRule="exact"/>
              <w:jc w:val="center"/>
              <w:rPr>
                <w:rFonts w:hint="eastAsia" w:ascii="宋体" w:hAnsi="宋体" w:cs="宋体"/>
                <w:highlight w:val="none"/>
              </w:rPr>
            </w:pPr>
          </w:p>
        </w:tc>
      </w:tr>
      <w:tr w14:paraId="4436351F">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1CE9E36E">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33E45DC6">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6DF598B8">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3E386AD9">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6D53A3D">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6B06F9DA">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2F5E6F89">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324D3AB9">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F2328C4">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E9822CF">
            <w:pPr>
              <w:spacing w:line="500" w:lineRule="exact"/>
              <w:jc w:val="center"/>
              <w:rPr>
                <w:rFonts w:hint="eastAsia" w:ascii="宋体" w:hAnsi="宋体" w:cs="宋体"/>
                <w:highlight w:val="none"/>
              </w:rPr>
            </w:pPr>
          </w:p>
        </w:tc>
      </w:tr>
      <w:tr w14:paraId="2781C09B">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2AE816AF">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7172BF67">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504F14E9">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11E8D453">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0436DCD">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35A0F6D0">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6CF0CCEB">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551C86EF">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4A30F85">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58CBFAF">
            <w:pPr>
              <w:spacing w:line="500" w:lineRule="exact"/>
              <w:jc w:val="center"/>
              <w:rPr>
                <w:rFonts w:hint="eastAsia" w:ascii="宋体" w:hAnsi="宋体" w:cs="宋体"/>
                <w:highlight w:val="none"/>
              </w:rPr>
            </w:pPr>
          </w:p>
        </w:tc>
      </w:tr>
      <w:tr w14:paraId="30AB7EE5">
        <w:tblPrEx>
          <w:tblCellMar>
            <w:top w:w="0" w:type="dxa"/>
            <w:left w:w="108" w:type="dxa"/>
            <w:bottom w:w="0" w:type="dxa"/>
            <w:right w:w="108" w:type="dxa"/>
          </w:tblCellMar>
        </w:tblPrEx>
        <w:trPr>
          <w:trHeight w:val="502" w:hRule="atLeast"/>
          <w:jc w:val="center"/>
        </w:trPr>
        <w:tc>
          <w:tcPr>
            <w:tcW w:w="510" w:type="dxa"/>
            <w:tcBorders>
              <w:top w:val="single" w:color="auto" w:sz="4" w:space="0"/>
              <w:left w:val="single" w:color="auto" w:sz="4" w:space="0"/>
              <w:bottom w:val="single" w:color="auto" w:sz="4" w:space="0"/>
              <w:right w:val="single" w:color="auto" w:sz="4" w:space="0"/>
            </w:tcBorders>
            <w:vAlign w:val="center"/>
          </w:tcPr>
          <w:p w14:paraId="0851A19C">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08357574">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03390AED">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7260ABF5">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8992C10">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73DABAF2">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40066A89">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53C1D2E5">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4A1FFAE">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1544156">
            <w:pPr>
              <w:spacing w:line="500" w:lineRule="exact"/>
              <w:jc w:val="center"/>
              <w:rPr>
                <w:rFonts w:hint="eastAsia" w:ascii="宋体" w:hAnsi="宋体" w:cs="宋体"/>
                <w:highlight w:val="none"/>
              </w:rPr>
            </w:pPr>
          </w:p>
        </w:tc>
      </w:tr>
      <w:tr w14:paraId="6413C380">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08E871B2">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17458FE4">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31B04FA3">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7393B7F0">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18C3B2E2">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BC2E9FD">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133BBE9C">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68217F1E">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5760C6E">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61111248">
            <w:pPr>
              <w:spacing w:line="500" w:lineRule="exact"/>
              <w:jc w:val="center"/>
              <w:rPr>
                <w:rFonts w:hint="eastAsia" w:ascii="宋体" w:hAnsi="宋体" w:cs="宋体"/>
                <w:highlight w:val="none"/>
              </w:rPr>
            </w:pPr>
          </w:p>
        </w:tc>
      </w:tr>
      <w:tr w14:paraId="0986A4D9">
        <w:tblPrEx>
          <w:tblCellMar>
            <w:top w:w="0" w:type="dxa"/>
            <w:left w:w="108" w:type="dxa"/>
            <w:bottom w:w="0" w:type="dxa"/>
            <w:right w:w="108" w:type="dxa"/>
          </w:tblCellMar>
        </w:tblPrEx>
        <w:trPr>
          <w:jc w:val="center"/>
        </w:trPr>
        <w:tc>
          <w:tcPr>
            <w:tcW w:w="510" w:type="dxa"/>
            <w:tcBorders>
              <w:top w:val="single" w:color="auto" w:sz="4" w:space="0"/>
              <w:left w:val="single" w:color="auto" w:sz="4" w:space="0"/>
              <w:bottom w:val="single" w:color="auto" w:sz="4" w:space="0"/>
              <w:right w:val="single" w:color="auto" w:sz="4" w:space="0"/>
            </w:tcBorders>
            <w:vAlign w:val="center"/>
          </w:tcPr>
          <w:p w14:paraId="6484E1F2">
            <w:pPr>
              <w:spacing w:line="500" w:lineRule="exact"/>
              <w:jc w:val="center"/>
              <w:rPr>
                <w:rFonts w:hint="eastAsia" w:ascii="宋体" w:hAnsi="宋体" w:cs="宋体"/>
                <w:highlight w:val="none"/>
              </w:rPr>
            </w:pPr>
          </w:p>
        </w:tc>
        <w:tc>
          <w:tcPr>
            <w:tcW w:w="622" w:type="dxa"/>
            <w:tcBorders>
              <w:top w:val="single" w:color="auto" w:sz="4" w:space="0"/>
              <w:left w:val="single" w:color="auto" w:sz="4" w:space="0"/>
              <w:bottom w:val="single" w:color="auto" w:sz="4" w:space="0"/>
              <w:right w:val="single" w:color="auto" w:sz="4" w:space="0"/>
            </w:tcBorders>
            <w:vAlign w:val="center"/>
          </w:tcPr>
          <w:p w14:paraId="211BE347">
            <w:pPr>
              <w:spacing w:line="500" w:lineRule="exact"/>
              <w:jc w:val="center"/>
              <w:rPr>
                <w:rFonts w:hint="eastAsia" w:ascii="宋体" w:hAnsi="宋体" w:cs="宋体"/>
                <w:highlight w:val="none"/>
              </w:rPr>
            </w:pPr>
          </w:p>
        </w:tc>
        <w:tc>
          <w:tcPr>
            <w:tcW w:w="735" w:type="dxa"/>
            <w:tcBorders>
              <w:top w:val="single" w:color="auto" w:sz="4" w:space="0"/>
              <w:left w:val="single" w:color="auto" w:sz="4" w:space="0"/>
              <w:bottom w:val="single" w:color="auto" w:sz="4" w:space="0"/>
              <w:right w:val="single" w:color="auto" w:sz="4" w:space="0"/>
            </w:tcBorders>
            <w:vAlign w:val="center"/>
          </w:tcPr>
          <w:p w14:paraId="6BD9A29D">
            <w:pPr>
              <w:spacing w:line="500" w:lineRule="exact"/>
              <w:jc w:val="center"/>
              <w:rPr>
                <w:rFonts w:hint="eastAsia" w:ascii="宋体" w:hAnsi="宋体" w:cs="宋体"/>
                <w:highlight w:val="none"/>
              </w:rPr>
            </w:pPr>
          </w:p>
        </w:tc>
        <w:tc>
          <w:tcPr>
            <w:tcW w:w="869" w:type="dxa"/>
            <w:tcBorders>
              <w:top w:val="single" w:color="auto" w:sz="4" w:space="0"/>
              <w:left w:val="single" w:color="auto" w:sz="4" w:space="0"/>
              <w:bottom w:val="single" w:color="auto" w:sz="4" w:space="0"/>
              <w:right w:val="single" w:color="auto" w:sz="4" w:space="0"/>
            </w:tcBorders>
            <w:vAlign w:val="center"/>
          </w:tcPr>
          <w:p w14:paraId="731AA9AD">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A993F3D">
            <w:pPr>
              <w:spacing w:line="500" w:lineRule="exact"/>
              <w:jc w:val="center"/>
              <w:rPr>
                <w:rFonts w:hint="eastAsia" w:ascii="宋体" w:hAnsi="宋体" w:cs="宋体"/>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D587E58">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3F01EFCE">
            <w:pPr>
              <w:spacing w:line="500" w:lineRule="exact"/>
              <w:jc w:val="center"/>
              <w:rPr>
                <w:rFonts w:hint="eastAsia" w:ascii="宋体" w:hAnsi="宋体" w:cs="宋体"/>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14:paraId="5AFD2588">
            <w:pPr>
              <w:spacing w:line="500" w:lineRule="exact"/>
              <w:jc w:val="center"/>
              <w:rPr>
                <w:rFonts w:hint="eastAsia" w:ascii="宋体" w:hAnsi="宋体" w:cs="宋体"/>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F7680A2">
            <w:pPr>
              <w:spacing w:line="500" w:lineRule="exact"/>
              <w:jc w:val="center"/>
              <w:rPr>
                <w:rFonts w:hint="eastAsia" w:ascii="宋体" w:hAnsi="宋体" w:cs="宋体"/>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14:paraId="47139379">
            <w:pPr>
              <w:spacing w:line="500" w:lineRule="exact"/>
              <w:jc w:val="center"/>
              <w:rPr>
                <w:rFonts w:hint="eastAsia" w:ascii="宋体" w:hAnsi="宋体" w:cs="宋体"/>
                <w:highlight w:val="none"/>
              </w:rPr>
            </w:pPr>
          </w:p>
        </w:tc>
      </w:tr>
      <w:tr w14:paraId="460F873A">
        <w:tblPrEx>
          <w:tblCellMar>
            <w:top w:w="0" w:type="dxa"/>
            <w:left w:w="108" w:type="dxa"/>
            <w:bottom w:w="0" w:type="dxa"/>
            <w:right w:w="108" w:type="dxa"/>
          </w:tblCellMar>
        </w:tblPrEx>
        <w:trPr>
          <w:jc w:val="center"/>
        </w:trPr>
        <w:tc>
          <w:tcPr>
            <w:tcW w:w="1867" w:type="dxa"/>
            <w:gridSpan w:val="3"/>
            <w:tcBorders>
              <w:top w:val="single" w:color="auto" w:sz="4" w:space="0"/>
              <w:left w:val="single" w:color="auto" w:sz="4" w:space="0"/>
              <w:bottom w:val="single" w:color="auto" w:sz="4" w:space="0"/>
              <w:right w:val="single" w:color="auto" w:sz="4" w:space="0"/>
            </w:tcBorders>
            <w:vAlign w:val="center"/>
          </w:tcPr>
          <w:p w14:paraId="6DE2EF29">
            <w:pPr>
              <w:spacing w:line="500" w:lineRule="exact"/>
              <w:jc w:val="center"/>
              <w:rPr>
                <w:rFonts w:hint="eastAsia" w:ascii="宋体" w:hAnsi="宋体" w:cs="宋体"/>
                <w:highlight w:val="none"/>
              </w:rPr>
            </w:pPr>
            <w:r>
              <w:rPr>
                <w:rFonts w:hint="eastAsia" w:ascii="宋体" w:hAnsi="宋体" w:cs="宋体"/>
                <w:highlight w:val="none"/>
              </w:rPr>
              <w:t>最高投标限价：</w:t>
            </w:r>
          </w:p>
        </w:tc>
        <w:tc>
          <w:tcPr>
            <w:tcW w:w="7009" w:type="dxa"/>
            <w:gridSpan w:val="7"/>
            <w:tcBorders>
              <w:top w:val="single" w:color="auto" w:sz="4" w:space="0"/>
              <w:left w:val="single" w:color="auto" w:sz="4" w:space="0"/>
              <w:bottom w:val="single" w:color="auto" w:sz="4" w:space="0"/>
              <w:right w:val="single" w:color="auto" w:sz="4" w:space="0"/>
            </w:tcBorders>
            <w:vAlign w:val="center"/>
          </w:tcPr>
          <w:p w14:paraId="463FABA4">
            <w:pPr>
              <w:spacing w:line="500" w:lineRule="exact"/>
              <w:jc w:val="center"/>
              <w:rPr>
                <w:rFonts w:hint="eastAsia" w:ascii="宋体" w:hAnsi="宋体" w:cs="宋体"/>
                <w:highlight w:val="none"/>
              </w:rPr>
            </w:pPr>
          </w:p>
        </w:tc>
      </w:tr>
    </w:tbl>
    <w:p w14:paraId="30F1AE66">
      <w:pPr>
        <w:spacing w:before="120" w:beforeLines="50" w:after="120" w:afterLines="50" w:line="400" w:lineRule="exact"/>
        <w:ind w:right="420"/>
        <w:jc w:val="right"/>
        <w:rPr>
          <w:rFonts w:hint="eastAsia" w:ascii="宋体" w:hAnsi="宋体" w:cs="宋体"/>
          <w:highlight w:val="none"/>
        </w:rPr>
      </w:pPr>
    </w:p>
    <w:p w14:paraId="1FFF2480">
      <w:pPr>
        <w:spacing w:line="440" w:lineRule="exact"/>
        <w:rPr>
          <w:rFonts w:hint="eastAsia" w:ascii="宋体" w:hAnsi="宋体" w:cs="宋体"/>
          <w:highlight w:val="none"/>
        </w:rPr>
      </w:pPr>
      <w:r>
        <w:rPr>
          <w:rFonts w:hint="eastAsia" w:ascii="宋体" w:hAnsi="宋体" w:cs="宋体"/>
          <w:highlight w:val="none"/>
        </w:rPr>
        <w:t>　　　</w:t>
      </w:r>
    </w:p>
    <w:p w14:paraId="54200D54">
      <w:pPr>
        <w:spacing w:line="620" w:lineRule="exact"/>
        <w:rPr>
          <w:rFonts w:hint="eastAsia" w:ascii="宋体" w:hAnsi="宋体" w:cs="宋体"/>
          <w:highlight w:val="none"/>
        </w:rPr>
      </w:pPr>
      <w:r>
        <w:rPr>
          <w:rFonts w:hint="eastAsia" w:ascii="宋体" w:hAnsi="宋体" w:cs="宋体"/>
          <w:highlight w:val="none"/>
        </w:rPr>
        <w:t>招标人代表：       记录人：              监标人：</w:t>
      </w:r>
    </w:p>
    <w:p w14:paraId="7C99DFD3">
      <w:pPr>
        <w:wordWrap w:val="0"/>
        <w:spacing w:line="620" w:lineRule="exact"/>
        <w:jc w:val="right"/>
        <w:rPr>
          <w:rFonts w:hint="eastAsia" w:ascii="宋体" w:hAnsi="宋体" w:cs="宋体"/>
          <w:highlight w:val="none"/>
        </w:rPr>
      </w:pPr>
      <w:r>
        <w:rPr>
          <w:rFonts w:hint="eastAsia" w:ascii="宋体" w:hAnsi="宋体" w:cs="宋体"/>
          <w:highlight w:val="none"/>
        </w:rPr>
        <w:t xml:space="preserve">   年    月    日</w:t>
      </w:r>
    </w:p>
    <w:p w14:paraId="642456F2">
      <w:pPr>
        <w:pStyle w:val="9"/>
        <w:rPr>
          <w:rFonts w:hAnsi="宋体" w:cs="宋体"/>
          <w:highlight w:val="none"/>
        </w:rPr>
      </w:pPr>
      <w:bookmarkStart w:id="383" w:name="_Toc530728901"/>
    </w:p>
    <w:p w14:paraId="5FFC23F9">
      <w:pPr>
        <w:widowControl/>
        <w:jc w:val="left"/>
        <w:rPr>
          <w:rFonts w:hint="eastAsia" w:ascii="宋体" w:hAnsi="宋体" w:cs="宋体"/>
          <w:highlight w:val="none"/>
        </w:rPr>
      </w:pPr>
      <w:r>
        <w:rPr>
          <w:rFonts w:hint="eastAsia" w:ascii="宋体" w:hAnsi="宋体" w:cs="宋体"/>
          <w:highlight w:val="none"/>
        </w:rPr>
        <w:br w:type="page"/>
      </w:r>
    </w:p>
    <w:p w14:paraId="70E0DC57">
      <w:pPr>
        <w:rPr>
          <w:rFonts w:hint="eastAsia" w:ascii="宋体" w:hAnsi="宋体" w:cs="宋体"/>
          <w:highlight w:val="none"/>
        </w:rPr>
      </w:pPr>
    </w:p>
    <w:p w14:paraId="5927731E">
      <w:pPr>
        <w:pStyle w:val="3"/>
        <w:spacing w:line="412" w:lineRule="auto"/>
        <w:rPr>
          <w:rFonts w:hint="eastAsia" w:ascii="宋体" w:hAnsi="宋体" w:cs="宋体"/>
          <w:sz w:val="28"/>
          <w:szCs w:val="28"/>
          <w:highlight w:val="none"/>
        </w:rPr>
      </w:pPr>
      <w:bookmarkStart w:id="384" w:name="_Toc102997625"/>
      <w:r>
        <w:rPr>
          <w:rFonts w:hint="eastAsia" w:ascii="宋体" w:hAnsi="宋体" w:cs="宋体"/>
          <w:sz w:val="28"/>
          <w:szCs w:val="28"/>
          <w:highlight w:val="none"/>
        </w:rPr>
        <w:t>附件二：问题澄清通知（按广州交易集团有限公司（广州公共资源交易中心）版式为准）</w:t>
      </w:r>
      <w:bookmarkEnd w:id="383"/>
      <w:bookmarkEnd w:id="384"/>
    </w:p>
    <w:p w14:paraId="037F61AF">
      <w:pPr>
        <w:spacing w:line="400" w:lineRule="exact"/>
        <w:rPr>
          <w:rFonts w:hint="eastAsia" w:ascii="宋体" w:hAnsi="宋体" w:cs="宋体"/>
          <w:b/>
          <w:bCs/>
          <w:sz w:val="28"/>
          <w:szCs w:val="28"/>
          <w:highlight w:val="none"/>
        </w:rPr>
      </w:pPr>
    </w:p>
    <w:p w14:paraId="01F3670B">
      <w:pPr>
        <w:spacing w:line="400" w:lineRule="exact"/>
        <w:rPr>
          <w:rFonts w:hint="eastAsia" w:ascii="宋体" w:hAnsi="宋体" w:cs="宋体"/>
          <w:b/>
          <w:bCs/>
          <w:sz w:val="28"/>
          <w:szCs w:val="28"/>
          <w:highlight w:val="none"/>
        </w:rPr>
      </w:pPr>
    </w:p>
    <w:p w14:paraId="25B6FC53">
      <w:pPr>
        <w:pStyle w:val="3"/>
        <w:spacing w:line="412" w:lineRule="auto"/>
        <w:rPr>
          <w:rFonts w:hint="eastAsia" w:ascii="宋体" w:hAnsi="宋体" w:cs="宋体"/>
          <w:sz w:val="28"/>
          <w:szCs w:val="28"/>
          <w:highlight w:val="none"/>
        </w:rPr>
      </w:pPr>
      <w:bookmarkStart w:id="385" w:name="_Toc102997626"/>
      <w:bookmarkStart w:id="386" w:name="_Toc530728902"/>
      <w:r>
        <w:rPr>
          <w:rFonts w:hint="eastAsia" w:ascii="宋体" w:hAnsi="宋体" w:cs="宋体"/>
          <w:sz w:val="28"/>
          <w:szCs w:val="28"/>
          <w:highlight w:val="none"/>
        </w:rPr>
        <w:t>附件三：问题的澄清（按广州交易集团有限公司（广州公共资源交易中心）版式为准）</w:t>
      </w:r>
      <w:bookmarkEnd w:id="385"/>
      <w:bookmarkEnd w:id="386"/>
    </w:p>
    <w:p w14:paraId="548C0B74">
      <w:pPr>
        <w:spacing w:line="400" w:lineRule="exact"/>
        <w:rPr>
          <w:rFonts w:hint="eastAsia" w:ascii="宋体" w:hAnsi="宋体" w:cs="宋体"/>
          <w:b/>
          <w:bCs/>
          <w:sz w:val="28"/>
          <w:szCs w:val="28"/>
          <w:highlight w:val="none"/>
        </w:rPr>
      </w:pPr>
    </w:p>
    <w:p w14:paraId="68702E31">
      <w:pPr>
        <w:spacing w:line="400" w:lineRule="exact"/>
        <w:rPr>
          <w:rFonts w:hint="eastAsia" w:ascii="宋体" w:hAnsi="宋体" w:cs="宋体"/>
          <w:b/>
          <w:bCs/>
          <w:sz w:val="28"/>
          <w:szCs w:val="28"/>
          <w:highlight w:val="none"/>
        </w:rPr>
      </w:pPr>
    </w:p>
    <w:p w14:paraId="4BAB56E7">
      <w:pPr>
        <w:pStyle w:val="3"/>
        <w:spacing w:line="412" w:lineRule="auto"/>
        <w:rPr>
          <w:rFonts w:hint="eastAsia" w:ascii="宋体" w:hAnsi="宋体" w:cs="宋体"/>
          <w:sz w:val="28"/>
          <w:szCs w:val="28"/>
          <w:highlight w:val="none"/>
        </w:rPr>
      </w:pPr>
      <w:bookmarkStart w:id="387" w:name="_Toc530728903"/>
      <w:bookmarkStart w:id="388" w:name="_Toc102997627"/>
      <w:r>
        <w:rPr>
          <w:rFonts w:hint="eastAsia" w:ascii="宋体" w:hAnsi="宋体" w:cs="宋体"/>
          <w:sz w:val="28"/>
          <w:szCs w:val="28"/>
          <w:highlight w:val="none"/>
        </w:rPr>
        <w:t>附件四：中标通知书（按广州交易集团有限公司（广州公共资源交易中心）中标通知书格式）</w:t>
      </w:r>
      <w:bookmarkEnd w:id="387"/>
      <w:bookmarkEnd w:id="388"/>
    </w:p>
    <w:p w14:paraId="4938B387">
      <w:pPr>
        <w:spacing w:line="440" w:lineRule="exact"/>
        <w:rPr>
          <w:rFonts w:hint="eastAsia" w:ascii="宋体" w:hAnsi="宋体" w:cs="宋体"/>
          <w:b/>
          <w:bCs/>
          <w:sz w:val="28"/>
          <w:szCs w:val="28"/>
          <w:highlight w:val="none"/>
        </w:rPr>
      </w:pPr>
    </w:p>
    <w:p w14:paraId="0DD59DC9">
      <w:pPr>
        <w:spacing w:line="440" w:lineRule="exact"/>
        <w:rPr>
          <w:rFonts w:hint="eastAsia" w:ascii="宋体" w:hAnsi="宋体" w:cs="宋体"/>
          <w:b/>
          <w:bCs/>
          <w:sz w:val="28"/>
          <w:szCs w:val="28"/>
          <w:highlight w:val="none"/>
        </w:rPr>
      </w:pPr>
    </w:p>
    <w:p w14:paraId="4D87EA6F">
      <w:pPr>
        <w:rPr>
          <w:rFonts w:hint="eastAsia" w:ascii="宋体" w:hAnsi="宋体" w:cs="宋体"/>
          <w:highlight w:val="none"/>
        </w:rPr>
      </w:pPr>
    </w:p>
    <w:p w14:paraId="3A084F7A">
      <w:pPr>
        <w:spacing w:line="502" w:lineRule="exact"/>
        <w:jc w:val="center"/>
        <w:outlineLvl w:val="1"/>
        <w:rPr>
          <w:rFonts w:hint="eastAsia" w:ascii="宋体" w:hAnsi="宋体" w:cs="宋体"/>
          <w:b/>
          <w:sz w:val="44"/>
          <w:highlight w:val="none"/>
        </w:rPr>
      </w:pPr>
      <w:r>
        <w:rPr>
          <w:rFonts w:hint="eastAsia" w:ascii="宋体" w:hAnsi="宋体" w:cs="宋体"/>
          <w:b/>
          <w:sz w:val="32"/>
          <w:highlight w:val="none"/>
        </w:rPr>
        <w:br w:type="page"/>
      </w:r>
      <w:bookmarkStart w:id="389" w:name="_Toc102997628"/>
      <w:r>
        <w:rPr>
          <w:rFonts w:hint="eastAsia" w:ascii="宋体" w:hAnsi="宋体" w:cs="宋体"/>
          <w:b/>
          <w:sz w:val="44"/>
          <w:highlight w:val="none"/>
        </w:rPr>
        <w:t>第三章 评标办法</w:t>
      </w:r>
      <w:bookmarkEnd w:id="389"/>
    </w:p>
    <w:p w14:paraId="1D1F41F5">
      <w:pPr>
        <w:spacing w:before="120" w:beforeLines="50" w:after="120" w:afterLines="50" w:line="366" w:lineRule="exact"/>
        <w:jc w:val="center"/>
        <w:rPr>
          <w:rFonts w:hint="eastAsia" w:ascii="宋体" w:hAnsi="宋体" w:cs="宋体"/>
          <w:b/>
          <w:sz w:val="32"/>
          <w:highlight w:val="none"/>
        </w:rPr>
      </w:pPr>
      <w:r>
        <w:rPr>
          <w:rFonts w:hint="eastAsia" w:ascii="宋体" w:hAnsi="宋体" w:cs="宋体"/>
          <w:b/>
          <w:sz w:val="32"/>
          <w:highlight w:val="none"/>
        </w:rPr>
        <w:t>评标办法前附表</w:t>
      </w:r>
    </w:p>
    <w:tbl>
      <w:tblPr>
        <w:tblStyle w:val="19"/>
        <w:tblW w:w="9356"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2"/>
        <w:gridCol w:w="1315"/>
        <w:gridCol w:w="1945"/>
        <w:gridCol w:w="5284"/>
      </w:tblGrid>
      <w:tr w14:paraId="64EE1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27" w:type="dxa"/>
            <w:gridSpan w:val="2"/>
            <w:tcBorders>
              <w:top w:val="single" w:color="auto" w:sz="4" w:space="0"/>
              <w:bottom w:val="single" w:color="auto" w:sz="4" w:space="0"/>
              <w:right w:val="single" w:color="auto" w:sz="4" w:space="0"/>
            </w:tcBorders>
            <w:vAlign w:val="center"/>
          </w:tcPr>
          <w:p w14:paraId="0EB8EABB">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条款号</w:t>
            </w:r>
          </w:p>
        </w:tc>
        <w:tc>
          <w:tcPr>
            <w:tcW w:w="1945" w:type="dxa"/>
            <w:tcBorders>
              <w:top w:val="single" w:color="auto" w:sz="4" w:space="0"/>
              <w:left w:val="single" w:color="auto" w:sz="4" w:space="0"/>
              <w:bottom w:val="single" w:color="auto" w:sz="4" w:space="0"/>
              <w:right w:val="single" w:color="auto" w:sz="4" w:space="0"/>
            </w:tcBorders>
            <w:vAlign w:val="center"/>
          </w:tcPr>
          <w:p w14:paraId="035C6553">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评审因素</w:t>
            </w:r>
          </w:p>
        </w:tc>
        <w:tc>
          <w:tcPr>
            <w:tcW w:w="5284" w:type="dxa"/>
            <w:tcBorders>
              <w:top w:val="single" w:color="auto" w:sz="4" w:space="0"/>
              <w:left w:val="single" w:color="auto" w:sz="4" w:space="0"/>
              <w:bottom w:val="single" w:color="auto" w:sz="4" w:space="0"/>
            </w:tcBorders>
            <w:vAlign w:val="center"/>
          </w:tcPr>
          <w:p w14:paraId="73A39E57">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评审标准</w:t>
            </w:r>
          </w:p>
        </w:tc>
      </w:tr>
      <w:tr w14:paraId="3119B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812" w:type="dxa"/>
            <w:tcBorders>
              <w:top w:val="single" w:color="auto" w:sz="4" w:space="0"/>
              <w:bottom w:val="single" w:color="auto" w:sz="4" w:space="0"/>
              <w:right w:val="single" w:color="auto" w:sz="4" w:space="0"/>
            </w:tcBorders>
            <w:vAlign w:val="center"/>
          </w:tcPr>
          <w:p w14:paraId="65F3CA36">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315" w:type="dxa"/>
            <w:tcBorders>
              <w:top w:val="single" w:color="auto" w:sz="4" w:space="0"/>
              <w:left w:val="single" w:color="auto" w:sz="4" w:space="0"/>
              <w:bottom w:val="single" w:color="auto" w:sz="4" w:space="0"/>
              <w:right w:val="single" w:color="auto" w:sz="4" w:space="0"/>
            </w:tcBorders>
            <w:vAlign w:val="center"/>
          </w:tcPr>
          <w:p w14:paraId="67F457CA">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评标方法</w:t>
            </w:r>
          </w:p>
        </w:tc>
        <w:tc>
          <w:tcPr>
            <w:tcW w:w="1945" w:type="dxa"/>
            <w:tcBorders>
              <w:top w:val="single" w:color="auto" w:sz="4" w:space="0"/>
              <w:left w:val="single" w:color="auto" w:sz="4" w:space="0"/>
              <w:bottom w:val="single" w:color="auto" w:sz="4" w:space="0"/>
              <w:right w:val="single" w:color="auto" w:sz="4" w:space="0"/>
            </w:tcBorders>
            <w:vAlign w:val="center"/>
          </w:tcPr>
          <w:p w14:paraId="5D7FAF7F">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中标候选人排序方法</w:t>
            </w:r>
          </w:p>
        </w:tc>
        <w:tc>
          <w:tcPr>
            <w:tcW w:w="5284" w:type="dxa"/>
            <w:tcBorders>
              <w:top w:val="single" w:color="auto" w:sz="4" w:space="0"/>
              <w:left w:val="single" w:color="auto" w:sz="4" w:space="0"/>
              <w:bottom w:val="single" w:color="auto" w:sz="4" w:space="0"/>
            </w:tcBorders>
            <w:vAlign w:val="center"/>
          </w:tcPr>
          <w:p w14:paraId="5145025A">
            <w:pPr>
              <w:spacing w:line="360" w:lineRule="auto"/>
              <w:rPr>
                <w:rFonts w:hint="eastAsia" w:ascii="宋体" w:hAnsi="宋体" w:cs="宋体"/>
                <w:sz w:val="24"/>
                <w:szCs w:val="24"/>
                <w:highlight w:val="none"/>
              </w:rPr>
            </w:pPr>
            <w:r>
              <w:rPr>
                <w:rFonts w:hint="eastAsia" w:ascii="宋体" w:hAnsi="宋体" w:cs="宋体"/>
                <w:sz w:val="24"/>
                <w:szCs w:val="24"/>
                <w:highlight w:val="none"/>
              </w:rPr>
              <w:t>1、本次评标采用综合评估法。</w:t>
            </w:r>
          </w:p>
          <w:p w14:paraId="47B5FB65">
            <w:pPr>
              <w:spacing w:line="360" w:lineRule="auto"/>
              <w:rPr>
                <w:rFonts w:hint="eastAsia" w:ascii="宋体" w:hAnsi="宋体" w:cs="宋体"/>
                <w:sz w:val="24"/>
                <w:szCs w:val="24"/>
                <w:highlight w:val="none"/>
              </w:rPr>
            </w:pPr>
            <w:r>
              <w:rPr>
                <w:rFonts w:hint="eastAsia" w:ascii="宋体" w:hAnsi="宋体" w:cs="宋体"/>
                <w:sz w:val="24"/>
                <w:szCs w:val="24"/>
                <w:highlight w:val="none"/>
              </w:rPr>
              <w:t>2、评标委员会对满足招标文件实质性要求的投标文件，按照评分标准进行打分，并按总分由高到低顺序推荐中标候选人，排序的前一～三名分别为第一中标候选人、第二中标候选人和第三中标候选人。总分相等时，以技术部分得分高的优先；如果技术部分得分也相等的，以投标总报价低的优先；如果投标总报价也相等的，由评标委员会采用记名投票方式，以得票多的优先。</w:t>
            </w:r>
          </w:p>
        </w:tc>
      </w:tr>
      <w:tr w14:paraId="5101E1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restart"/>
            <w:tcBorders>
              <w:top w:val="single" w:color="auto" w:sz="4" w:space="0"/>
              <w:bottom w:val="single" w:color="auto" w:sz="4" w:space="0"/>
              <w:right w:val="single" w:color="auto" w:sz="4" w:space="0"/>
            </w:tcBorders>
            <w:vAlign w:val="center"/>
          </w:tcPr>
          <w:p w14:paraId="18552AD2">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2.1.1</w:t>
            </w:r>
          </w:p>
        </w:tc>
        <w:tc>
          <w:tcPr>
            <w:tcW w:w="1315" w:type="dxa"/>
            <w:vMerge w:val="restart"/>
            <w:tcBorders>
              <w:top w:val="single" w:color="auto" w:sz="4" w:space="0"/>
              <w:right w:val="single" w:color="auto" w:sz="4" w:space="0"/>
            </w:tcBorders>
            <w:vAlign w:val="center"/>
          </w:tcPr>
          <w:p w14:paraId="1DC8C8B2">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形式评审标准</w:t>
            </w:r>
          </w:p>
        </w:tc>
        <w:tc>
          <w:tcPr>
            <w:tcW w:w="1945" w:type="dxa"/>
            <w:tcBorders>
              <w:top w:val="single" w:color="auto" w:sz="4" w:space="0"/>
              <w:left w:val="single" w:color="auto" w:sz="4" w:space="0"/>
              <w:bottom w:val="single" w:color="auto" w:sz="4" w:space="0"/>
              <w:right w:val="single" w:color="auto" w:sz="4" w:space="0"/>
            </w:tcBorders>
            <w:vAlign w:val="center"/>
          </w:tcPr>
          <w:p w14:paraId="0758A8D2">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投标人名称</w:t>
            </w:r>
          </w:p>
        </w:tc>
        <w:tc>
          <w:tcPr>
            <w:tcW w:w="5284" w:type="dxa"/>
            <w:tcBorders>
              <w:top w:val="single" w:color="auto" w:sz="4" w:space="0"/>
              <w:left w:val="single" w:color="auto" w:sz="4" w:space="0"/>
              <w:bottom w:val="single" w:color="auto" w:sz="4" w:space="0"/>
            </w:tcBorders>
            <w:vAlign w:val="center"/>
          </w:tcPr>
          <w:p w14:paraId="2AD3E4B0">
            <w:pPr>
              <w:spacing w:line="360" w:lineRule="auto"/>
              <w:rPr>
                <w:rFonts w:hint="eastAsia" w:ascii="宋体" w:hAnsi="宋体" w:cs="宋体"/>
                <w:sz w:val="24"/>
                <w:szCs w:val="24"/>
                <w:highlight w:val="none"/>
              </w:rPr>
            </w:pPr>
            <w:r>
              <w:rPr>
                <w:rFonts w:hint="eastAsia" w:ascii="宋体" w:hAnsi="宋体" w:cs="宋体"/>
                <w:sz w:val="24"/>
                <w:szCs w:val="24"/>
                <w:highlight w:val="none"/>
              </w:rPr>
              <w:t>与营业执照（或事业单位法人证书）、资质证书一致；</w:t>
            </w:r>
          </w:p>
        </w:tc>
      </w:tr>
      <w:tr w14:paraId="2354A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top w:val="nil"/>
              <w:bottom w:val="single" w:color="auto" w:sz="4" w:space="0"/>
              <w:right w:val="single" w:color="auto" w:sz="4" w:space="0"/>
            </w:tcBorders>
            <w:vAlign w:val="center"/>
          </w:tcPr>
          <w:p w14:paraId="3AF142A6">
            <w:pPr>
              <w:spacing w:line="360" w:lineRule="auto"/>
              <w:rPr>
                <w:rFonts w:hint="eastAsia" w:ascii="宋体" w:hAnsi="宋体" w:cs="宋体"/>
                <w:sz w:val="24"/>
                <w:szCs w:val="24"/>
                <w:highlight w:val="none"/>
              </w:rPr>
            </w:pPr>
          </w:p>
        </w:tc>
        <w:tc>
          <w:tcPr>
            <w:tcW w:w="1315" w:type="dxa"/>
            <w:vMerge w:val="continue"/>
            <w:tcBorders>
              <w:right w:val="single" w:color="auto" w:sz="4" w:space="0"/>
            </w:tcBorders>
            <w:vAlign w:val="center"/>
          </w:tcPr>
          <w:p w14:paraId="097389F4">
            <w:pPr>
              <w:spacing w:line="360" w:lineRule="auto"/>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4A43C694">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投标函及投标函附录签字盖章</w:t>
            </w:r>
          </w:p>
        </w:tc>
        <w:tc>
          <w:tcPr>
            <w:tcW w:w="5284" w:type="dxa"/>
            <w:tcBorders>
              <w:top w:val="single" w:color="auto" w:sz="4" w:space="0"/>
              <w:left w:val="single" w:color="auto" w:sz="4" w:space="0"/>
              <w:bottom w:val="single" w:color="auto" w:sz="4" w:space="0"/>
            </w:tcBorders>
            <w:vAlign w:val="center"/>
          </w:tcPr>
          <w:p w14:paraId="572B299E">
            <w:pPr>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rPr>
              <w:t>有法定代表人或被授权人签字（或盖章）并加盖单位章。由法定代表人签字（或盖章）的，应附法定代表人身份证明；由被授权人签字（或盖章）的，应附法定代表人身份证明及授权委托书</w:t>
            </w:r>
            <w:r>
              <w:rPr>
                <w:rFonts w:hint="eastAsia" w:ascii="宋体" w:hAnsi="宋体" w:cs="宋体"/>
                <w:sz w:val="24"/>
                <w:szCs w:val="24"/>
                <w:highlight w:val="none"/>
                <w:lang w:eastAsia="zh-CN"/>
              </w:rPr>
              <w:t>；</w:t>
            </w:r>
          </w:p>
        </w:tc>
      </w:tr>
      <w:tr w14:paraId="6FA29E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top w:val="nil"/>
              <w:bottom w:val="single" w:color="auto" w:sz="4" w:space="0"/>
              <w:right w:val="single" w:color="auto" w:sz="4" w:space="0"/>
            </w:tcBorders>
            <w:vAlign w:val="center"/>
          </w:tcPr>
          <w:p w14:paraId="3868A5BA">
            <w:pPr>
              <w:spacing w:line="360" w:lineRule="auto"/>
              <w:rPr>
                <w:rFonts w:hint="eastAsia" w:ascii="宋体" w:hAnsi="宋体" w:cs="宋体"/>
                <w:sz w:val="24"/>
                <w:szCs w:val="24"/>
                <w:highlight w:val="none"/>
              </w:rPr>
            </w:pPr>
          </w:p>
        </w:tc>
        <w:tc>
          <w:tcPr>
            <w:tcW w:w="1315" w:type="dxa"/>
            <w:vMerge w:val="continue"/>
            <w:tcBorders>
              <w:right w:val="single" w:color="auto" w:sz="4" w:space="0"/>
            </w:tcBorders>
            <w:vAlign w:val="center"/>
          </w:tcPr>
          <w:p w14:paraId="67920662">
            <w:pPr>
              <w:spacing w:line="360" w:lineRule="auto"/>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25F78B55">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投标文件格式</w:t>
            </w:r>
          </w:p>
        </w:tc>
        <w:tc>
          <w:tcPr>
            <w:tcW w:w="5284" w:type="dxa"/>
            <w:tcBorders>
              <w:top w:val="single" w:color="auto" w:sz="4" w:space="0"/>
              <w:left w:val="single" w:color="auto" w:sz="4" w:space="0"/>
              <w:bottom w:val="single" w:color="auto" w:sz="4" w:space="0"/>
            </w:tcBorders>
            <w:vAlign w:val="center"/>
          </w:tcPr>
          <w:p w14:paraId="19ED7DBE">
            <w:pPr>
              <w:spacing w:line="360" w:lineRule="auto"/>
              <w:rPr>
                <w:rFonts w:hint="eastAsia" w:ascii="宋体" w:hAnsi="宋体" w:cs="宋体"/>
                <w:bCs/>
                <w:kern w:val="0"/>
                <w:sz w:val="24"/>
                <w:szCs w:val="24"/>
                <w:highlight w:val="none"/>
              </w:rPr>
            </w:pPr>
            <w:r>
              <w:rPr>
                <w:rFonts w:hint="eastAsia" w:ascii="宋体" w:hAnsi="宋体" w:cs="宋体"/>
                <w:bCs/>
                <w:kern w:val="0"/>
                <w:sz w:val="24"/>
                <w:szCs w:val="24"/>
                <w:highlight w:val="none"/>
              </w:rPr>
              <w:t>《投标人声明》、《投标函及其附录》符合第六章“投标文件格式”的规定；</w:t>
            </w:r>
          </w:p>
        </w:tc>
      </w:tr>
      <w:tr w14:paraId="3A426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top w:val="nil"/>
              <w:bottom w:val="single" w:color="auto" w:sz="4" w:space="0"/>
              <w:right w:val="single" w:color="auto" w:sz="4" w:space="0"/>
            </w:tcBorders>
            <w:vAlign w:val="center"/>
          </w:tcPr>
          <w:p w14:paraId="27F24DFB">
            <w:pPr>
              <w:spacing w:line="360" w:lineRule="auto"/>
              <w:rPr>
                <w:rFonts w:hint="eastAsia" w:ascii="宋体" w:hAnsi="宋体" w:cs="宋体"/>
                <w:sz w:val="24"/>
                <w:szCs w:val="24"/>
                <w:highlight w:val="none"/>
              </w:rPr>
            </w:pPr>
          </w:p>
        </w:tc>
        <w:tc>
          <w:tcPr>
            <w:tcW w:w="1315" w:type="dxa"/>
            <w:vMerge w:val="continue"/>
            <w:tcBorders>
              <w:right w:val="single" w:color="auto" w:sz="4" w:space="0"/>
            </w:tcBorders>
            <w:vAlign w:val="center"/>
          </w:tcPr>
          <w:p w14:paraId="222F9589">
            <w:pPr>
              <w:spacing w:line="360" w:lineRule="auto"/>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5F070E3F">
            <w:pPr>
              <w:widowControl/>
              <w:spacing w:before="100" w:beforeAutospacing="1" w:after="100" w:afterAutospacing="1" w:line="360" w:lineRule="auto"/>
              <w:jc w:val="center"/>
              <w:rPr>
                <w:rFonts w:hint="eastAsia" w:ascii="宋体" w:hAnsi="宋体" w:cs="宋体"/>
                <w:kern w:val="0"/>
                <w:sz w:val="24"/>
                <w:szCs w:val="24"/>
                <w:highlight w:val="none"/>
              </w:rPr>
            </w:pPr>
            <w:r>
              <w:rPr>
                <w:rFonts w:hint="eastAsia" w:ascii="宋体" w:hAnsi="宋体" w:cs="宋体"/>
                <w:spacing w:val="-7"/>
                <w:sz w:val="24"/>
                <w:szCs w:val="24"/>
                <w:highlight w:val="none"/>
              </w:rPr>
              <w:t>备选投标方案</w:t>
            </w:r>
          </w:p>
        </w:tc>
        <w:tc>
          <w:tcPr>
            <w:tcW w:w="5284" w:type="dxa"/>
            <w:tcBorders>
              <w:top w:val="single" w:color="auto" w:sz="4" w:space="0"/>
              <w:left w:val="single" w:color="auto" w:sz="4" w:space="0"/>
              <w:bottom w:val="single" w:color="auto" w:sz="4" w:space="0"/>
            </w:tcBorders>
            <w:vAlign w:val="center"/>
          </w:tcPr>
          <w:p w14:paraId="1A9AE0E7">
            <w:pPr>
              <w:widowControl/>
              <w:spacing w:line="360" w:lineRule="auto"/>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不允许</w:t>
            </w:r>
            <w:r>
              <w:rPr>
                <w:rFonts w:hint="eastAsia" w:ascii="宋体" w:hAnsi="宋体" w:cs="宋体"/>
                <w:sz w:val="24"/>
                <w:szCs w:val="24"/>
                <w:highlight w:val="none"/>
                <w:lang w:eastAsia="zh-CN"/>
              </w:rPr>
              <w:t>；</w:t>
            </w:r>
          </w:p>
        </w:tc>
      </w:tr>
      <w:tr w14:paraId="7190C3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812" w:type="dxa"/>
            <w:vMerge w:val="continue"/>
            <w:tcBorders>
              <w:top w:val="nil"/>
              <w:bottom w:val="single" w:color="auto" w:sz="4" w:space="0"/>
              <w:right w:val="single" w:color="auto" w:sz="4" w:space="0"/>
            </w:tcBorders>
            <w:vAlign w:val="center"/>
          </w:tcPr>
          <w:p w14:paraId="71DD3251">
            <w:pPr>
              <w:spacing w:line="360" w:lineRule="auto"/>
              <w:rPr>
                <w:rFonts w:hint="eastAsia" w:ascii="宋体" w:hAnsi="宋体" w:cs="宋体"/>
                <w:sz w:val="24"/>
                <w:szCs w:val="24"/>
                <w:highlight w:val="none"/>
              </w:rPr>
            </w:pPr>
          </w:p>
        </w:tc>
        <w:tc>
          <w:tcPr>
            <w:tcW w:w="1315" w:type="dxa"/>
            <w:vMerge w:val="continue"/>
            <w:tcBorders>
              <w:right w:val="single" w:color="auto" w:sz="4" w:space="0"/>
            </w:tcBorders>
            <w:vAlign w:val="center"/>
          </w:tcPr>
          <w:p w14:paraId="0FB8C837">
            <w:pPr>
              <w:spacing w:line="360" w:lineRule="auto"/>
              <w:rPr>
                <w:rFonts w:hint="eastAsia" w:ascii="宋体" w:hAnsi="宋体" w:cs="宋体"/>
                <w:sz w:val="24"/>
                <w:szCs w:val="24"/>
                <w:highlight w:val="none"/>
              </w:rPr>
            </w:pPr>
          </w:p>
        </w:tc>
        <w:tc>
          <w:tcPr>
            <w:tcW w:w="1945" w:type="dxa"/>
            <w:tcBorders>
              <w:top w:val="single" w:color="auto" w:sz="4" w:space="0"/>
              <w:left w:val="single" w:color="auto" w:sz="4" w:space="0"/>
              <w:right w:val="single" w:color="auto" w:sz="4" w:space="0"/>
            </w:tcBorders>
            <w:vAlign w:val="center"/>
          </w:tcPr>
          <w:p w14:paraId="4654288A">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投标人机器码</w:t>
            </w:r>
          </w:p>
        </w:tc>
        <w:tc>
          <w:tcPr>
            <w:tcW w:w="5284" w:type="dxa"/>
            <w:tcBorders>
              <w:top w:val="single" w:color="auto" w:sz="4" w:space="0"/>
              <w:left w:val="single" w:color="auto" w:sz="4" w:space="0"/>
            </w:tcBorders>
            <w:vAlign w:val="center"/>
          </w:tcPr>
          <w:p w14:paraId="466BDC17">
            <w:pPr>
              <w:spacing w:line="360" w:lineRule="auto"/>
              <w:rPr>
                <w:rFonts w:hint="eastAsia" w:ascii="宋体" w:hAnsi="宋体" w:cs="宋体"/>
                <w:sz w:val="24"/>
                <w:szCs w:val="24"/>
                <w:highlight w:val="none"/>
              </w:rPr>
            </w:pPr>
            <w:r>
              <w:rPr>
                <w:rFonts w:hint="eastAsia" w:ascii="宋体" w:hAnsi="宋体" w:cs="宋体"/>
                <w:sz w:val="24"/>
                <w:szCs w:val="24"/>
                <w:highlight w:val="none"/>
              </w:rPr>
              <w:t>投标人与本项目其他投标人加密打包投标文件电脑机器特征码一致的(以广州交易集团有限公司（广州公共资源交易中心）评标系统的检索信息为准)将被否决。</w:t>
            </w:r>
          </w:p>
        </w:tc>
      </w:tr>
      <w:tr w14:paraId="52192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restart"/>
            <w:tcBorders>
              <w:top w:val="single" w:color="auto" w:sz="4" w:space="0"/>
              <w:right w:val="single" w:color="auto" w:sz="4" w:space="0"/>
            </w:tcBorders>
            <w:vAlign w:val="center"/>
          </w:tcPr>
          <w:p w14:paraId="0A943498">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2.1.2</w:t>
            </w:r>
          </w:p>
        </w:tc>
        <w:tc>
          <w:tcPr>
            <w:tcW w:w="1315" w:type="dxa"/>
            <w:vMerge w:val="restart"/>
            <w:tcBorders>
              <w:top w:val="single" w:color="auto" w:sz="4" w:space="0"/>
              <w:left w:val="single" w:color="auto" w:sz="4" w:space="0"/>
              <w:right w:val="single" w:color="auto" w:sz="4" w:space="0"/>
            </w:tcBorders>
            <w:vAlign w:val="center"/>
          </w:tcPr>
          <w:p w14:paraId="66AE2F5B">
            <w:pPr>
              <w:spacing w:line="360" w:lineRule="auto"/>
              <w:jc w:val="center"/>
              <w:rPr>
                <w:rFonts w:hint="eastAsia" w:ascii="宋体" w:hAnsi="宋体" w:cs="宋体"/>
                <w:sz w:val="24"/>
                <w:szCs w:val="24"/>
                <w:highlight w:val="none"/>
              </w:rPr>
            </w:pPr>
            <w:r>
              <w:rPr>
                <w:rFonts w:hint="eastAsia" w:ascii="宋体" w:hAnsi="宋体" w:cs="宋体"/>
                <w:kern w:val="0"/>
                <w:sz w:val="24"/>
                <w:szCs w:val="24"/>
                <w:highlight w:val="none"/>
              </w:rPr>
              <w:t>资格评审标准</w:t>
            </w:r>
          </w:p>
        </w:tc>
        <w:tc>
          <w:tcPr>
            <w:tcW w:w="1945" w:type="dxa"/>
            <w:tcBorders>
              <w:top w:val="single" w:color="auto" w:sz="4" w:space="0"/>
              <w:left w:val="single" w:color="auto" w:sz="4" w:space="0"/>
              <w:bottom w:val="single" w:color="auto" w:sz="4" w:space="0"/>
              <w:right w:val="single" w:color="auto" w:sz="4" w:space="0"/>
            </w:tcBorders>
            <w:vAlign w:val="center"/>
          </w:tcPr>
          <w:p w14:paraId="6903EDBA">
            <w:pPr>
              <w:widowControl/>
              <w:spacing w:before="100" w:beforeAutospacing="1" w:after="100" w:afterAutospacing="1" w:line="360" w:lineRule="auto"/>
              <w:jc w:val="center"/>
              <w:rPr>
                <w:rFonts w:hint="eastAsia" w:ascii="宋体" w:hAnsi="宋体" w:cs="宋体"/>
                <w:kern w:val="0"/>
                <w:sz w:val="24"/>
                <w:szCs w:val="24"/>
                <w:highlight w:val="none"/>
              </w:rPr>
            </w:pPr>
            <w:r>
              <w:rPr>
                <w:rFonts w:hint="eastAsia" w:ascii="宋体" w:hAnsi="宋体" w:cs="宋体"/>
                <w:sz w:val="24"/>
                <w:szCs w:val="24"/>
                <w:highlight w:val="none"/>
              </w:rPr>
              <w:t>营业执照（或事业单位法人证书）</w:t>
            </w:r>
          </w:p>
        </w:tc>
        <w:tc>
          <w:tcPr>
            <w:tcW w:w="5284" w:type="dxa"/>
            <w:tcBorders>
              <w:top w:val="single" w:color="auto" w:sz="4" w:space="0"/>
              <w:left w:val="single" w:color="auto" w:sz="4" w:space="0"/>
              <w:bottom w:val="single" w:color="auto" w:sz="4" w:space="0"/>
            </w:tcBorders>
            <w:vAlign w:val="center"/>
          </w:tcPr>
          <w:p w14:paraId="2E2FD723">
            <w:pPr>
              <w:widowControl/>
              <w:spacing w:before="100" w:beforeAutospacing="1" w:after="100" w:afterAutospacing="1" w:line="360" w:lineRule="auto"/>
              <w:ind w:right="71" w:rightChars="34"/>
              <w:rPr>
                <w:rFonts w:hint="eastAsia" w:ascii="宋体" w:hAnsi="宋体" w:cs="宋体"/>
                <w:kern w:val="0"/>
                <w:sz w:val="24"/>
                <w:szCs w:val="24"/>
                <w:highlight w:val="none"/>
              </w:rPr>
            </w:pPr>
            <w:r>
              <w:rPr>
                <w:rFonts w:hint="eastAsia" w:ascii="宋体" w:hAnsi="宋体" w:cs="宋体"/>
                <w:sz w:val="24"/>
                <w:szCs w:val="24"/>
                <w:highlight w:val="none"/>
              </w:rPr>
              <w:t>持有事业单位登记管理部门核发的有效的事业单位法人证书或工商行政管理部门核发的有效的企业法人营业执照；</w:t>
            </w:r>
          </w:p>
        </w:tc>
      </w:tr>
      <w:tr w14:paraId="35A7CE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092A4761">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0E6631D9">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03472CD7">
            <w:pPr>
              <w:widowControl/>
              <w:spacing w:before="100" w:beforeAutospacing="1" w:after="100" w:afterAutospacing="1" w:line="360" w:lineRule="auto"/>
              <w:jc w:val="center"/>
              <w:rPr>
                <w:rFonts w:hint="eastAsia" w:ascii="宋体" w:hAnsi="宋体" w:cs="宋体"/>
                <w:kern w:val="0"/>
                <w:sz w:val="24"/>
                <w:szCs w:val="24"/>
                <w:highlight w:val="none"/>
              </w:rPr>
            </w:pPr>
            <w:r>
              <w:rPr>
                <w:rFonts w:hint="eastAsia" w:ascii="宋体" w:hAnsi="宋体" w:cs="宋体"/>
                <w:sz w:val="24"/>
                <w:szCs w:val="24"/>
                <w:highlight w:val="none"/>
              </w:rPr>
              <w:t>资质要求</w:t>
            </w:r>
          </w:p>
        </w:tc>
        <w:tc>
          <w:tcPr>
            <w:tcW w:w="5284" w:type="dxa"/>
            <w:tcBorders>
              <w:top w:val="single" w:color="auto" w:sz="4" w:space="0"/>
              <w:left w:val="single" w:color="auto" w:sz="4" w:space="0"/>
              <w:bottom w:val="single" w:color="auto" w:sz="4" w:space="0"/>
            </w:tcBorders>
            <w:vAlign w:val="center"/>
          </w:tcPr>
          <w:p w14:paraId="537D266D">
            <w:pPr>
              <w:widowControl/>
              <w:spacing w:before="100" w:beforeAutospacing="1" w:after="100" w:afterAutospacing="1" w:line="360" w:lineRule="auto"/>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满足招标公告第3.2的要求</w:t>
            </w:r>
            <w:r>
              <w:rPr>
                <w:rFonts w:hint="eastAsia" w:ascii="宋体" w:hAnsi="宋体" w:cs="宋体"/>
                <w:kern w:val="0"/>
                <w:sz w:val="24"/>
                <w:szCs w:val="24"/>
                <w:highlight w:val="none"/>
                <w:lang w:eastAsia="zh-CN"/>
              </w:rPr>
              <w:t>；</w:t>
            </w:r>
          </w:p>
        </w:tc>
      </w:tr>
      <w:tr w14:paraId="579ED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54E803D3">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2216D1CF">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6523E0F1">
            <w:pPr>
              <w:widowControl/>
              <w:spacing w:before="100" w:beforeAutospacing="1" w:after="100" w:afterAutospacing="1" w:line="360" w:lineRule="auto"/>
              <w:jc w:val="center"/>
              <w:rPr>
                <w:rFonts w:hint="eastAsia" w:ascii="宋体" w:hAnsi="宋体" w:cs="宋体"/>
                <w:kern w:val="0"/>
                <w:sz w:val="24"/>
                <w:szCs w:val="24"/>
                <w:highlight w:val="none"/>
              </w:rPr>
            </w:pPr>
            <w:r>
              <w:rPr>
                <w:rFonts w:hint="eastAsia" w:ascii="宋体" w:hAnsi="宋体" w:cs="宋体"/>
                <w:sz w:val="24"/>
                <w:szCs w:val="24"/>
                <w:highlight w:val="none"/>
              </w:rPr>
              <w:t>项目负责人</w:t>
            </w:r>
          </w:p>
        </w:tc>
        <w:tc>
          <w:tcPr>
            <w:tcW w:w="5284" w:type="dxa"/>
            <w:tcBorders>
              <w:top w:val="single" w:color="auto" w:sz="4" w:space="0"/>
              <w:left w:val="single" w:color="auto" w:sz="4" w:space="0"/>
              <w:bottom w:val="single" w:color="auto" w:sz="4" w:space="0"/>
            </w:tcBorders>
            <w:vAlign w:val="center"/>
          </w:tcPr>
          <w:p w14:paraId="0A183CEF">
            <w:pPr>
              <w:widowControl/>
              <w:spacing w:before="100" w:beforeAutospacing="1" w:after="100" w:afterAutospacing="1" w:line="360" w:lineRule="auto"/>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满足</w:t>
            </w:r>
            <w:r>
              <w:rPr>
                <w:rFonts w:hint="eastAsia" w:ascii="宋体" w:hAnsi="宋体" w:cs="宋体"/>
                <w:sz w:val="24"/>
                <w:szCs w:val="24"/>
                <w:highlight w:val="none"/>
              </w:rPr>
              <w:t>招标公告第3.3点要求</w:t>
            </w:r>
            <w:r>
              <w:rPr>
                <w:rFonts w:hint="eastAsia" w:ascii="宋体" w:hAnsi="宋体" w:cs="宋体"/>
                <w:sz w:val="24"/>
                <w:szCs w:val="24"/>
                <w:highlight w:val="none"/>
                <w:lang w:eastAsia="zh-CN"/>
              </w:rPr>
              <w:t>；</w:t>
            </w:r>
          </w:p>
        </w:tc>
      </w:tr>
      <w:tr w14:paraId="7712B1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549E2077">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35025C2D">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524727F2">
            <w:pPr>
              <w:widowControl/>
              <w:spacing w:before="100" w:beforeAutospacing="1" w:after="100" w:afterAutospacing="1" w:line="360" w:lineRule="auto"/>
              <w:jc w:val="center"/>
              <w:rPr>
                <w:rFonts w:hint="eastAsia" w:ascii="宋体" w:hAnsi="宋体" w:cs="宋体"/>
                <w:kern w:val="0"/>
                <w:sz w:val="24"/>
                <w:szCs w:val="24"/>
                <w:highlight w:val="none"/>
              </w:rPr>
            </w:pPr>
            <w:r>
              <w:rPr>
                <w:rFonts w:hint="eastAsia" w:ascii="宋体" w:hAnsi="宋体" w:cs="宋体"/>
                <w:kern w:val="0"/>
                <w:sz w:val="24"/>
                <w:szCs w:val="24"/>
                <w:highlight w:val="none"/>
              </w:rPr>
              <w:t>联合体投标人</w:t>
            </w:r>
          </w:p>
        </w:tc>
        <w:tc>
          <w:tcPr>
            <w:tcW w:w="5284" w:type="dxa"/>
            <w:tcBorders>
              <w:top w:val="single" w:color="auto" w:sz="4" w:space="0"/>
              <w:left w:val="single" w:color="auto" w:sz="4" w:space="0"/>
              <w:bottom w:val="single" w:color="auto" w:sz="4" w:space="0"/>
            </w:tcBorders>
            <w:vAlign w:val="center"/>
          </w:tcPr>
          <w:p w14:paraId="191407D1">
            <w:pPr>
              <w:widowControl/>
              <w:spacing w:line="360" w:lineRule="auto"/>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本项目不接受联合体投标</w:t>
            </w:r>
            <w:r>
              <w:rPr>
                <w:rFonts w:hint="eastAsia" w:ascii="宋体" w:hAnsi="宋体" w:cs="宋体"/>
                <w:sz w:val="24"/>
                <w:szCs w:val="24"/>
                <w:highlight w:val="none"/>
                <w:lang w:eastAsia="zh-CN"/>
              </w:rPr>
              <w:t>；</w:t>
            </w:r>
          </w:p>
        </w:tc>
      </w:tr>
      <w:tr w14:paraId="2E838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49C326A3">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72D6D5FC">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36570D30">
            <w:pPr>
              <w:widowControl/>
              <w:spacing w:before="100" w:beforeAutospacing="1" w:after="100" w:afterAutospacing="1" w:line="360" w:lineRule="auto"/>
              <w:jc w:val="center"/>
              <w:rPr>
                <w:rFonts w:hint="eastAsia" w:ascii="宋体" w:hAnsi="宋体" w:cs="宋体"/>
                <w:kern w:val="0"/>
                <w:sz w:val="24"/>
                <w:szCs w:val="24"/>
                <w:highlight w:val="none"/>
              </w:rPr>
            </w:pPr>
            <w:r>
              <w:rPr>
                <w:rFonts w:hint="eastAsia" w:ascii="宋体" w:hAnsi="宋体" w:cs="宋体"/>
                <w:sz w:val="24"/>
                <w:szCs w:val="24"/>
                <w:highlight w:val="none"/>
              </w:rPr>
              <w:t>其他要求</w:t>
            </w:r>
          </w:p>
        </w:tc>
        <w:tc>
          <w:tcPr>
            <w:tcW w:w="5284" w:type="dxa"/>
            <w:tcBorders>
              <w:top w:val="single" w:color="auto" w:sz="4" w:space="0"/>
              <w:left w:val="single" w:color="auto" w:sz="4" w:space="0"/>
              <w:bottom w:val="single" w:color="auto" w:sz="4" w:space="0"/>
            </w:tcBorders>
            <w:vAlign w:val="center"/>
          </w:tcPr>
          <w:p w14:paraId="09112CCE">
            <w:pPr>
              <w:widowControl/>
              <w:spacing w:before="100" w:beforeAutospacing="1" w:after="100" w:afterAutospacing="1" w:line="360" w:lineRule="auto"/>
              <w:rPr>
                <w:rFonts w:hint="eastAsia" w:ascii="宋体" w:hAnsi="宋体" w:cs="宋体"/>
                <w:kern w:val="0"/>
                <w:sz w:val="24"/>
                <w:szCs w:val="24"/>
                <w:highlight w:val="none"/>
              </w:rPr>
            </w:pPr>
            <w:r>
              <w:rPr>
                <w:rFonts w:hint="eastAsia" w:ascii="宋体" w:hAnsi="宋体" w:cs="宋体"/>
                <w:sz w:val="24"/>
                <w:szCs w:val="24"/>
                <w:highlight w:val="none"/>
              </w:rPr>
              <w:t>满足招标公告第3.5点要求。</w:t>
            </w:r>
          </w:p>
        </w:tc>
      </w:tr>
      <w:tr w14:paraId="6F7519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1" w:hRule="atLeast"/>
        </w:trPr>
        <w:tc>
          <w:tcPr>
            <w:tcW w:w="812" w:type="dxa"/>
            <w:vMerge w:val="restart"/>
            <w:tcBorders>
              <w:top w:val="single" w:color="auto" w:sz="4" w:space="0"/>
              <w:right w:val="single" w:color="auto" w:sz="4" w:space="0"/>
            </w:tcBorders>
            <w:vAlign w:val="center"/>
          </w:tcPr>
          <w:p w14:paraId="0FD4AD4F">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2.1.3</w:t>
            </w:r>
          </w:p>
        </w:tc>
        <w:tc>
          <w:tcPr>
            <w:tcW w:w="1315" w:type="dxa"/>
            <w:vMerge w:val="restart"/>
            <w:tcBorders>
              <w:top w:val="single" w:color="auto" w:sz="4" w:space="0"/>
              <w:left w:val="single" w:color="auto" w:sz="4" w:space="0"/>
              <w:right w:val="single" w:color="auto" w:sz="4" w:space="0"/>
            </w:tcBorders>
            <w:vAlign w:val="center"/>
          </w:tcPr>
          <w:p w14:paraId="2ABECE92">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响应性评审标准</w:t>
            </w:r>
          </w:p>
        </w:tc>
        <w:tc>
          <w:tcPr>
            <w:tcW w:w="1945" w:type="dxa"/>
            <w:tcBorders>
              <w:top w:val="single" w:color="auto" w:sz="4" w:space="0"/>
              <w:left w:val="single" w:color="auto" w:sz="4" w:space="0"/>
              <w:bottom w:val="single" w:color="auto" w:sz="4" w:space="0"/>
              <w:right w:val="single" w:color="auto" w:sz="4" w:space="0"/>
            </w:tcBorders>
            <w:vAlign w:val="center"/>
          </w:tcPr>
          <w:p w14:paraId="7AE3CA2E">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投标报价</w:t>
            </w:r>
          </w:p>
        </w:tc>
        <w:tc>
          <w:tcPr>
            <w:tcW w:w="5284" w:type="dxa"/>
            <w:tcBorders>
              <w:top w:val="single" w:color="auto" w:sz="4" w:space="0"/>
              <w:left w:val="single" w:color="auto" w:sz="4" w:space="0"/>
              <w:bottom w:val="single" w:color="auto" w:sz="4" w:space="0"/>
            </w:tcBorders>
            <w:vAlign w:val="center"/>
          </w:tcPr>
          <w:p w14:paraId="767F0B68">
            <w:pPr>
              <w:spacing w:line="360" w:lineRule="auto"/>
              <w:rPr>
                <w:rFonts w:hint="eastAsia" w:ascii="宋体" w:hAnsi="宋体" w:cs="宋体"/>
                <w:sz w:val="24"/>
                <w:szCs w:val="24"/>
                <w:highlight w:val="none"/>
              </w:rPr>
            </w:pPr>
            <w:r>
              <w:rPr>
                <w:rFonts w:hint="eastAsia" w:ascii="宋体" w:hAnsi="宋体" w:cs="宋体"/>
                <w:sz w:val="24"/>
                <w:szCs w:val="24"/>
                <w:highlight w:val="none"/>
              </w:rPr>
              <w:t>符合第二章“投标人须知”第3.2款规定进行投标报价的；</w:t>
            </w:r>
          </w:p>
        </w:tc>
      </w:tr>
      <w:tr w14:paraId="3266A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66F32333">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538CD403">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07537BB9">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投标内容</w:t>
            </w:r>
          </w:p>
        </w:tc>
        <w:tc>
          <w:tcPr>
            <w:tcW w:w="5284" w:type="dxa"/>
            <w:tcBorders>
              <w:top w:val="single" w:color="auto" w:sz="4" w:space="0"/>
              <w:left w:val="single" w:color="auto" w:sz="4" w:space="0"/>
              <w:bottom w:val="single" w:color="auto" w:sz="4" w:space="0"/>
            </w:tcBorders>
            <w:vAlign w:val="center"/>
          </w:tcPr>
          <w:p w14:paraId="578E814D">
            <w:pPr>
              <w:spacing w:line="360" w:lineRule="auto"/>
              <w:rPr>
                <w:rFonts w:hint="eastAsia" w:ascii="宋体" w:hAnsi="宋体" w:cs="宋体"/>
                <w:sz w:val="24"/>
                <w:szCs w:val="24"/>
                <w:highlight w:val="none"/>
              </w:rPr>
            </w:pPr>
            <w:r>
              <w:rPr>
                <w:rFonts w:hint="eastAsia" w:ascii="宋体" w:hAnsi="宋体" w:cs="宋体"/>
                <w:sz w:val="24"/>
                <w:szCs w:val="24"/>
                <w:highlight w:val="none"/>
              </w:rPr>
              <w:t>符合第二章“投标人须知”第1.3.1项规定；</w:t>
            </w:r>
          </w:p>
        </w:tc>
      </w:tr>
      <w:tr w14:paraId="344A8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335AF19B">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1A9601ED">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4C2BF185">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服务期限</w:t>
            </w:r>
          </w:p>
        </w:tc>
        <w:tc>
          <w:tcPr>
            <w:tcW w:w="5284" w:type="dxa"/>
            <w:tcBorders>
              <w:top w:val="single" w:color="auto" w:sz="4" w:space="0"/>
              <w:left w:val="single" w:color="auto" w:sz="4" w:space="0"/>
              <w:bottom w:val="single" w:color="auto" w:sz="4" w:space="0"/>
            </w:tcBorders>
            <w:vAlign w:val="center"/>
          </w:tcPr>
          <w:p w14:paraId="29019913">
            <w:pPr>
              <w:spacing w:line="360" w:lineRule="auto"/>
              <w:rPr>
                <w:rFonts w:hint="eastAsia" w:ascii="宋体" w:hAnsi="宋体" w:cs="宋体"/>
                <w:sz w:val="24"/>
                <w:szCs w:val="24"/>
                <w:highlight w:val="none"/>
              </w:rPr>
            </w:pPr>
            <w:r>
              <w:rPr>
                <w:rFonts w:hint="eastAsia" w:ascii="宋体" w:hAnsi="宋体" w:cs="宋体"/>
                <w:sz w:val="24"/>
                <w:szCs w:val="24"/>
                <w:highlight w:val="none"/>
              </w:rPr>
              <w:t>符合第二章“投标人须知”第1.3.2项规定；</w:t>
            </w:r>
          </w:p>
        </w:tc>
      </w:tr>
      <w:tr w14:paraId="4FE5B5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5EE9A298">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6343345F">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5A07BD6A">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质量标准</w:t>
            </w:r>
          </w:p>
        </w:tc>
        <w:tc>
          <w:tcPr>
            <w:tcW w:w="5284" w:type="dxa"/>
            <w:tcBorders>
              <w:top w:val="single" w:color="auto" w:sz="4" w:space="0"/>
              <w:left w:val="single" w:color="auto" w:sz="4" w:space="0"/>
              <w:bottom w:val="single" w:color="auto" w:sz="4" w:space="0"/>
            </w:tcBorders>
            <w:vAlign w:val="center"/>
          </w:tcPr>
          <w:p w14:paraId="41B6E0BD">
            <w:pPr>
              <w:spacing w:line="360" w:lineRule="auto"/>
              <w:rPr>
                <w:rFonts w:hint="eastAsia" w:ascii="宋体" w:hAnsi="宋体" w:cs="宋体"/>
                <w:sz w:val="24"/>
                <w:szCs w:val="24"/>
                <w:highlight w:val="none"/>
              </w:rPr>
            </w:pPr>
            <w:r>
              <w:rPr>
                <w:rFonts w:hint="eastAsia" w:ascii="宋体" w:hAnsi="宋体" w:cs="宋体"/>
                <w:sz w:val="24"/>
                <w:szCs w:val="24"/>
                <w:highlight w:val="none"/>
              </w:rPr>
              <w:t>符合第二章“投标人须知”第1.3.3项规定；</w:t>
            </w:r>
          </w:p>
        </w:tc>
      </w:tr>
      <w:tr w14:paraId="5D4CC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5E1A36DC">
            <w:pPr>
              <w:spacing w:line="360" w:lineRule="auto"/>
              <w:jc w:val="center"/>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40B08573">
            <w:pPr>
              <w:spacing w:line="360" w:lineRule="auto"/>
              <w:jc w:val="center"/>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1F118669">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投标有效期</w:t>
            </w:r>
          </w:p>
        </w:tc>
        <w:tc>
          <w:tcPr>
            <w:tcW w:w="5284" w:type="dxa"/>
            <w:tcBorders>
              <w:top w:val="single" w:color="auto" w:sz="4" w:space="0"/>
              <w:left w:val="single" w:color="auto" w:sz="4" w:space="0"/>
              <w:bottom w:val="single" w:color="auto" w:sz="4" w:space="0"/>
            </w:tcBorders>
          </w:tcPr>
          <w:p w14:paraId="06B4E9CA">
            <w:pPr>
              <w:spacing w:line="360" w:lineRule="auto"/>
              <w:rPr>
                <w:rFonts w:hint="eastAsia" w:ascii="宋体" w:hAnsi="宋体" w:cs="宋体"/>
                <w:sz w:val="24"/>
                <w:szCs w:val="24"/>
                <w:highlight w:val="none"/>
              </w:rPr>
            </w:pPr>
            <w:r>
              <w:rPr>
                <w:rFonts w:hint="eastAsia" w:ascii="宋体" w:hAnsi="宋体" w:cs="宋体"/>
                <w:sz w:val="24"/>
                <w:szCs w:val="24"/>
                <w:highlight w:val="none"/>
              </w:rPr>
              <w:t>符合第二章“投标人须知”第3.3.1项规定；</w:t>
            </w:r>
          </w:p>
        </w:tc>
      </w:tr>
      <w:tr w14:paraId="4E101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12" w:type="dxa"/>
            <w:vMerge w:val="continue"/>
            <w:tcBorders>
              <w:right w:val="single" w:color="auto" w:sz="4" w:space="0"/>
            </w:tcBorders>
            <w:vAlign w:val="center"/>
          </w:tcPr>
          <w:p w14:paraId="4AA12303">
            <w:pPr>
              <w:spacing w:line="360" w:lineRule="auto"/>
              <w:rPr>
                <w:rFonts w:hint="eastAsia" w:ascii="宋体" w:hAnsi="宋体" w:cs="宋体"/>
                <w:sz w:val="24"/>
                <w:szCs w:val="24"/>
                <w:highlight w:val="none"/>
              </w:rPr>
            </w:pPr>
          </w:p>
        </w:tc>
        <w:tc>
          <w:tcPr>
            <w:tcW w:w="1315" w:type="dxa"/>
            <w:vMerge w:val="continue"/>
            <w:tcBorders>
              <w:left w:val="single" w:color="auto" w:sz="4" w:space="0"/>
              <w:right w:val="single" w:color="auto" w:sz="4" w:space="0"/>
            </w:tcBorders>
            <w:vAlign w:val="center"/>
          </w:tcPr>
          <w:p w14:paraId="04D7CF73">
            <w:pPr>
              <w:spacing w:line="360" w:lineRule="auto"/>
              <w:rPr>
                <w:rFonts w:hint="eastAsia" w:ascii="宋体" w:hAnsi="宋体" w:cs="宋体"/>
                <w:sz w:val="24"/>
                <w:szCs w:val="24"/>
                <w:highlight w:val="none"/>
              </w:rPr>
            </w:pPr>
          </w:p>
        </w:tc>
        <w:tc>
          <w:tcPr>
            <w:tcW w:w="1945" w:type="dxa"/>
            <w:tcBorders>
              <w:top w:val="single" w:color="auto" w:sz="4" w:space="0"/>
              <w:left w:val="single" w:color="auto" w:sz="4" w:space="0"/>
              <w:bottom w:val="single" w:color="auto" w:sz="4" w:space="0"/>
              <w:right w:val="single" w:color="auto" w:sz="4" w:space="0"/>
            </w:tcBorders>
            <w:vAlign w:val="center"/>
          </w:tcPr>
          <w:p w14:paraId="699EAA4F">
            <w:pPr>
              <w:widowControl/>
              <w:spacing w:before="100" w:beforeAutospacing="1" w:after="100" w:afterAutospacing="1" w:line="360" w:lineRule="auto"/>
              <w:jc w:val="center"/>
              <w:rPr>
                <w:rFonts w:hint="eastAsia" w:ascii="宋体" w:hAnsi="宋体" w:cs="宋体"/>
                <w:sz w:val="24"/>
                <w:szCs w:val="24"/>
                <w:highlight w:val="none"/>
              </w:rPr>
            </w:pPr>
            <w:r>
              <w:rPr>
                <w:rFonts w:hint="eastAsia" w:ascii="宋体" w:hAnsi="宋体" w:cs="宋体"/>
                <w:kern w:val="0"/>
                <w:sz w:val="24"/>
                <w:szCs w:val="24"/>
                <w:highlight w:val="none"/>
              </w:rPr>
              <w:t>串通投标情形</w:t>
            </w:r>
          </w:p>
        </w:tc>
        <w:tc>
          <w:tcPr>
            <w:tcW w:w="5284" w:type="dxa"/>
            <w:tcBorders>
              <w:top w:val="single" w:color="auto" w:sz="4" w:space="0"/>
              <w:left w:val="single" w:color="auto" w:sz="4" w:space="0"/>
              <w:bottom w:val="single" w:color="auto" w:sz="4" w:space="0"/>
            </w:tcBorders>
          </w:tcPr>
          <w:p w14:paraId="275E7F89">
            <w:pPr>
              <w:widowControl/>
              <w:spacing w:before="100" w:beforeAutospacing="1" w:after="100" w:afterAutospacing="1" w:line="360" w:lineRule="auto"/>
              <w:jc w:val="left"/>
              <w:rPr>
                <w:rFonts w:hint="eastAsia" w:ascii="宋体" w:hAnsi="宋体" w:cs="宋体"/>
                <w:sz w:val="24"/>
                <w:szCs w:val="24"/>
                <w:highlight w:val="none"/>
              </w:rPr>
            </w:pPr>
            <w:r>
              <w:rPr>
                <w:rFonts w:hint="eastAsia" w:ascii="宋体" w:hAnsi="宋体" w:cs="宋体"/>
                <w:sz w:val="24"/>
                <w:szCs w:val="24"/>
                <w:highlight w:val="none"/>
              </w:rPr>
              <w:t>不存在串通投标情形（串通投标情形以《广东省实施&lt;中华人民共和国招标投标法&gt;办法》第十六条的规定为准）。</w:t>
            </w:r>
          </w:p>
        </w:tc>
      </w:tr>
      <w:tr w14:paraId="6617A4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27" w:type="dxa"/>
            <w:gridSpan w:val="2"/>
            <w:tcBorders>
              <w:top w:val="single" w:color="auto" w:sz="4" w:space="0"/>
              <w:bottom w:val="single" w:color="auto" w:sz="4" w:space="0"/>
              <w:right w:val="single" w:color="auto" w:sz="4" w:space="0"/>
            </w:tcBorders>
            <w:vAlign w:val="center"/>
          </w:tcPr>
          <w:p w14:paraId="27AD62F5">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条款号</w:t>
            </w:r>
          </w:p>
        </w:tc>
        <w:tc>
          <w:tcPr>
            <w:tcW w:w="1945" w:type="dxa"/>
            <w:tcBorders>
              <w:top w:val="single" w:color="auto" w:sz="4" w:space="0"/>
              <w:left w:val="single" w:color="auto" w:sz="4" w:space="0"/>
              <w:bottom w:val="single" w:color="auto" w:sz="4" w:space="0"/>
              <w:right w:val="single" w:color="auto" w:sz="4" w:space="0"/>
            </w:tcBorders>
            <w:vAlign w:val="center"/>
          </w:tcPr>
          <w:p w14:paraId="778AE070">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条款内容</w:t>
            </w:r>
          </w:p>
        </w:tc>
        <w:tc>
          <w:tcPr>
            <w:tcW w:w="5284" w:type="dxa"/>
            <w:tcBorders>
              <w:top w:val="single" w:color="auto" w:sz="4" w:space="0"/>
              <w:left w:val="single" w:color="auto" w:sz="4" w:space="0"/>
              <w:bottom w:val="single" w:color="auto" w:sz="4" w:space="0"/>
            </w:tcBorders>
            <w:vAlign w:val="center"/>
          </w:tcPr>
          <w:p w14:paraId="5D1D0798">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编列内容</w:t>
            </w:r>
          </w:p>
        </w:tc>
      </w:tr>
      <w:tr w14:paraId="263158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27" w:type="dxa"/>
            <w:gridSpan w:val="2"/>
            <w:tcBorders>
              <w:bottom w:val="single" w:color="auto" w:sz="4" w:space="0"/>
              <w:right w:val="single" w:color="auto" w:sz="4" w:space="0"/>
            </w:tcBorders>
            <w:vAlign w:val="center"/>
          </w:tcPr>
          <w:p w14:paraId="662CF1E8">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2.2.1</w:t>
            </w:r>
          </w:p>
        </w:tc>
        <w:tc>
          <w:tcPr>
            <w:tcW w:w="1945" w:type="dxa"/>
            <w:tcBorders>
              <w:top w:val="single" w:color="auto" w:sz="4" w:space="0"/>
              <w:left w:val="single" w:color="auto" w:sz="4" w:space="0"/>
              <w:bottom w:val="single" w:color="auto" w:sz="4" w:space="0"/>
              <w:right w:val="single" w:color="auto" w:sz="4" w:space="0"/>
            </w:tcBorders>
            <w:vAlign w:val="center"/>
          </w:tcPr>
          <w:p w14:paraId="03035075">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分值构成</w:t>
            </w:r>
          </w:p>
          <w:p w14:paraId="7EA3AF40">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(总分100分)</w:t>
            </w:r>
          </w:p>
        </w:tc>
        <w:tc>
          <w:tcPr>
            <w:tcW w:w="5284" w:type="dxa"/>
            <w:tcBorders>
              <w:top w:val="single" w:color="auto" w:sz="4" w:space="0"/>
              <w:left w:val="single" w:color="auto" w:sz="4" w:space="0"/>
              <w:bottom w:val="single" w:color="auto" w:sz="4" w:space="0"/>
            </w:tcBorders>
            <w:vAlign w:val="center"/>
          </w:tcPr>
          <w:p w14:paraId="45DA42C9">
            <w:pPr>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商务部分得分：40分</w:t>
            </w:r>
          </w:p>
          <w:p w14:paraId="1819098E">
            <w:pPr>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技术部分得分：50分</w:t>
            </w:r>
          </w:p>
          <w:p w14:paraId="0885AA3F">
            <w:pPr>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投标报价得分：10分</w:t>
            </w:r>
          </w:p>
        </w:tc>
      </w:tr>
      <w:tr w14:paraId="0D5F5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2127" w:type="dxa"/>
            <w:gridSpan w:val="2"/>
            <w:tcBorders>
              <w:top w:val="single" w:color="auto" w:sz="4" w:space="0"/>
              <w:bottom w:val="single" w:color="auto" w:sz="4" w:space="0"/>
              <w:right w:val="single" w:color="auto" w:sz="4" w:space="0"/>
            </w:tcBorders>
            <w:vAlign w:val="center"/>
          </w:tcPr>
          <w:p w14:paraId="27DCC7FC">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2.2.2</w:t>
            </w:r>
          </w:p>
        </w:tc>
        <w:tc>
          <w:tcPr>
            <w:tcW w:w="1945" w:type="dxa"/>
            <w:tcBorders>
              <w:top w:val="single" w:color="auto" w:sz="4" w:space="0"/>
              <w:left w:val="single" w:color="auto" w:sz="4" w:space="0"/>
              <w:bottom w:val="single" w:color="auto" w:sz="4" w:space="0"/>
              <w:right w:val="single" w:color="auto" w:sz="4" w:space="0"/>
            </w:tcBorders>
            <w:vAlign w:val="center"/>
          </w:tcPr>
          <w:p w14:paraId="211CDB9D">
            <w:pPr>
              <w:snapToGrid w:val="0"/>
              <w:spacing w:line="360" w:lineRule="auto"/>
              <w:jc w:val="center"/>
              <w:rPr>
                <w:rFonts w:hint="eastAsia" w:ascii="宋体" w:hAnsi="宋体" w:cs="宋体"/>
                <w:sz w:val="24"/>
                <w:szCs w:val="24"/>
                <w:highlight w:val="none"/>
              </w:rPr>
            </w:pPr>
            <w:r>
              <w:rPr>
                <w:rFonts w:hint="eastAsia" w:asciiTheme="minorEastAsia" w:hAnsiTheme="minorEastAsia" w:eastAsiaTheme="minorEastAsia" w:cstheme="minorEastAsia"/>
                <w:sz w:val="24"/>
                <w:szCs w:val="24"/>
                <w:highlight w:val="none"/>
              </w:rPr>
              <w:t>评标基准价计算</w:t>
            </w:r>
          </w:p>
        </w:tc>
        <w:tc>
          <w:tcPr>
            <w:tcW w:w="5284" w:type="dxa"/>
            <w:tcBorders>
              <w:top w:val="single" w:color="auto" w:sz="4" w:space="0"/>
              <w:left w:val="single" w:color="auto" w:sz="4" w:space="0"/>
              <w:bottom w:val="single" w:color="auto" w:sz="4" w:space="0"/>
            </w:tcBorders>
            <w:vAlign w:val="center"/>
          </w:tcPr>
          <w:p w14:paraId="278316EC">
            <w:pPr>
              <w:snapToGrid w:val="0"/>
              <w:spacing w:line="360" w:lineRule="auto"/>
              <w:rPr>
                <w:highlight w:val="none"/>
              </w:rPr>
            </w:pPr>
            <w:r>
              <w:rPr>
                <w:rFonts w:hint="eastAsia" w:asciiTheme="minorEastAsia" w:hAnsiTheme="minorEastAsia" w:eastAsiaTheme="minorEastAsia" w:cstheme="minorEastAsia"/>
                <w:bCs/>
                <w:color w:val="000000"/>
                <w:sz w:val="24"/>
                <w:szCs w:val="24"/>
                <w:highlight w:val="none"/>
              </w:rPr>
              <w:t>当通过初步评审且投标总报价位于[投标最高限价×90%，投标最高限价]的有效投标人大于5名时，去掉一个最高价和一个最低价，取余下有效投标人的投标总报价的算术平均值的作为评标基准价；当通过初步评审且投标总报价位于[投标最高限价×90%，投标最高限价]的有效投标人小于或等于5名时，取所有入围的有效投标人的投标总报价的算术平均值的作为评标基准价；当通过初步评审且投标总报价没有位于[投标最高限价×90%，投标最高限价]的有效投标人，取投标最高限价×90%作为评标基准价。投标总报价不在[投标最高限价×90%，投标最高限价]区间的不参与评标基准价的计算。</w:t>
            </w:r>
          </w:p>
        </w:tc>
      </w:tr>
      <w:tr w14:paraId="2CEC98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2127" w:type="dxa"/>
            <w:gridSpan w:val="2"/>
            <w:tcBorders>
              <w:top w:val="single" w:color="auto" w:sz="4" w:space="0"/>
              <w:bottom w:val="single" w:color="auto" w:sz="4" w:space="0"/>
              <w:right w:val="single" w:color="auto" w:sz="4" w:space="0"/>
            </w:tcBorders>
            <w:vAlign w:val="center"/>
          </w:tcPr>
          <w:p w14:paraId="0BAB9AE3">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2.2.3</w:t>
            </w:r>
          </w:p>
        </w:tc>
        <w:tc>
          <w:tcPr>
            <w:tcW w:w="1945" w:type="dxa"/>
            <w:tcBorders>
              <w:top w:val="single" w:color="auto" w:sz="4" w:space="0"/>
              <w:left w:val="single" w:color="auto" w:sz="4" w:space="0"/>
              <w:bottom w:val="single" w:color="auto" w:sz="4" w:space="0"/>
              <w:right w:val="single" w:color="auto" w:sz="4" w:space="0"/>
            </w:tcBorders>
            <w:vAlign w:val="center"/>
          </w:tcPr>
          <w:p w14:paraId="0973EAA1">
            <w:pPr>
              <w:snapToGrid w:val="0"/>
              <w:spacing w:line="360" w:lineRule="auto"/>
              <w:jc w:val="center"/>
              <w:rPr>
                <w:rFonts w:hint="eastAsia" w:ascii="宋体" w:hAnsi="宋体" w:cs="宋体"/>
                <w:sz w:val="24"/>
                <w:szCs w:val="24"/>
                <w:highlight w:val="none"/>
              </w:rPr>
            </w:pPr>
            <w:r>
              <w:rPr>
                <w:rFonts w:hint="eastAsia" w:asciiTheme="minorEastAsia" w:hAnsiTheme="minorEastAsia" w:eastAsiaTheme="minorEastAsia" w:cstheme="minorEastAsia"/>
                <w:sz w:val="24"/>
                <w:szCs w:val="24"/>
                <w:highlight w:val="none"/>
              </w:rPr>
              <w:t>投标总报价的偏差率计算公式</w:t>
            </w:r>
          </w:p>
        </w:tc>
        <w:tc>
          <w:tcPr>
            <w:tcW w:w="5284" w:type="dxa"/>
            <w:tcBorders>
              <w:top w:val="single" w:color="auto" w:sz="4" w:space="0"/>
              <w:left w:val="single" w:color="auto" w:sz="4" w:space="0"/>
              <w:bottom w:val="single" w:color="auto" w:sz="4" w:space="0"/>
            </w:tcBorders>
            <w:vAlign w:val="center"/>
          </w:tcPr>
          <w:p w14:paraId="6F03E698">
            <w:pPr>
              <w:snapToGrid w:val="0"/>
              <w:spacing w:line="360" w:lineRule="auto"/>
              <w:rPr>
                <w:rFonts w:hint="eastAsia" w:ascii="宋体" w:hAnsi="宋体" w:cs="宋体"/>
                <w:b/>
                <w:sz w:val="24"/>
                <w:szCs w:val="24"/>
                <w:highlight w:val="none"/>
              </w:rPr>
            </w:pPr>
            <w:r>
              <w:rPr>
                <w:rFonts w:hint="eastAsia" w:asciiTheme="minorEastAsia" w:hAnsiTheme="minorEastAsia" w:eastAsiaTheme="minorEastAsia" w:cstheme="minorEastAsia"/>
                <w:bCs/>
                <w:color w:val="000000"/>
                <w:sz w:val="24"/>
                <w:szCs w:val="24"/>
                <w:highlight w:val="none"/>
              </w:rPr>
              <w:t>偏差率=︱（有效投标总报价-评标基准价）︱/评标基准价×100%（偏差率四舍五入保留2位小数，报价偏差率不足1%的，按直线内插法计算投标总报价得分）注：有效投标总报价为通过初步评审经算术错误修正后的核准报价（投标总报价）。</w:t>
            </w:r>
          </w:p>
        </w:tc>
      </w:tr>
    </w:tbl>
    <w:p w14:paraId="19D6B030">
      <w:pPr>
        <w:rPr>
          <w:rFonts w:hint="eastAsia" w:ascii="宋体" w:hAnsi="宋体" w:cs="宋体"/>
          <w:highlight w:val="none"/>
        </w:rPr>
      </w:pPr>
      <w:r>
        <w:rPr>
          <w:rFonts w:hint="eastAsia" w:ascii="宋体" w:hAnsi="宋体" w:cs="宋体"/>
          <w:highlight w:val="none"/>
        </w:rPr>
        <w:br w:type="page"/>
      </w:r>
    </w:p>
    <w:tbl>
      <w:tblPr>
        <w:tblStyle w:val="19"/>
        <w:tblW w:w="9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32"/>
        <w:gridCol w:w="1575"/>
        <w:gridCol w:w="6107"/>
      </w:tblGrid>
      <w:tr w14:paraId="036E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083" w:type="dxa"/>
            <w:gridSpan w:val="2"/>
            <w:vAlign w:val="center"/>
          </w:tcPr>
          <w:p w14:paraId="089CF27B">
            <w:pPr>
              <w:snapToGrid w:val="0"/>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条款号</w:t>
            </w:r>
          </w:p>
        </w:tc>
        <w:tc>
          <w:tcPr>
            <w:tcW w:w="1575" w:type="dxa"/>
            <w:vAlign w:val="center"/>
          </w:tcPr>
          <w:p w14:paraId="31BB6232">
            <w:pPr>
              <w:snapToGrid w:val="0"/>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评分因素</w:t>
            </w:r>
          </w:p>
        </w:tc>
        <w:tc>
          <w:tcPr>
            <w:tcW w:w="6107" w:type="dxa"/>
            <w:vAlign w:val="center"/>
          </w:tcPr>
          <w:p w14:paraId="56A787FD">
            <w:pPr>
              <w:snapToGrid w:val="0"/>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评分标准</w:t>
            </w:r>
          </w:p>
        </w:tc>
      </w:tr>
      <w:tr w14:paraId="79FE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restart"/>
            <w:vAlign w:val="center"/>
          </w:tcPr>
          <w:p w14:paraId="1469D533">
            <w:pPr>
              <w:snapToGrid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232" w:type="dxa"/>
            <w:vMerge w:val="restart"/>
            <w:vAlign w:val="center"/>
          </w:tcPr>
          <w:p w14:paraId="0DA683FC">
            <w:pPr>
              <w:tabs>
                <w:tab w:val="left" w:pos="720"/>
              </w:tabs>
              <w:snapToGrid w:val="0"/>
              <w:spacing w:line="360" w:lineRule="auto"/>
              <w:ind w:right="63" w:rightChars="30"/>
              <w:rPr>
                <w:rFonts w:hint="eastAsia" w:ascii="宋体" w:hAnsi="宋体" w:cs="宋体" w:eastAsiaTheme="minorEastAsia"/>
                <w:sz w:val="24"/>
                <w:szCs w:val="24"/>
                <w:highlight w:val="none"/>
              </w:rPr>
            </w:pPr>
            <w:r>
              <w:rPr>
                <w:rFonts w:hint="eastAsia" w:asciiTheme="minorEastAsia" w:hAnsiTheme="minorEastAsia" w:eastAsiaTheme="minorEastAsia" w:cstheme="minorEastAsia"/>
                <w:b/>
                <w:bCs/>
                <w:sz w:val="24"/>
                <w:szCs w:val="24"/>
                <w:highlight w:val="none"/>
              </w:rPr>
              <w:t>商务部分（40分）</w:t>
            </w:r>
          </w:p>
        </w:tc>
        <w:tc>
          <w:tcPr>
            <w:tcW w:w="1575" w:type="dxa"/>
            <w:vAlign w:val="center"/>
          </w:tcPr>
          <w:p w14:paraId="65590AF8">
            <w:pPr>
              <w:tabs>
                <w:tab w:val="left" w:pos="720"/>
              </w:tabs>
              <w:snapToGrid w:val="0"/>
              <w:jc w:val="center"/>
              <w:rPr>
                <w:rFonts w:hint="eastAsia" w:ascii="宋体" w:hAnsi="宋体" w:cs="宋体"/>
                <w:sz w:val="24"/>
                <w:szCs w:val="24"/>
                <w:highlight w:val="none"/>
              </w:rPr>
            </w:pPr>
            <w:r>
              <w:rPr>
                <w:rFonts w:hint="eastAsia" w:asciiTheme="minorEastAsia" w:hAnsiTheme="minorEastAsia" w:eastAsiaTheme="minorEastAsia" w:cstheme="minorEastAsia"/>
                <w:bCs/>
                <w:color w:val="000000"/>
                <w:sz w:val="24"/>
                <w:szCs w:val="24"/>
                <w:highlight w:val="none"/>
              </w:rPr>
              <w:t>投标人业绩（12分）</w:t>
            </w:r>
          </w:p>
        </w:tc>
        <w:tc>
          <w:tcPr>
            <w:tcW w:w="6107" w:type="dxa"/>
            <w:vAlign w:val="center"/>
          </w:tcPr>
          <w:p w14:paraId="15A0BFEF">
            <w:pPr>
              <w:pStyle w:val="6"/>
              <w:spacing w:after="0"/>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2022年1月1日至今投标人承接的同类项目（土壤修复）异地处置业绩且该土壤修复地块已移出污染地块名录的，每提供1项得2分，本项最高得12分，相同项目名称不重复计分。</w:t>
            </w:r>
          </w:p>
          <w:p w14:paraId="70FE8C16">
            <w:pPr>
              <w:pStyle w:val="6"/>
              <w:spacing w:after="0"/>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备注：（1）业绩时间以合同签订时间为准，须附上合同关键页扫描件（含签订合同双方的单位名称、合同项目名称、项目内容与含签订合同双方的落款盖章、签订日期的关键页），地块移出污染地块名录证明材料（以附地市级及以上生态环境主管部门将污染地块移除名录的官网通知截图为准），不提供不得分。（2）同类</w:t>
            </w:r>
            <w:r>
              <w:rPr>
                <w:rFonts w:asciiTheme="minorEastAsia" w:hAnsiTheme="minorEastAsia" w:eastAsiaTheme="minorEastAsia" w:cstheme="minorEastAsia"/>
                <w:bCs/>
                <w:color w:val="000000"/>
                <w:sz w:val="24"/>
                <w:szCs w:val="24"/>
                <w:highlight w:val="none"/>
              </w:rPr>
              <w:t>项目</w:t>
            </w:r>
            <w:r>
              <w:rPr>
                <w:rFonts w:hint="eastAsia" w:asciiTheme="minorEastAsia" w:hAnsiTheme="minorEastAsia" w:eastAsiaTheme="minorEastAsia" w:cstheme="minorEastAsia"/>
                <w:bCs/>
                <w:color w:val="000000"/>
                <w:sz w:val="24"/>
                <w:szCs w:val="24"/>
                <w:highlight w:val="none"/>
              </w:rPr>
              <w:t>（土壤修复）</w:t>
            </w:r>
            <w:r>
              <w:rPr>
                <w:rFonts w:asciiTheme="minorEastAsia" w:hAnsiTheme="minorEastAsia" w:eastAsiaTheme="minorEastAsia" w:cstheme="minorEastAsia"/>
                <w:bCs/>
                <w:color w:val="000000"/>
                <w:sz w:val="24"/>
                <w:szCs w:val="24"/>
                <w:highlight w:val="none"/>
              </w:rPr>
              <w:t>异地处置业绩类型仅限土壤修复项目相关业绩。不含农田修复、矿山修复、流域整治、垃圾填埋场治理、水体修复、底泥治理等业绩。</w:t>
            </w:r>
          </w:p>
        </w:tc>
      </w:tr>
      <w:tr w14:paraId="1CD7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6" w:hRule="atLeast"/>
          <w:jc w:val="center"/>
        </w:trPr>
        <w:tc>
          <w:tcPr>
            <w:tcW w:w="851" w:type="dxa"/>
            <w:vMerge w:val="continue"/>
            <w:vAlign w:val="center"/>
          </w:tcPr>
          <w:p w14:paraId="3353E1CD">
            <w:pPr>
              <w:snapToGrid w:val="0"/>
              <w:spacing w:line="360" w:lineRule="auto"/>
              <w:ind w:firstLine="420"/>
              <w:jc w:val="center"/>
              <w:rPr>
                <w:rFonts w:hint="eastAsia" w:ascii="宋体" w:hAnsi="宋体" w:cs="宋体"/>
                <w:sz w:val="24"/>
                <w:szCs w:val="24"/>
                <w:highlight w:val="none"/>
              </w:rPr>
            </w:pPr>
          </w:p>
        </w:tc>
        <w:tc>
          <w:tcPr>
            <w:tcW w:w="1232" w:type="dxa"/>
            <w:vMerge w:val="continue"/>
            <w:vAlign w:val="center"/>
          </w:tcPr>
          <w:p w14:paraId="40984137">
            <w:pPr>
              <w:tabs>
                <w:tab w:val="left" w:pos="720"/>
              </w:tabs>
              <w:snapToGrid w:val="0"/>
              <w:spacing w:line="360" w:lineRule="auto"/>
              <w:ind w:right="63" w:rightChars="30" w:firstLine="420"/>
              <w:jc w:val="center"/>
              <w:rPr>
                <w:rFonts w:hint="eastAsia" w:ascii="宋体" w:hAnsi="宋体" w:cs="宋体"/>
                <w:sz w:val="24"/>
                <w:szCs w:val="24"/>
                <w:highlight w:val="none"/>
              </w:rPr>
            </w:pPr>
          </w:p>
        </w:tc>
        <w:tc>
          <w:tcPr>
            <w:tcW w:w="1575" w:type="dxa"/>
            <w:vAlign w:val="center"/>
          </w:tcPr>
          <w:p w14:paraId="1515D561">
            <w:pPr>
              <w:jc w:val="center"/>
              <w:rPr>
                <w:rFonts w:hint="eastAsia" w:ascii="宋体" w:hAnsi="宋体" w:cs="宋体"/>
                <w:sz w:val="24"/>
                <w:szCs w:val="24"/>
                <w:highlight w:val="none"/>
              </w:rPr>
            </w:pPr>
            <w:r>
              <w:rPr>
                <w:rFonts w:hint="eastAsia" w:asciiTheme="minorEastAsia" w:hAnsiTheme="minorEastAsia" w:eastAsiaTheme="minorEastAsia" w:cstheme="minorEastAsia"/>
                <w:bCs/>
                <w:color w:val="000000"/>
                <w:sz w:val="24"/>
                <w:szCs w:val="24"/>
                <w:highlight w:val="none"/>
              </w:rPr>
              <w:t>人员配备（20分）</w:t>
            </w:r>
          </w:p>
        </w:tc>
        <w:tc>
          <w:tcPr>
            <w:tcW w:w="6107" w:type="dxa"/>
            <w:vAlign w:val="center"/>
          </w:tcPr>
          <w:p w14:paraId="61C13732">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bCs/>
                <w:color w:val="000000"/>
                <w:sz w:val="24"/>
                <w:szCs w:val="24"/>
                <w:highlight w:val="none"/>
              </w:rPr>
              <w:t>拟派技术负责人（5分）：</w:t>
            </w:r>
          </w:p>
          <w:p w14:paraId="676C571D">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①具有环保类相关专业正高级（教授级）技术职称的得3分，其他不得分。本小项最高得3分。</w:t>
            </w:r>
          </w:p>
          <w:p w14:paraId="02534F20">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②曾获得省级或以上政府部门或行业协（学）会颁发的科学技术奖的，每提供1个得2分。本小项最高得2分。</w:t>
            </w:r>
          </w:p>
          <w:p w14:paraId="6DAF733E">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①、②合计最高得5分。</w:t>
            </w:r>
          </w:p>
          <w:p w14:paraId="4A9841E8">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2、拟投入技术团队人员（15分）：</w:t>
            </w:r>
          </w:p>
          <w:p w14:paraId="1886AB22">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①具有建筑工程类相关专业高级工程师或以上技术职称的</w:t>
            </w:r>
            <w:r>
              <w:rPr>
                <w:rFonts w:hint="eastAsia" w:asciiTheme="minorEastAsia" w:hAnsiTheme="minorEastAsia" w:cstheme="minorEastAsia"/>
                <w:bCs/>
                <w:color w:val="000000"/>
                <w:sz w:val="24"/>
                <w:szCs w:val="24"/>
                <w:highlight w:val="none"/>
              </w:rPr>
              <w:t>，</w:t>
            </w:r>
            <w:r>
              <w:rPr>
                <w:rFonts w:hint="eastAsia" w:asciiTheme="minorEastAsia" w:hAnsiTheme="minorEastAsia" w:eastAsiaTheme="minorEastAsia" w:cstheme="minorEastAsia"/>
                <w:bCs/>
                <w:color w:val="000000"/>
                <w:sz w:val="24"/>
                <w:szCs w:val="24"/>
                <w:highlight w:val="none"/>
              </w:rPr>
              <w:t>每提供1个得</w:t>
            </w:r>
            <w:r>
              <w:rPr>
                <w:rFonts w:hint="eastAsia" w:asciiTheme="minorEastAsia" w:hAnsiTheme="minorEastAsia" w:cstheme="minorEastAsia"/>
                <w:bCs/>
                <w:color w:val="000000"/>
                <w:sz w:val="24"/>
                <w:szCs w:val="24"/>
                <w:highlight w:val="none"/>
              </w:rPr>
              <w:t>1</w:t>
            </w:r>
            <w:r>
              <w:rPr>
                <w:rFonts w:hint="eastAsia" w:asciiTheme="minorEastAsia" w:hAnsiTheme="minorEastAsia" w:eastAsiaTheme="minorEastAsia" w:cstheme="minorEastAsia"/>
                <w:bCs/>
                <w:color w:val="000000"/>
                <w:sz w:val="24"/>
                <w:szCs w:val="24"/>
                <w:highlight w:val="none"/>
              </w:rPr>
              <w:t>分，其他不得分。本小项最高得5分。</w:t>
            </w:r>
          </w:p>
          <w:p w14:paraId="18B8DCF8">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②具有环保类相关专业高级工程师或以上技术职称的</w:t>
            </w:r>
            <w:r>
              <w:rPr>
                <w:rFonts w:hint="eastAsia" w:asciiTheme="minorEastAsia" w:hAnsiTheme="minorEastAsia" w:cstheme="minorEastAsia"/>
                <w:bCs/>
                <w:color w:val="000000"/>
                <w:sz w:val="24"/>
                <w:szCs w:val="24"/>
                <w:highlight w:val="none"/>
              </w:rPr>
              <w:t>，</w:t>
            </w:r>
            <w:r>
              <w:rPr>
                <w:rFonts w:hint="eastAsia" w:asciiTheme="minorEastAsia" w:hAnsiTheme="minorEastAsia" w:eastAsiaTheme="minorEastAsia" w:cstheme="minorEastAsia"/>
                <w:bCs/>
                <w:color w:val="000000"/>
                <w:sz w:val="24"/>
                <w:szCs w:val="24"/>
                <w:highlight w:val="none"/>
              </w:rPr>
              <w:t>每提供1个得</w:t>
            </w:r>
            <w:r>
              <w:rPr>
                <w:rFonts w:hint="eastAsia" w:asciiTheme="minorEastAsia" w:hAnsiTheme="minorEastAsia" w:cstheme="minorEastAsia"/>
                <w:bCs/>
                <w:color w:val="000000"/>
                <w:sz w:val="24"/>
                <w:szCs w:val="24"/>
                <w:highlight w:val="none"/>
              </w:rPr>
              <w:t>1</w:t>
            </w:r>
            <w:r>
              <w:rPr>
                <w:rFonts w:hint="eastAsia" w:asciiTheme="minorEastAsia" w:hAnsiTheme="minorEastAsia" w:eastAsiaTheme="minorEastAsia" w:cstheme="minorEastAsia"/>
                <w:bCs/>
                <w:color w:val="000000"/>
                <w:sz w:val="24"/>
                <w:szCs w:val="24"/>
                <w:highlight w:val="none"/>
              </w:rPr>
              <w:t>分，其他不得分。本小项最高得2分。</w:t>
            </w:r>
          </w:p>
          <w:p w14:paraId="6460F693">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③上述人员曾获得省级或以上政府部门或行业协（学）会颁发的科学技术奖的，每提供1个得2分，其他不得分，本小项最高得8分。</w:t>
            </w:r>
          </w:p>
          <w:p w14:paraId="43DC118F">
            <w:pPr>
              <w:pStyle w:val="6"/>
              <w:numPr>
                <w:ilvl w:val="0"/>
                <w:numId w:val="0"/>
              </w:numPr>
              <w:spacing w:after="0"/>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①</w:t>
            </w:r>
            <w:r>
              <w:rPr>
                <w:rFonts w:hint="eastAsia" w:asciiTheme="minorEastAsia" w:hAnsiTheme="minorEastAsia" w:eastAsiaTheme="minorEastAsia" w:cstheme="minorEastAsia"/>
                <w:bCs/>
                <w:color w:val="000000"/>
                <w:sz w:val="24"/>
                <w:szCs w:val="24"/>
                <w:highlight w:val="none"/>
                <w:lang w:eastAsia="zh-CN"/>
              </w:rPr>
              <w:t>、</w:t>
            </w:r>
            <w:r>
              <w:rPr>
                <w:rFonts w:hint="eastAsia" w:asciiTheme="minorEastAsia" w:hAnsiTheme="minorEastAsia" w:eastAsiaTheme="minorEastAsia" w:cstheme="minorEastAsia"/>
                <w:bCs/>
                <w:color w:val="000000"/>
                <w:sz w:val="24"/>
                <w:szCs w:val="24"/>
                <w:highlight w:val="none"/>
              </w:rPr>
              <w:t>②、③合计最高得15分。</w:t>
            </w:r>
          </w:p>
          <w:p w14:paraId="51A1D41C">
            <w:pPr>
              <w:pStyle w:val="6"/>
              <w:spacing w:after="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color w:val="000000"/>
                <w:sz w:val="24"/>
                <w:szCs w:val="24"/>
                <w:highlight w:val="none"/>
              </w:rPr>
              <w:t>本项最高得20分。</w:t>
            </w:r>
          </w:p>
          <w:p w14:paraId="2EFCF815">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备注：（1）提供投标截止日前三个月内任意1个月投标人为项目人员缴纳的社保证明扫描件，不提供不得分。</w:t>
            </w:r>
          </w:p>
          <w:p w14:paraId="040CA062">
            <w:pPr>
              <w:rPr>
                <w:rFonts w:hint="eastAsia" w:ascii="宋体" w:hAnsi="宋体" w:cs="宋体"/>
                <w:sz w:val="24"/>
                <w:szCs w:val="24"/>
                <w:highlight w:val="none"/>
              </w:rPr>
            </w:pPr>
            <w:r>
              <w:rPr>
                <w:rFonts w:hint="eastAsia" w:asciiTheme="minorEastAsia" w:hAnsiTheme="minorEastAsia" w:eastAsiaTheme="minorEastAsia" w:cstheme="minorEastAsia"/>
                <w:bCs/>
                <w:color w:val="000000"/>
                <w:sz w:val="24"/>
                <w:szCs w:val="24"/>
                <w:highlight w:val="none"/>
              </w:rPr>
              <w:t>（2）提供上述人员的职称证书、获奖相关证明文件扫描件。（3）同一人的职称不能重复计算，同一人的奖项不能重复计算。</w:t>
            </w:r>
          </w:p>
        </w:tc>
      </w:tr>
      <w:tr w14:paraId="3E64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851" w:type="dxa"/>
            <w:vMerge w:val="continue"/>
            <w:vAlign w:val="center"/>
          </w:tcPr>
          <w:p w14:paraId="1682B5F7">
            <w:pPr>
              <w:snapToGrid w:val="0"/>
              <w:spacing w:line="360" w:lineRule="auto"/>
              <w:ind w:firstLine="420"/>
              <w:jc w:val="center"/>
              <w:rPr>
                <w:rFonts w:hint="eastAsia" w:ascii="宋体" w:hAnsi="宋体" w:cs="宋体"/>
                <w:sz w:val="24"/>
                <w:szCs w:val="24"/>
                <w:highlight w:val="none"/>
              </w:rPr>
            </w:pPr>
          </w:p>
        </w:tc>
        <w:tc>
          <w:tcPr>
            <w:tcW w:w="1232" w:type="dxa"/>
            <w:vMerge w:val="continue"/>
            <w:vAlign w:val="center"/>
          </w:tcPr>
          <w:p w14:paraId="7837C830">
            <w:pPr>
              <w:tabs>
                <w:tab w:val="left" w:pos="720"/>
              </w:tabs>
              <w:snapToGrid w:val="0"/>
              <w:spacing w:line="360" w:lineRule="auto"/>
              <w:ind w:right="63" w:rightChars="30" w:firstLine="420"/>
              <w:jc w:val="center"/>
              <w:rPr>
                <w:rFonts w:hint="eastAsia" w:ascii="宋体" w:hAnsi="宋体" w:cs="宋体"/>
                <w:sz w:val="24"/>
                <w:szCs w:val="24"/>
                <w:highlight w:val="none"/>
              </w:rPr>
            </w:pPr>
          </w:p>
        </w:tc>
        <w:tc>
          <w:tcPr>
            <w:tcW w:w="1575" w:type="dxa"/>
            <w:shd w:val="clear" w:color="auto" w:fill="auto"/>
            <w:vAlign w:val="center"/>
          </w:tcPr>
          <w:p w14:paraId="4FAFB520">
            <w:pPr>
              <w:pStyle w:val="17"/>
              <w:ind w:firstLine="0" w:firstLineChars="0"/>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sz w:val="24"/>
                <w:szCs w:val="24"/>
                <w:highlight w:val="none"/>
              </w:rPr>
              <w:t>信息化系统（3分）</w:t>
            </w:r>
          </w:p>
        </w:tc>
        <w:tc>
          <w:tcPr>
            <w:tcW w:w="6107" w:type="dxa"/>
            <w:shd w:val="clear" w:color="auto" w:fill="auto"/>
            <w:vAlign w:val="center"/>
          </w:tcPr>
          <w:p w14:paraId="119D9640">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投标人具备土壤修复相关的信息化系统且该系统已验收并投入使用一年及以上，同时每提供1项符合该要求的土壤修复相关的信息化系统软件著作权的，得1分，本项最高得3分。</w:t>
            </w:r>
          </w:p>
          <w:p w14:paraId="68118E5D">
            <w:pPr>
              <w:rPr>
                <w:rFonts w:eastAsiaTheme="minorEastAsia"/>
                <w:highlight w:val="none"/>
              </w:rPr>
            </w:pPr>
            <w:r>
              <w:rPr>
                <w:rFonts w:hint="eastAsia" w:asciiTheme="minorEastAsia" w:hAnsiTheme="minorEastAsia" w:eastAsiaTheme="minorEastAsia" w:cstheme="minorEastAsia"/>
                <w:bCs/>
                <w:color w:val="000000"/>
                <w:sz w:val="24"/>
                <w:szCs w:val="24"/>
                <w:highlight w:val="none"/>
              </w:rPr>
              <w:t>备注：（1）需提供土壤修复相关的信息化系统的验收报告扫描件，且系统开始运行的时间以验收报告所载明的通过验收时间为准，不提供不得分。（2）提供土壤修复相关的信息化系统的软件著作权证书扫描件，不提供不得分。</w:t>
            </w:r>
          </w:p>
        </w:tc>
      </w:tr>
      <w:tr w14:paraId="3295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851" w:type="dxa"/>
            <w:vMerge w:val="continue"/>
            <w:vAlign w:val="center"/>
          </w:tcPr>
          <w:p w14:paraId="376E78AC">
            <w:pPr>
              <w:snapToGrid w:val="0"/>
              <w:spacing w:line="360" w:lineRule="auto"/>
              <w:ind w:firstLine="420"/>
              <w:jc w:val="center"/>
              <w:rPr>
                <w:rFonts w:hint="eastAsia" w:ascii="宋体" w:hAnsi="宋体" w:cs="宋体"/>
                <w:sz w:val="24"/>
                <w:szCs w:val="24"/>
                <w:highlight w:val="none"/>
              </w:rPr>
            </w:pPr>
          </w:p>
        </w:tc>
        <w:tc>
          <w:tcPr>
            <w:tcW w:w="1232" w:type="dxa"/>
            <w:vMerge w:val="continue"/>
            <w:vAlign w:val="center"/>
          </w:tcPr>
          <w:p w14:paraId="5E852105">
            <w:pPr>
              <w:snapToGrid w:val="0"/>
              <w:spacing w:line="360" w:lineRule="auto"/>
              <w:ind w:firstLine="420"/>
              <w:jc w:val="center"/>
              <w:rPr>
                <w:rFonts w:hint="eastAsia" w:ascii="宋体" w:hAnsi="宋体" w:cs="宋体"/>
                <w:sz w:val="24"/>
                <w:szCs w:val="24"/>
                <w:highlight w:val="none"/>
              </w:rPr>
            </w:pPr>
          </w:p>
        </w:tc>
        <w:tc>
          <w:tcPr>
            <w:tcW w:w="1575" w:type="dxa"/>
            <w:vAlign w:val="center"/>
          </w:tcPr>
          <w:p w14:paraId="1DB55D81">
            <w:pPr>
              <w:jc w:val="center"/>
              <w:rPr>
                <w:rFonts w:hint="eastAsia" w:ascii="宋体" w:hAnsi="宋体" w:cs="宋体"/>
                <w:sz w:val="24"/>
                <w:szCs w:val="24"/>
                <w:highlight w:val="none"/>
              </w:rPr>
            </w:pPr>
            <w:r>
              <w:rPr>
                <w:rFonts w:hint="eastAsia" w:asciiTheme="minorEastAsia" w:hAnsiTheme="minorEastAsia" w:eastAsiaTheme="minorEastAsia" w:cstheme="minorEastAsia"/>
                <w:bCs/>
                <w:color w:val="000000"/>
                <w:sz w:val="24"/>
                <w:szCs w:val="24"/>
                <w:highlight w:val="none"/>
              </w:rPr>
              <w:t>企业认证（5分）</w:t>
            </w:r>
          </w:p>
        </w:tc>
        <w:tc>
          <w:tcPr>
            <w:tcW w:w="6107" w:type="dxa"/>
            <w:vAlign w:val="center"/>
          </w:tcPr>
          <w:p w14:paraId="52D5A74B">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具备有效的质量管理体系认证证书、环境管理体系认证证书、职业健康安全管理体系认证证书、信息安全管理体系认证证书和知识产权管理体系认证证书（或知识产权合规管理体系认证证书），以上五个证书认证范围须包含与土壤修复业务相关的内容，每具备其中1项得1分，本项最高得5分。</w:t>
            </w:r>
          </w:p>
          <w:p w14:paraId="306775AF">
            <w:pPr>
              <w:rPr>
                <w:rFonts w:hint="eastAsia" w:ascii="宋体" w:hAnsi="宋体" w:cs="宋体"/>
                <w:sz w:val="24"/>
                <w:szCs w:val="24"/>
                <w:highlight w:val="none"/>
              </w:rPr>
            </w:pPr>
            <w:r>
              <w:rPr>
                <w:rFonts w:hint="eastAsia" w:asciiTheme="minorEastAsia" w:hAnsiTheme="minorEastAsia" w:eastAsiaTheme="minorEastAsia" w:cstheme="minorEastAsia"/>
                <w:bCs/>
                <w:color w:val="000000"/>
                <w:sz w:val="24"/>
                <w:szCs w:val="24"/>
                <w:highlight w:val="none"/>
              </w:rPr>
              <w:t>备注:提供证书扫描件和全国认证认可信息公共服务平台（http://cx.cnca.cn/CertECloud/index/index/page）网页查询结果截图（且证书处于有效状态）作为评审依据。</w:t>
            </w:r>
          </w:p>
        </w:tc>
      </w:tr>
      <w:tr w14:paraId="5E63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vMerge w:val="restart"/>
            <w:vAlign w:val="center"/>
          </w:tcPr>
          <w:p w14:paraId="448A5A97">
            <w:pPr>
              <w:snapToGrid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232" w:type="dxa"/>
            <w:vMerge w:val="restart"/>
            <w:vAlign w:val="center"/>
          </w:tcPr>
          <w:p w14:paraId="5DABF516">
            <w:pPr>
              <w:tabs>
                <w:tab w:val="left" w:pos="720"/>
              </w:tabs>
              <w:snapToGrid w:val="0"/>
              <w:spacing w:line="360" w:lineRule="auto"/>
              <w:ind w:right="63" w:rightChars="30"/>
              <w:jc w:val="center"/>
              <w:rPr>
                <w:rFonts w:hint="eastAsia" w:ascii="宋体" w:hAnsi="宋体" w:cs="宋体" w:eastAsiaTheme="minorEastAsia"/>
                <w:sz w:val="24"/>
                <w:szCs w:val="24"/>
                <w:highlight w:val="none"/>
                <w:lang w:val="zh-CN"/>
              </w:rPr>
            </w:pPr>
            <w:r>
              <w:rPr>
                <w:rFonts w:hint="eastAsia" w:asciiTheme="minorEastAsia" w:hAnsiTheme="minorEastAsia" w:eastAsiaTheme="minorEastAsia" w:cstheme="minorEastAsia"/>
                <w:b/>
                <w:bCs/>
                <w:sz w:val="24"/>
                <w:szCs w:val="24"/>
                <w:highlight w:val="none"/>
              </w:rPr>
              <w:t>技术部分（50分）</w:t>
            </w:r>
          </w:p>
        </w:tc>
        <w:tc>
          <w:tcPr>
            <w:tcW w:w="1575" w:type="dxa"/>
            <w:vAlign w:val="center"/>
          </w:tcPr>
          <w:p w14:paraId="34D5C93A">
            <w:pPr>
              <w:autoSpaceDE w:val="0"/>
              <w:autoSpaceDN w:val="0"/>
              <w:adjustRightInd w:val="0"/>
              <w:snapToGrid w:val="0"/>
              <w:jc w:val="center"/>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对项目的熟悉和了解程度以及重难点分析与解决措施（5分）</w:t>
            </w:r>
          </w:p>
        </w:tc>
        <w:tc>
          <w:tcPr>
            <w:tcW w:w="6107" w:type="dxa"/>
            <w:vAlign w:val="center"/>
          </w:tcPr>
          <w:p w14:paraId="2F0AF0F8">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根据投标人提供的项目特点及现场实际情况对项目的熟悉和了解程度、管理的重难点分析与提出的解决措施进行综合评分：</w:t>
            </w:r>
          </w:p>
          <w:p w14:paraId="73969500">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对本项目以及项目范围内相关资料的掌握完整、准确、对实际情况熟悉，能够对项目实施过程中的难点重点以及用户的需求进行充分的理解和分析，并提出相应对策，有较强的专业性和可行性的，完全满足招标需求，得(4-5]分；</w:t>
            </w:r>
          </w:p>
          <w:p w14:paraId="4B05FDB7">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对本项目以及项目范围内相关资料的掌握较完整、准确、对实际情况较熟悉，能够对项目实施过程中的难点重点以及用户的需求进行基本的理解和分析，理解相对透彻，基本具备专业性和可行性的，基本能满足招标需求，得(3-4]分；</w:t>
            </w:r>
          </w:p>
          <w:p w14:paraId="5EE5B84C">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对本项目以及项目范围内相关资料的掌握基本完整、准确、对实际情况基本熟悉，基本够对项目实施过程中的难点重点以及用户的需求进行基本的理解和分析，但理解不透彻，对策专业性和可行性不足的，部分能满足招标需求，得(2-3]分；</w:t>
            </w:r>
          </w:p>
          <w:p w14:paraId="002D0D7D">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（4）对本项目以及项目范围内相关资料的掌握不完整、不准确、对实际情况不熟悉或其他情况，未能够对项目实施过程中的难点重点以及用户的需求进行理解和分析的，不能满足招标需求，得(0-2]分。</w:t>
            </w:r>
          </w:p>
          <w:p w14:paraId="597C8FB3">
            <w:pPr>
              <w:adjustRightInd w:val="0"/>
              <w:snapToGrid w:val="0"/>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说明：不提供不得分。</w:t>
            </w:r>
          </w:p>
        </w:tc>
      </w:tr>
      <w:tr w14:paraId="4851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vMerge w:val="continue"/>
            <w:vAlign w:val="center"/>
          </w:tcPr>
          <w:p w14:paraId="726527C6">
            <w:pPr>
              <w:snapToGrid w:val="0"/>
              <w:spacing w:line="360" w:lineRule="auto"/>
              <w:jc w:val="center"/>
              <w:rPr>
                <w:rFonts w:hint="eastAsia" w:ascii="宋体" w:hAnsi="宋体" w:cs="宋体"/>
                <w:sz w:val="24"/>
                <w:szCs w:val="24"/>
                <w:highlight w:val="none"/>
              </w:rPr>
            </w:pPr>
          </w:p>
        </w:tc>
        <w:tc>
          <w:tcPr>
            <w:tcW w:w="1232" w:type="dxa"/>
            <w:vMerge w:val="continue"/>
            <w:vAlign w:val="center"/>
          </w:tcPr>
          <w:p w14:paraId="074172DD">
            <w:pPr>
              <w:tabs>
                <w:tab w:val="left" w:pos="720"/>
              </w:tabs>
              <w:snapToGrid w:val="0"/>
              <w:spacing w:line="360" w:lineRule="auto"/>
              <w:ind w:right="63" w:rightChars="30"/>
              <w:jc w:val="center"/>
              <w:rPr>
                <w:rFonts w:hint="eastAsia" w:asciiTheme="minorEastAsia" w:hAnsiTheme="minorEastAsia" w:eastAsiaTheme="minorEastAsia" w:cstheme="minorEastAsia"/>
                <w:b/>
                <w:bCs/>
                <w:sz w:val="24"/>
                <w:szCs w:val="24"/>
                <w:highlight w:val="none"/>
              </w:rPr>
            </w:pPr>
          </w:p>
        </w:tc>
        <w:tc>
          <w:tcPr>
            <w:tcW w:w="1575" w:type="dxa"/>
            <w:vAlign w:val="center"/>
          </w:tcPr>
          <w:p w14:paraId="319A27A1">
            <w:pPr>
              <w:autoSpaceDE w:val="0"/>
              <w:autoSpaceDN w:val="0"/>
              <w:adjustRightInd w:val="0"/>
              <w:snapToGrid w:val="0"/>
              <w:jc w:val="center"/>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污染土壤处理总体方案（10分）</w:t>
            </w:r>
          </w:p>
        </w:tc>
        <w:tc>
          <w:tcPr>
            <w:tcW w:w="6107" w:type="dxa"/>
            <w:vAlign w:val="center"/>
          </w:tcPr>
          <w:p w14:paraId="180DAFD7">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根据投标人提供的用地红线范围内场地土壤污染治理方案，包括土壤处置技术、管理架构、技术力量、制度建设及完整性、工艺控制方案、管理制度与操作规程等进行综合评分：</w:t>
            </w:r>
          </w:p>
          <w:p w14:paraId="1E6D2847">
            <w:pPr>
              <w:numPr>
                <w:ilvl w:val="0"/>
                <w:numId w:val="1"/>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土壤污染治理方案的土壤处置技术先进、方案合理、管理架构、技术力量充足、人员配备科学合理，制度建设能力强、制度完整性高及合理性高、工艺控制方案科学合理，项目组织方案科学合理、可行性高，得(8-10]分；</w:t>
            </w:r>
          </w:p>
          <w:p w14:paraId="7EA8B712">
            <w:pPr>
              <w:numPr>
                <w:ilvl w:val="0"/>
                <w:numId w:val="1"/>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土壤污染治理方案的土壤处置技术合理、方案合理、管理架构、技术力量较充足、人员配备较科学合理，制度建设能力较强、制度完整性较高及合理性较高、工艺控制方案较科学合理，项目组织方案科学合理、可行性较高，得(6-8]分；</w:t>
            </w:r>
          </w:p>
          <w:p w14:paraId="7890F6A7">
            <w:pPr>
              <w:numPr>
                <w:ilvl w:val="0"/>
                <w:numId w:val="1"/>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土壤污染治理方案的土壤处置技术基本满足需求、方案较好、管理架构、技术力量基本充足、人员配备基本科学合理，制度建设能力一般、制度完整性一般及合理性一般、工艺控制方案基本科学合理，项目组织方案科学合理、可行性基本科学合理、可行性一般，得(4-6]分；</w:t>
            </w:r>
          </w:p>
          <w:p w14:paraId="31DAB972">
            <w:pPr>
              <w:numPr>
                <w:ilvl w:val="0"/>
                <w:numId w:val="1"/>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土壤污染治理方案管理架构、方案较差、技术力量较不充足、人员配备较不科学合理，制度建设能力较差、制度完整性较差及合理性较差、工艺控制方案较不科学合理，项目组织方案科学合理、可行性较不科学合理、可行性较差，得(0-4]分。</w:t>
            </w:r>
          </w:p>
          <w:p w14:paraId="1C1D1427">
            <w:pPr>
              <w:pStyle w:val="3"/>
              <w:keepLines w:val="0"/>
              <w:spacing w:before="0" w:after="0" w:line="240" w:lineRule="auto"/>
              <w:rPr>
                <w:rFonts w:hint="eastAsia" w:ascii="宋体" w:hAnsi="宋体" w:cs="宋体"/>
                <w:sz w:val="24"/>
                <w:szCs w:val="24"/>
                <w:highlight w:val="none"/>
              </w:rPr>
            </w:pPr>
            <w:r>
              <w:rPr>
                <w:rFonts w:hint="eastAsia" w:asciiTheme="minorEastAsia" w:hAnsiTheme="minorEastAsia" w:eastAsiaTheme="minorEastAsia" w:cstheme="minorEastAsia"/>
                <w:b w:val="0"/>
                <w:sz w:val="24"/>
                <w:szCs w:val="24"/>
                <w:highlight w:val="none"/>
              </w:rPr>
              <w:t>说明：不提供不得分。</w:t>
            </w:r>
          </w:p>
        </w:tc>
      </w:tr>
      <w:tr w14:paraId="2617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vMerge w:val="continue"/>
            <w:vAlign w:val="center"/>
          </w:tcPr>
          <w:p w14:paraId="74485067">
            <w:pPr>
              <w:snapToGrid w:val="0"/>
              <w:spacing w:line="360" w:lineRule="auto"/>
              <w:jc w:val="center"/>
              <w:rPr>
                <w:rFonts w:hint="eastAsia" w:ascii="宋体" w:hAnsi="宋体" w:cs="宋体"/>
                <w:sz w:val="24"/>
                <w:szCs w:val="24"/>
                <w:highlight w:val="none"/>
              </w:rPr>
            </w:pPr>
          </w:p>
        </w:tc>
        <w:tc>
          <w:tcPr>
            <w:tcW w:w="1232" w:type="dxa"/>
            <w:vMerge w:val="continue"/>
            <w:vAlign w:val="center"/>
          </w:tcPr>
          <w:p w14:paraId="4EDBF38C">
            <w:pPr>
              <w:tabs>
                <w:tab w:val="left" w:pos="720"/>
              </w:tabs>
              <w:snapToGrid w:val="0"/>
              <w:spacing w:line="360" w:lineRule="auto"/>
              <w:ind w:right="63" w:rightChars="30"/>
              <w:jc w:val="center"/>
              <w:rPr>
                <w:rFonts w:hint="eastAsia" w:asciiTheme="minorEastAsia" w:hAnsiTheme="minorEastAsia" w:eastAsiaTheme="minorEastAsia" w:cstheme="minorEastAsia"/>
                <w:b/>
                <w:bCs/>
                <w:sz w:val="24"/>
                <w:szCs w:val="24"/>
                <w:highlight w:val="none"/>
              </w:rPr>
            </w:pPr>
          </w:p>
        </w:tc>
        <w:tc>
          <w:tcPr>
            <w:tcW w:w="1575" w:type="dxa"/>
            <w:vAlign w:val="center"/>
          </w:tcPr>
          <w:p w14:paraId="1819F3D9">
            <w:pPr>
              <w:autoSpaceDE w:val="0"/>
              <w:autoSpaceDN w:val="0"/>
              <w:adjustRightInd w:val="0"/>
              <w:snapToGrid w:val="0"/>
              <w:jc w:val="center"/>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异地处置实施方案（10分）</w:t>
            </w:r>
          </w:p>
        </w:tc>
        <w:tc>
          <w:tcPr>
            <w:tcW w:w="6107" w:type="dxa"/>
            <w:vAlign w:val="center"/>
          </w:tcPr>
          <w:p w14:paraId="345A35A6">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结合项目实际，投标人提供异地处置实施方案等方面进行综合评分：</w:t>
            </w:r>
          </w:p>
          <w:p w14:paraId="16C60F08">
            <w:pPr>
              <w:numPr>
                <w:ilvl w:val="0"/>
                <w:numId w:val="2"/>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异地处置实施方案详实、细致、项目统筹度高、可操作性强、与项目实际匹配高、重点突出、对解决方案的难点针对性高的，得(8-10]分；</w:t>
            </w:r>
          </w:p>
          <w:p w14:paraId="23A9753E">
            <w:pPr>
              <w:numPr>
                <w:ilvl w:val="0"/>
                <w:numId w:val="2"/>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异地处置实施方案具备统筹度较好、可操作性较强、与项目实际匹配较高、重点比较突出、对解决方案的难点针对性较高的，得(6-8]分；</w:t>
            </w:r>
          </w:p>
          <w:p w14:paraId="6841C64E">
            <w:pPr>
              <w:numPr>
                <w:ilvl w:val="0"/>
                <w:numId w:val="2"/>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异地处置实施方案具备统筹度一般、可操作性一般、与项目实际匹配一般、重点难点分析比较一般、对解决方案的难点针对性一般的，得(4-6]分；</w:t>
            </w:r>
          </w:p>
          <w:p w14:paraId="62C4C7F5">
            <w:pPr>
              <w:numPr>
                <w:ilvl w:val="0"/>
                <w:numId w:val="2"/>
              </w:num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异地处置实施方案具备统筹度较差、可操作性较差、与项目实际匹配较差、重点难点分析较差、对解决方案的难点针对性较差的，得(0-4]分；</w:t>
            </w:r>
          </w:p>
          <w:p w14:paraId="0F326E9B">
            <w:pPr>
              <w:pStyle w:val="3"/>
              <w:keepLines w:val="0"/>
              <w:spacing w:before="0" w:after="0" w:line="240" w:lineRule="auto"/>
              <w:rPr>
                <w:rFonts w:hint="eastAsia" w:ascii="宋体" w:hAnsi="宋体" w:cs="宋体"/>
                <w:sz w:val="24"/>
                <w:szCs w:val="24"/>
                <w:highlight w:val="none"/>
              </w:rPr>
            </w:pPr>
            <w:r>
              <w:rPr>
                <w:rFonts w:hint="eastAsia" w:asciiTheme="minorEastAsia" w:hAnsiTheme="minorEastAsia" w:eastAsiaTheme="minorEastAsia" w:cstheme="minorEastAsia"/>
                <w:b w:val="0"/>
                <w:sz w:val="24"/>
                <w:szCs w:val="24"/>
                <w:highlight w:val="none"/>
              </w:rPr>
              <w:t>说明：不提供不得分。</w:t>
            </w:r>
          </w:p>
        </w:tc>
      </w:tr>
      <w:tr w14:paraId="29AE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vMerge w:val="continue"/>
            <w:vAlign w:val="center"/>
          </w:tcPr>
          <w:p w14:paraId="59542EB7">
            <w:pPr>
              <w:snapToGrid w:val="0"/>
              <w:spacing w:line="360" w:lineRule="auto"/>
              <w:jc w:val="center"/>
              <w:rPr>
                <w:rFonts w:hint="eastAsia" w:ascii="宋体" w:hAnsi="宋体" w:cs="宋体"/>
                <w:sz w:val="24"/>
                <w:szCs w:val="24"/>
                <w:highlight w:val="none"/>
              </w:rPr>
            </w:pPr>
          </w:p>
        </w:tc>
        <w:tc>
          <w:tcPr>
            <w:tcW w:w="1232" w:type="dxa"/>
            <w:vMerge w:val="continue"/>
            <w:vAlign w:val="center"/>
          </w:tcPr>
          <w:p w14:paraId="3F9E7A03">
            <w:pPr>
              <w:tabs>
                <w:tab w:val="left" w:pos="720"/>
              </w:tabs>
              <w:snapToGrid w:val="0"/>
              <w:spacing w:line="360" w:lineRule="auto"/>
              <w:ind w:right="63" w:rightChars="30"/>
              <w:jc w:val="center"/>
              <w:rPr>
                <w:rFonts w:hint="eastAsia" w:asciiTheme="minorEastAsia" w:hAnsiTheme="minorEastAsia" w:eastAsiaTheme="minorEastAsia" w:cstheme="minorEastAsia"/>
                <w:b/>
                <w:bCs/>
                <w:sz w:val="24"/>
                <w:szCs w:val="24"/>
                <w:highlight w:val="none"/>
              </w:rPr>
            </w:pPr>
          </w:p>
        </w:tc>
        <w:tc>
          <w:tcPr>
            <w:tcW w:w="1575" w:type="dxa"/>
            <w:vAlign w:val="center"/>
          </w:tcPr>
          <w:p w14:paraId="49AE7233">
            <w:pPr>
              <w:adjustRightInd w:val="0"/>
              <w:snapToGrid w:val="0"/>
              <w:jc w:val="center"/>
              <w:rPr>
                <w:rFonts w:hint="eastAsia" w:ascii="宋体" w:hAnsi="宋体" w:cs="宋体"/>
                <w:sz w:val="24"/>
                <w:szCs w:val="24"/>
                <w:highlight w:val="none"/>
              </w:rPr>
            </w:pPr>
            <w:bookmarkStart w:id="390" w:name="OLE_LINK5"/>
            <w:r>
              <w:rPr>
                <w:rFonts w:hint="eastAsia" w:asciiTheme="minorEastAsia" w:hAnsiTheme="minorEastAsia" w:eastAsiaTheme="minorEastAsia" w:cstheme="minorEastAsia"/>
                <w:bCs/>
                <w:sz w:val="24"/>
                <w:szCs w:val="24"/>
                <w:highlight w:val="none"/>
              </w:rPr>
              <w:t>项目全过程管理及二次污染控制措施</w:t>
            </w:r>
            <w:bookmarkEnd w:id="390"/>
            <w:r>
              <w:rPr>
                <w:rFonts w:hint="eastAsia" w:asciiTheme="minorEastAsia" w:hAnsiTheme="minorEastAsia" w:eastAsiaTheme="minorEastAsia" w:cstheme="minorEastAsia"/>
                <w:bCs/>
                <w:sz w:val="24"/>
                <w:szCs w:val="24"/>
                <w:highlight w:val="none"/>
              </w:rPr>
              <w:t>（5分）</w:t>
            </w:r>
          </w:p>
        </w:tc>
        <w:tc>
          <w:tcPr>
            <w:tcW w:w="6107" w:type="dxa"/>
            <w:vAlign w:val="center"/>
          </w:tcPr>
          <w:p w14:paraId="34A5719E">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根据投标人提供的全过程管理质量保证措施及二次污染控制措施，进行综合评分：</w:t>
            </w:r>
          </w:p>
          <w:p w14:paraId="6355EE9D">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（1）项目全过程管理措施清晰明确，二次污染控制措施到位，利于项目实施，完全切实贴合本项目需求的，得(4-5]分；</w:t>
            </w:r>
          </w:p>
          <w:p w14:paraId="69245C0C">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（2）项目全过程管理措施合理，具备二次污染控制措施，较为切实贴合本项目需求的，得(3-4]分；</w:t>
            </w:r>
          </w:p>
          <w:p w14:paraId="3B0F29DE">
            <w:pPr>
              <w:adjustRightInd w:val="0"/>
              <w:snapToGrid w:val="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（3）项目全过程管理措施基本合理但较简略，二次污染控制措施不完善，但能基本满足本项目需求的，得(2-3]分；</w:t>
            </w:r>
          </w:p>
          <w:p w14:paraId="0DF8FFF6">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（4）项目全过程管理措施具有较大缺陷的，缺少二次污染控制措施，可操作性较差，基本不能满足招标文件需求，得(0-2]分。</w:t>
            </w:r>
          </w:p>
          <w:p w14:paraId="199C38B0">
            <w:pPr>
              <w:adjustRightInd w:val="0"/>
              <w:snapToGrid w:val="0"/>
              <w:rPr>
                <w:highlight w:val="none"/>
              </w:rPr>
            </w:pPr>
            <w:r>
              <w:rPr>
                <w:rFonts w:hint="eastAsia" w:asciiTheme="minorEastAsia" w:hAnsiTheme="minorEastAsia" w:eastAsiaTheme="minorEastAsia" w:cstheme="minorEastAsia"/>
                <w:sz w:val="24"/>
                <w:szCs w:val="24"/>
                <w:highlight w:val="none"/>
              </w:rPr>
              <w:t>说明：不提供不得分。</w:t>
            </w:r>
          </w:p>
        </w:tc>
      </w:tr>
      <w:tr w14:paraId="3752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vMerge w:val="continue"/>
            <w:vAlign w:val="center"/>
          </w:tcPr>
          <w:p w14:paraId="5BDB6FB0">
            <w:pPr>
              <w:snapToGrid w:val="0"/>
              <w:spacing w:line="360" w:lineRule="auto"/>
              <w:jc w:val="center"/>
              <w:rPr>
                <w:rFonts w:hint="eastAsia" w:ascii="宋体" w:hAnsi="宋体" w:cs="宋体"/>
                <w:sz w:val="24"/>
                <w:szCs w:val="24"/>
                <w:highlight w:val="none"/>
              </w:rPr>
            </w:pPr>
          </w:p>
        </w:tc>
        <w:tc>
          <w:tcPr>
            <w:tcW w:w="1232" w:type="dxa"/>
            <w:vMerge w:val="continue"/>
            <w:vAlign w:val="center"/>
          </w:tcPr>
          <w:p w14:paraId="7D4CB7C1">
            <w:pPr>
              <w:tabs>
                <w:tab w:val="left" w:pos="720"/>
              </w:tabs>
              <w:snapToGrid w:val="0"/>
              <w:spacing w:line="360" w:lineRule="auto"/>
              <w:ind w:right="63" w:rightChars="30"/>
              <w:jc w:val="center"/>
              <w:rPr>
                <w:rFonts w:hint="eastAsia" w:asciiTheme="minorEastAsia" w:hAnsiTheme="minorEastAsia" w:eastAsiaTheme="minorEastAsia" w:cstheme="minorEastAsia"/>
                <w:b/>
                <w:bCs/>
                <w:sz w:val="24"/>
                <w:szCs w:val="24"/>
                <w:highlight w:val="none"/>
              </w:rPr>
            </w:pPr>
          </w:p>
        </w:tc>
        <w:tc>
          <w:tcPr>
            <w:tcW w:w="1575" w:type="dxa"/>
            <w:vAlign w:val="center"/>
          </w:tcPr>
          <w:p w14:paraId="0307A76E">
            <w:pPr>
              <w:autoSpaceDE w:val="0"/>
              <w:autoSpaceDN w:val="0"/>
              <w:adjustRightInd w:val="0"/>
              <w:snapToGrid w:val="0"/>
              <w:jc w:val="center"/>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技术、售后服务能力、协调组织能力（5分）</w:t>
            </w:r>
          </w:p>
        </w:tc>
        <w:tc>
          <w:tcPr>
            <w:tcW w:w="6107" w:type="dxa"/>
            <w:vAlign w:val="center"/>
          </w:tcPr>
          <w:p w14:paraId="7E708273">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根据各投标人提供的技术、售后服务能力、协调组织能力进行评审：</w:t>
            </w:r>
          </w:p>
          <w:p w14:paraId="2BC5D8BB">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投标人服务（技术支持、服务承诺、人员配备的情况）机构的设置详细完善、科学合理、可行性高，服务响应时间迅速，服务计划详细完善，服务人员、本地化服务能力配置科学合理、可行性高、针对性强，完全符合招标人需求，得(4-5]分；</w:t>
            </w:r>
          </w:p>
          <w:p w14:paraId="78547DDC">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2）投标人服务（技术支持、服务承诺、人员配备的情况）机构的设置较详细完善、较科学合理、可行性较高，服务响应时间较迅速，服务计划较详细完善，服务人员、本地化服务能力配置较科学合理、可行性较高、针对性较强，较符合招标人需求，得(3-4]分；</w:t>
            </w:r>
          </w:p>
          <w:p w14:paraId="70AD3803">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3）投标人服务（技术支持、服务承诺、人员配备的情况）机构的设置基本详细完善、基本科学合理、可行性一般，服务响应对比一般，服务计划基本详细完善，服务人员、本地化服务能力配置基本科学合理、可行性基本可行、针对性简单，基本符合招标人需求，得(2-3]分；</w:t>
            </w:r>
          </w:p>
          <w:p w14:paraId="41FC041E">
            <w:pPr>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4）投标人服务（技术支持、服务承诺、人员配备的情况）机构的设置不详细完善、不科学合理、可行性差，服务响应时间对比最差，服务计划不详细完善，服务人员、本地化服务能力配置不科学合理、可行性差、针对性差，不符合招标人需求，得(0-2]分。未提供的不得分。</w:t>
            </w:r>
          </w:p>
          <w:p w14:paraId="24C02318">
            <w:pPr>
              <w:adjustRightInd w:val="0"/>
              <w:snapToGrid w:val="0"/>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说明：根据各投标人的技术、售后服务能力、协调组织能力综合打分，格式自拟，无或未按要求提供证明材料的或提供资料不齐全的或无法认定的不得分。</w:t>
            </w:r>
          </w:p>
        </w:tc>
      </w:tr>
      <w:tr w14:paraId="1584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vMerge w:val="continue"/>
            <w:vAlign w:val="center"/>
          </w:tcPr>
          <w:p w14:paraId="23B77FB9">
            <w:pPr>
              <w:snapToGrid w:val="0"/>
              <w:spacing w:line="360" w:lineRule="auto"/>
              <w:jc w:val="center"/>
              <w:rPr>
                <w:rFonts w:hint="eastAsia" w:ascii="宋体" w:hAnsi="宋体" w:cs="宋体"/>
                <w:sz w:val="24"/>
                <w:szCs w:val="24"/>
                <w:highlight w:val="none"/>
              </w:rPr>
            </w:pPr>
          </w:p>
        </w:tc>
        <w:tc>
          <w:tcPr>
            <w:tcW w:w="1232" w:type="dxa"/>
            <w:vMerge w:val="continue"/>
            <w:vAlign w:val="center"/>
          </w:tcPr>
          <w:p w14:paraId="686FC787">
            <w:pPr>
              <w:tabs>
                <w:tab w:val="left" w:pos="720"/>
              </w:tabs>
              <w:snapToGrid w:val="0"/>
              <w:spacing w:line="360" w:lineRule="auto"/>
              <w:ind w:right="63" w:rightChars="30"/>
              <w:jc w:val="center"/>
              <w:rPr>
                <w:rFonts w:hint="eastAsia" w:asciiTheme="minorEastAsia" w:hAnsiTheme="minorEastAsia" w:eastAsiaTheme="minorEastAsia" w:cstheme="minorEastAsia"/>
                <w:b/>
                <w:bCs/>
                <w:sz w:val="24"/>
                <w:szCs w:val="24"/>
                <w:highlight w:val="none"/>
              </w:rPr>
            </w:pPr>
          </w:p>
        </w:tc>
        <w:tc>
          <w:tcPr>
            <w:tcW w:w="1575" w:type="dxa"/>
            <w:vAlign w:val="center"/>
          </w:tcPr>
          <w:p w14:paraId="3A89EDC0">
            <w:pPr>
              <w:autoSpaceDE w:val="0"/>
              <w:autoSpaceDN w:val="0"/>
              <w:adjustRightInd w:val="0"/>
              <w:snapToGrid w:val="0"/>
              <w:jc w:val="center"/>
              <w:rPr>
                <w:rFonts w:hint="eastAsia" w:ascii="宋体" w:hAnsi="宋体" w:cs="宋体"/>
                <w:sz w:val="24"/>
                <w:szCs w:val="24"/>
                <w:highlight w:val="none"/>
              </w:rPr>
            </w:pPr>
            <w:r>
              <w:rPr>
                <w:rFonts w:hint="eastAsia" w:asciiTheme="minorEastAsia" w:hAnsiTheme="minorEastAsia" w:eastAsiaTheme="minorEastAsia" w:cstheme="minorEastAsia"/>
                <w:bCs/>
                <w:sz w:val="24"/>
                <w:szCs w:val="24"/>
                <w:highlight w:val="none"/>
              </w:rPr>
              <w:t>服务有效性及便利性（15分）</w:t>
            </w:r>
          </w:p>
        </w:tc>
        <w:tc>
          <w:tcPr>
            <w:tcW w:w="6107" w:type="dxa"/>
            <w:vAlign w:val="center"/>
          </w:tcPr>
          <w:p w14:paraId="36C4717A">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为提高项目管理效率，避免或减少项目中过多终端处置点可能产生的环境风险，针对接收地点数量和便利性进行评审：</w:t>
            </w:r>
          </w:p>
          <w:p w14:paraId="361C35EB">
            <w:pPr>
              <w:adjustRightInd w:val="0"/>
              <w:snapToGrid w:val="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w:t>
            </w:r>
            <w:r>
              <w:rPr>
                <w:rFonts w:hint="eastAsia" w:asciiTheme="minorEastAsia" w:hAnsiTheme="minorEastAsia" w:eastAsiaTheme="minorEastAsia" w:cstheme="minorEastAsia"/>
                <w:bCs/>
                <w:color w:val="000000"/>
                <w:sz w:val="24"/>
                <w:szCs w:val="24"/>
                <w:highlight w:val="none"/>
              </w:rPr>
              <w:t>终端</w:t>
            </w:r>
            <w:r>
              <w:rPr>
                <w:rFonts w:hint="eastAsia" w:asciiTheme="minorEastAsia" w:hAnsiTheme="minorEastAsia" w:cstheme="minorEastAsia"/>
                <w:bCs/>
                <w:color w:val="000000"/>
                <w:sz w:val="24"/>
                <w:szCs w:val="24"/>
                <w:highlight w:val="none"/>
              </w:rPr>
              <w:t>处置点</w:t>
            </w:r>
            <w:r>
              <w:rPr>
                <w:rFonts w:hint="eastAsia" w:asciiTheme="minorEastAsia" w:hAnsiTheme="minorEastAsia" w:eastAsiaTheme="minorEastAsia" w:cstheme="minorEastAsia"/>
                <w:bCs/>
                <w:sz w:val="24"/>
                <w:szCs w:val="24"/>
                <w:highlight w:val="none"/>
              </w:rPr>
              <w:t>数量。</w:t>
            </w:r>
            <w:r>
              <w:rPr>
                <w:rFonts w:hint="eastAsia" w:asciiTheme="minorEastAsia" w:hAnsiTheme="minorEastAsia" w:eastAsiaTheme="minorEastAsia" w:cstheme="minorEastAsia"/>
                <w:bCs/>
                <w:color w:val="000000"/>
                <w:sz w:val="24"/>
                <w:szCs w:val="24"/>
                <w:highlight w:val="none"/>
              </w:rPr>
              <w:t>拟接纳污染土壤的终端处置点，</w:t>
            </w:r>
            <w:r>
              <w:rPr>
                <w:rFonts w:hint="eastAsia" w:asciiTheme="minorEastAsia" w:hAnsiTheme="minorEastAsia" w:eastAsiaTheme="minorEastAsia" w:cstheme="minorEastAsia"/>
                <w:bCs/>
                <w:sz w:val="24"/>
                <w:szCs w:val="24"/>
                <w:highlight w:val="none"/>
              </w:rPr>
              <w:t>数量为1个，得5分；数量为2-3个，得2分；数量超过3个，得1分。</w:t>
            </w:r>
            <w:r>
              <w:rPr>
                <w:rFonts w:hint="eastAsia" w:asciiTheme="minorEastAsia" w:hAnsiTheme="minorEastAsia" w:eastAsiaTheme="minorEastAsia" w:cstheme="minorEastAsia"/>
                <w:bCs/>
                <w:color w:val="000000"/>
                <w:sz w:val="24"/>
                <w:szCs w:val="24"/>
                <w:highlight w:val="none"/>
              </w:rPr>
              <w:t>本小项最高得5分。</w:t>
            </w:r>
          </w:p>
          <w:p w14:paraId="58AA6865">
            <w:pPr>
              <w:rPr>
                <w:rFonts w:hint="eastAsia" w:asciiTheme="minorEastAsia" w:hAnsiTheme="minorEastAsia" w:eastAsiaTheme="minorEastAsia" w:cstheme="minorEastAsia"/>
                <w:bCs/>
                <w:color w:val="000000"/>
                <w:sz w:val="24"/>
                <w:szCs w:val="24"/>
                <w:highlight w:val="none"/>
                <w:lang w:val="zh-CN"/>
              </w:rPr>
            </w:pPr>
            <w:r>
              <w:rPr>
                <w:rFonts w:hint="eastAsia" w:asciiTheme="minorEastAsia" w:hAnsiTheme="minorEastAsia" w:eastAsiaTheme="minorEastAsia" w:cstheme="minorEastAsia"/>
                <w:bCs/>
                <w:color w:val="000000"/>
                <w:sz w:val="24"/>
                <w:szCs w:val="24"/>
                <w:highlight w:val="none"/>
                <w:lang w:val="zh-CN"/>
              </w:rPr>
              <w:t>注：需提供</w:t>
            </w:r>
            <w:r>
              <w:rPr>
                <w:rFonts w:hint="eastAsia" w:asciiTheme="minorEastAsia" w:hAnsiTheme="minorEastAsia" w:eastAsiaTheme="minorEastAsia" w:cstheme="minorEastAsia"/>
                <w:bCs/>
                <w:sz w:val="24"/>
                <w:szCs w:val="24"/>
                <w:highlight w:val="none"/>
              </w:rPr>
              <w:t>终端处置设施点的</w:t>
            </w:r>
            <w:r>
              <w:rPr>
                <w:rFonts w:hint="eastAsia" w:asciiTheme="minorEastAsia" w:hAnsiTheme="minorEastAsia" w:eastAsiaTheme="minorEastAsia" w:cstheme="minorEastAsia"/>
                <w:bCs/>
                <w:color w:val="000000"/>
                <w:sz w:val="24"/>
                <w:szCs w:val="24"/>
                <w:highlight w:val="none"/>
                <w:lang w:val="zh-CN"/>
              </w:rPr>
              <w:t>相关</w:t>
            </w:r>
            <w:r>
              <w:rPr>
                <w:rFonts w:hint="eastAsia" w:asciiTheme="minorEastAsia" w:hAnsiTheme="minorEastAsia" w:eastAsiaTheme="minorEastAsia" w:cstheme="minorEastAsia"/>
                <w:bCs/>
                <w:color w:val="000000"/>
                <w:sz w:val="24"/>
                <w:szCs w:val="24"/>
                <w:highlight w:val="none"/>
              </w:rPr>
              <w:t>环评批复作为证明</w:t>
            </w:r>
            <w:r>
              <w:rPr>
                <w:rFonts w:hint="eastAsia" w:asciiTheme="minorEastAsia" w:hAnsiTheme="minorEastAsia" w:eastAsiaTheme="minorEastAsia" w:cstheme="minorEastAsia"/>
                <w:bCs/>
                <w:color w:val="000000"/>
                <w:sz w:val="24"/>
                <w:szCs w:val="24"/>
                <w:highlight w:val="none"/>
                <w:lang w:val="zh-CN"/>
              </w:rPr>
              <w:t>，</w:t>
            </w:r>
            <w:r>
              <w:rPr>
                <w:rFonts w:hint="eastAsia" w:asciiTheme="minorEastAsia" w:hAnsiTheme="minorEastAsia" w:eastAsiaTheme="minorEastAsia" w:cstheme="minorEastAsia"/>
                <w:bCs/>
                <w:color w:val="000000"/>
                <w:sz w:val="24"/>
                <w:szCs w:val="24"/>
                <w:highlight w:val="none"/>
              </w:rPr>
              <w:t>不提供不得分，</w:t>
            </w:r>
            <w:r>
              <w:rPr>
                <w:rFonts w:hint="eastAsia" w:asciiTheme="minorEastAsia" w:hAnsiTheme="minorEastAsia" w:eastAsiaTheme="minorEastAsia" w:cstheme="minorEastAsia"/>
                <w:bCs/>
                <w:color w:val="000000"/>
                <w:sz w:val="24"/>
                <w:szCs w:val="24"/>
                <w:highlight w:val="none"/>
                <w:lang w:val="zh-CN"/>
              </w:rPr>
              <w:t>格式自拟。</w:t>
            </w:r>
          </w:p>
          <w:p w14:paraId="1340AB02">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2、终端处置点的年处理能力。拟接纳污染土壤的终端处置点（如多个接收处置点的，指其中处置能力最大的接收处置点的量）污染土壤年处理能力＞15万吨的得5分；10万吨＜污染土壤年处理能力≤15万吨的，得2分；其他不得分，本小项最高得5分。</w:t>
            </w:r>
          </w:p>
          <w:p w14:paraId="721996B4">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注：需提供终端处置设施点的相关环评批复及接收意向书加盖处置点公章作为证明，不提供不得分，格式自拟。</w:t>
            </w:r>
          </w:p>
          <w:p w14:paraId="3494476E">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rPr>
              <w:t>3、终端处置点与本项目的距离。拟接纳污染土壤的终端处置设施距离本项目现场，在1小时以内的，得5分。距离在1小时（含）至1.5小时（不含）的，得2分。其他情况不得分。本小项最高得5分。（如有多个终端处置设施点的，按多个终端处置设施距离本项目现场的平均值计算）</w:t>
            </w:r>
          </w:p>
          <w:p w14:paraId="4B5337E1">
            <w:pPr>
              <w:rPr>
                <w:rFonts w:hint="eastAsia" w:asciiTheme="minorEastAsia" w:hAnsiTheme="minorEastAsia" w:eastAsiaTheme="minorEastAsia" w:cstheme="minorEastAsia"/>
                <w:bCs/>
                <w:color w:val="000000"/>
                <w:sz w:val="24"/>
                <w:szCs w:val="24"/>
                <w:highlight w:val="none"/>
              </w:rPr>
            </w:pPr>
            <w:r>
              <w:rPr>
                <w:rFonts w:hint="eastAsia" w:asciiTheme="minorEastAsia" w:hAnsiTheme="minorEastAsia" w:eastAsiaTheme="minorEastAsia" w:cstheme="minorEastAsia"/>
                <w:bCs/>
                <w:color w:val="000000"/>
                <w:sz w:val="24"/>
                <w:szCs w:val="24"/>
                <w:highlight w:val="none"/>
                <w:lang w:val="zh-CN"/>
              </w:rPr>
              <w:t>注：需提供</w:t>
            </w:r>
            <w:r>
              <w:rPr>
                <w:rFonts w:hint="eastAsia" w:asciiTheme="minorEastAsia" w:hAnsiTheme="minorEastAsia" w:eastAsiaTheme="minorEastAsia" w:cstheme="minorEastAsia"/>
                <w:bCs/>
                <w:color w:val="000000"/>
                <w:sz w:val="24"/>
                <w:szCs w:val="24"/>
                <w:highlight w:val="none"/>
              </w:rPr>
              <w:t>高德地图导航证明距离信息</w:t>
            </w:r>
            <w:r>
              <w:rPr>
                <w:rFonts w:hint="eastAsia" w:asciiTheme="minorEastAsia" w:hAnsiTheme="minorEastAsia" w:eastAsiaTheme="minorEastAsia" w:cstheme="minorEastAsia"/>
                <w:bCs/>
                <w:color w:val="000000"/>
                <w:sz w:val="24"/>
                <w:szCs w:val="24"/>
                <w:highlight w:val="none"/>
                <w:lang w:val="zh-CN"/>
              </w:rPr>
              <w:t>，格式自拟。导航证明距离信息时间可以截取晚上20:00-次日07:00任何时间。</w:t>
            </w:r>
          </w:p>
          <w:p w14:paraId="20B566E6">
            <w:pPr>
              <w:rPr>
                <w:rFonts w:hint="eastAsia" w:ascii="宋体" w:hAnsi="宋体" w:cs="宋体"/>
                <w:sz w:val="24"/>
                <w:szCs w:val="24"/>
                <w:highlight w:val="none"/>
              </w:rPr>
            </w:pPr>
            <w:r>
              <w:rPr>
                <w:rFonts w:hint="eastAsia" w:asciiTheme="minorEastAsia" w:hAnsiTheme="minorEastAsia" w:eastAsiaTheme="minorEastAsia" w:cstheme="minorEastAsia"/>
                <w:bCs/>
                <w:color w:val="000000"/>
                <w:sz w:val="24"/>
                <w:szCs w:val="24"/>
                <w:highlight w:val="none"/>
              </w:rPr>
              <w:t>本项最高得15分。</w:t>
            </w:r>
          </w:p>
        </w:tc>
      </w:tr>
      <w:tr w14:paraId="790B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51" w:type="dxa"/>
            <w:vAlign w:val="center"/>
          </w:tcPr>
          <w:p w14:paraId="5EA382E6">
            <w:pPr>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3</w:t>
            </w:r>
          </w:p>
        </w:tc>
        <w:tc>
          <w:tcPr>
            <w:tcW w:w="1232" w:type="dxa"/>
            <w:vAlign w:val="center"/>
          </w:tcPr>
          <w:p w14:paraId="2432BBC8">
            <w:pPr>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投标总报价评分标准（10分）</w:t>
            </w:r>
          </w:p>
        </w:tc>
        <w:tc>
          <w:tcPr>
            <w:tcW w:w="1575" w:type="dxa"/>
            <w:vAlign w:val="center"/>
          </w:tcPr>
          <w:p w14:paraId="5B79AEB9">
            <w:pPr>
              <w:snapToGrid w:val="0"/>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计算方法</w:t>
            </w:r>
          </w:p>
        </w:tc>
        <w:tc>
          <w:tcPr>
            <w:tcW w:w="6107" w:type="dxa"/>
            <w:vAlign w:val="center"/>
          </w:tcPr>
          <w:p w14:paraId="3899D2DF">
            <w:pPr>
              <w:snapToGrid w:val="0"/>
              <w:spacing w:line="360" w:lineRule="auto"/>
              <w:rPr>
                <w:rFonts w:hint="eastAsia" w:ascii="宋体" w:hAnsi="宋体" w:cs="宋体"/>
                <w:sz w:val="24"/>
                <w:szCs w:val="24"/>
                <w:highlight w:val="none"/>
              </w:rPr>
            </w:pPr>
            <w:r>
              <w:rPr>
                <w:rFonts w:hint="eastAsia" w:asciiTheme="minorEastAsia" w:hAnsiTheme="minorEastAsia" w:eastAsiaTheme="minorEastAsia" w:cstheme="minorEastAsia"/>
                <w:sz w:val="24"/>
                <w:szCs w:val="24"/>
                <w:highlight w:val="none"/>
              </w:rPr>
              <w:t>以评标基准价为准，有效投标总报价等于评标基准价的得满分10分；有效投标总报价低于评标基准价的，每低1%扣0.3分；有效投标总报价高于评标基准价的，每高1%扣0.5分，最多扣至0分；中间值用插入法进行计算，小数点后保留两位。</w:t>
            </w:r>
          </w:p>
        </w:tc>
      </w:tr>
    </w:tbl>
    <w:p w14:paraId="704E052A">
      <w:pPr>
        <w:snapToGrid w:val="0"/>
        <w:spacing w:line="400" w:lineRule="exact"/>
        <w:ind w:firstLine="720" w:firstLineChars="300"/>
        <w:rPr>
          <w:rFonts w:hint="eastAsia" w:ascii="宋体" w:hAnsi="宋体" w:cs="宋体"/>
          <w:sz w:val="24"/>
          <w:szCs w:val="24"/>
          <w:highlight w:val="none"/>
        </w:rPr>
      </w:pPr>
      <w:r>
        <w:rPr>
          <w:rFonts w:hint="eastAsia" w:ascii="宋体" w:hAnsi="宋体" w:cs="宋体"/>
          <w:sz w:val="24"/>
          <w:szCs w:val="24"/>
          <w:highlight w:val="none"/>
        </w:rPr>
        <w:t>说明：1、投标人总分为所有评委评分的算术平均分（分数出现小数点时，保留小数点后二位，第三位小数四舍五入）。</w:t>
      </w:r>
    </w:p>
    <w:p w14:paraId="2E643095">
      <w:pPr>
        <w:snapToGrid w:val="0"/>
        <w:spacing w:line="400" w:lineRule="exact"/>
        <w:ind w:firstLine="720" w:firstLineChars="300"/>
        <w:rPr>
          <w:rFonts w:hint="eastAsia" w:ascii="宋体" w:hAnsi="宋体" w:cs="宋体"/>
          <w:sz w:val="24"/>
          <w:szCs w:val="24"/>
          <w:highlight w:val="none"/>
        </w:rPr>
      </w:pPr>
      <w:r>
        <w:rPr>
          <w:rFonts w:hint="eastAsia" w:ascii="宋体" w:hAnsi="宋体" w:cs="宋体"/>
          <w:sz w:val="24"/>
          <w:szCs w:val="24"/>
          <w:highlight w:val="none"/>
        </w:rPr>
        <w:t>2、本评分表中所附所有证明材料，投标人提供的扫描件或网页截图打印件必须加盖投标人电子印章且内容必须清晰可辨，如因提供资料内容模糊导致评标时无法判断的，后果由投标人自负。上述资料不提供或提供不完整或提供不符合要求的不得分。</w:t>
      </w:r>
    </w:p>
    <w:p w14:paraId="70379F23">
      <w:pPr>
        <w:pStyle w:val="4"/>
        <w:ind w:firstLine="720" w:firstLineChars="300"/>
        <w:rPr>
          <w:rFonts w:hint="eastAsia" w:ascii="宋体" w:hAnsi="宋体" w:cs="宋体"/>
          <w:sz w:val="24"/>
          <w:szCs w:val="24"/>
          <w:highlight w:val="none"/>
        </w:rPr>
      </w:pPr>
      <w:r>
        <w:rPr>
          <w:rFonts w:hint="eastAsia" w:ascii="宋体" w:hAnsi="宋体" w:cs="宋体"/>
          <w:sz w:val="24"/>
          <w:szCs w:val="24"/>
          <w:highlight w:val="none"/>
        </w:rPr>
        <w:t>3、上述资料不提供或提供不完整或提供不符合要求的不得分。中标单位需准备投标文件涉及的所有原件待查，如原件不齐或与原件不符的，招标人有权取消其中标人资格，并上报建设行政主管部门。</w:t>
      </w:r>
    </w:p>
    <w:p w14:paraId="0EBEBB3F">
      <w:pPr>
        <w:spacing w:before="120" w:beforeLines="50" w:after="120" w:afterLines="50" w:line="366" w:lineRule="exact"/>
        <w:rPr>
          <w:rFonts w:hint="eastAsia" w:ascii="宋体" w:hAnsi="宋体" w:cs="宋体"/>
          <w:szCs w:val="21"/>
          <w:highlight w:val="none"/>
        </w:rPr>
      </w:pPr>
    </w:p>
    <w:p w14:paraId="103B5EA2">
      <w:pPr>
        <w:jc w:val="center"/>
        <w:rPr>
          <w:rFonts w:hint="eastAsia" w:ascii="宋体" w:hAnsi="宋体" w:cs="宋体"/>
          <w:highlight w:val="none"/>
        </w:rPr>
      </w:pPr>
      <w:r>
        <w:rPr>
          <w:rFonts w:hint="eastAsia" w:ascii="宋体" w:hAnsi="宋体" w:cs="宋体"/>
          <w:highlight w:val="none"/>
        </w:rPr>
        <w:br w:type="page"/>
      </w:r>
    </w:p>
    <w:p w14:paraId="5E3E77A9">
      <w:pPr>
        <w:pStyle w:val="3"/>
        <w:rPr>
          <w:rFonts w:hint="eastAsia" w:ascii="宋体" w:hAnsi="宋体" w:cs="宋体"/>
          <w:highlight w:val="none"/>
        </w:rPr>
      </w:pPr>
      <w:bookmarkStart w:id="391" w:name="_Toc515205256"/>
      <w:bookmarkStart w:id="392" w:name="_Toc102997630"/>
      <w:bookmarkStart w:id="393" w:name="_Toc529196583"/>
      <w:r>
        <w:rPr>
          <w:rFonts w:hint="eastAsia" w:ascii="宋体" w:hAnsi="宋体" w:cs="宋体"/>
          <w:highlight w:val="none"/>
        </w:rPr>
        <w:t>1. 评标方法</w:t>
      </w:r>
      <w:bookmarkEnd w:id="391"/>
      <w:bookmarkEnd w:id="392"/>
      <w:bookmarkEnd w:id="393"/>
    </w:p>
    <w:p w14:paraId="4BD71B2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w:t>
      </w:r>
      <w:bookmarkStart w:id="394" w:name="_Toc247514022"/>
      <w:bookmarkStart w:id="395" w:name="_Toc144974565"/>
      <w:bookmarkStart w:id="396" w:name="_Toc247527623"/>
      <w:bookmarkStart w:id="397" w:name="_Toc384308272"/>
      <w:bookmarkStart w:id="398" w:name="_Toc152042375"/>
      <w:bookmarkStart w:id="399" w:name="_Toc361508646"/>
      <w:bookmarkStart w:id="400" w:name="_Toc300835008"/>
      <w:bookmarkStart w:id="401" w:name="_Toc152045598"/>
      <w:bookmarkStart w:id="402" w:name="_Toc369531577"/>
      <w:bookmarkStart w:id="403" w:name="_Toc352691533"/>
      <w:bookmarkStart w:id="404" w:name="_Toc4497"/>
      <w:r>
        <w:rPr>
          <w:rFonts w:hint="eastAsia" w:ascii="宋体" w:hAnsi="宋体" w:cs="宋体"/>
          <w:sz w:val="24"/>
          <w:highlight w:val="none"/>
        </w:rPr>
        <w:t>外。总分相等</w:t>
      </w:r>
      <w:bookmarkEnd w:id="394"/>
      <w:bookmarkEnd w:id="395"/>
      <w:bookmarkEnd w:id="396"/>
      <w:bookmarkEnd w:id="397"/>
      <w:bookmarkEnd w:id="398"/>
      <w:bookmarkEnd w:id="399"/>
      <w:bookmarkEnd w:id="400"/>
      <w:bookmarkEnd w:id="401"/>
      <w:r>
        <w:rPr>
          <w:rFonts w:hint="eastAsia" w:ascii="宋体" w:hAnsi="宋体" w:cs="宋体"/>
          <w:sz w:val="24"/>
          <w:highlight w:val="none"/>
        </w:rPr>
        <w:t>时，</w:t>
      </w:r>
      <w:bookmarkEnd w:id="402"/>
      <w:bookmarkEnd w:id="403"/>
      <w:bookmarkEnd w:id="404"/>
      <w:r>
        <w:rPr>
          <w:rFonts w:hint="eastAsia" w:ascii="宋体" w:hAnsi="宋体" w:cs="宋体"/>
          <w:sz w:val="24"/>
          <w:highlight w:val="none"/>
        </w:rPr>
        <w:t>按照评标办法前附表的规定确定中标候选人顺序。</w:t>
      </w:r>
    </w:p>
    <w:p w14:paraId="01C8B0A6">
      <w:pPr>
        <w:pStyle w:val="3"/>
        <w:rPr>
          <w:rFonts w:hint="eastAsia" w:ascii="宋体" w:hAnsi="宋体" w:cs="宋体"/>
          <w:highlight w:val="none"/>
        </w:rPr>
      </w:pPr>
      <w:bookmarkStart w:id="405" w:name="_Toc102997631"/>
      <w:bookmarkStart w:id="406" w:name="_Toc515205257"/>
      <w:bookmarkStart w:id="407" w:name="_Toc529196584"/>
      <w:r>
        <w:rPr>
          <w:rFonts w:hint="eastAsia" w:ascii="宋体" w:hAnsi="宋体" w:cs="宋体"/>
          <w:highlight w:val="none"/>
        </w:rPr>
        <w:t>2. 评审标准</w:t>
      </w:r>
      <w:bookmarkEnd w:id="405"/>
      <w:bookmarkEnd w:id="406"/>
      <w:bookmarkEnd w:id="407"/>
    </w:p>
    <w:p w14:paraId="6A3EF9F7">
      <w:pPr>
        <w:pStyle w:val="3"/>
        <w:rPr>
          <w:rFonts w:hint="eastAsia" w:ascii="宋体" w:hAnsi="宋体" w:cs="宋体"/>
          <w:highlight w:val="none"/>
        </w:rPr>
      </w:pPr>
      <w:bookmarkStart w:id="408" w:name="_Toc102997632"/>
      <w:bookmarkStart w:id="409" w:name="_Toc529196585"/>
      <w:bookmarkStart w:id="410" w:name="_Toc515205258"/>
      <w:r>
        <w:rPr>
          <w:rFonts w:hint="eastAsia" w:ascii="宋体" w:hAnsi="宋体" w:cs="宋体"/>
          <w:highlight w:val="none"/>
        </w:rPr>
        <w:t>2.1 初步评审标准</w:t>
      </w:r>
      <w:bookmarkEnd w:id="408"/>
      <w:bookmarkEnd w:id="409"/>
      <w:bookmarkEnd w:id="410"/>
    </w:p>
    <w:p w14:paraId="67A1FA11">
      <w:pPr>
        <w:spacing w:line="360" w:lineRule="auto"/>
        <w:rPr>
          <w:rFonts w:hint="eastAsia" w:ascii="宋体" w:hAnsi="宋体" w:cs="宋体"/>
          <w:sz w:val="24"/>
          <w:highlight w:val="none"/>
        </w:rPr>
      </w:pPr>
      <w:r>
        <w:rPr>
          <w:rFonts w:hint="eastAsia" w:ascii="宋体" w:hAnsi="宋体" w:cs="宋体"/>
          <w:sz w:val="24"/>
          <w:highlight w:val="none"/>
        </w:rPr>
        <w:t>2.1.1 形式评审标准：见评标办法前附表。</w:t>
      </w:r>
    </w:p>
    <w:p w14:paraId="7A951EA3">
      <w:pPr>
        <w:spacing w:line="360" w:lineRule="auto"/>
        <w:rPr>
          <w:rFonts w:hint="eastAsia" w:ascii="宋体" w:hAnsi="宋体" w:cs="宋体"/>
          <w:sz w:val="24"/>
          <w:highlight w:val="none"/>
        </w:rPr>
      </w:pPr>
      <w:r>
        <w:rPr>
          <w:rFonts w:hint="eastAsia" w:ascii="宋体" w:hAnsi="宋体" w:cs="宋体"/>
          <w:sz w:val="24"/>
          <w:highlight w:val="none"/>
        </w:rPr>
        <w:t>2.1.2 资格评审标准：见评标办法前附表。</w:t>
      </w:r>
    </w:p>
    <w:p w14:paraId="68861F00">
      <w:pPr>
        <w:spacing w:line="360" w:lineRule="auto"/>
        <w:rPr>
          <w:rFonts w:hint="eastAsia" w:ascii="宋体" w:hAnsi="宋体" w:cs="宋体"/>
          <w:sz w:val="24"/>
          <w:highlight w:val="none"/>
        </w:rPr>
      </w:pPr>
      <w:r>
        <w:rPr>
          <w:rFonts w:hint="eastAsia" w:ascii="宋体" w:hAnsi="宋体" w:cs="宋体"/>
          <w:sz w:val="24"/>
          <w:highlight w:val="none"/>
        </w:rPr>
        <w:t>2.1.3 响应性评审标准：见评标办法前附表。</w:t>
      </w:r>
    </w:p>
    <w:p w14:paraId="3D6DD1F1">
      <w:pPr>
        <w:pStyle w:val="3"/>
        <w:rPr>
          <w:rFonts w:hint="eastAsia" w:ascii="宋体" w:hAnsi="宋体" w:cs="宋体"/>
          <w:highlight w:val="none"/>
        </w:rPr>
      </w:pPr>
      <w:bookmarkStart w:id="411" w:name="_Toc102997633"/>
      <w:bookmarkStart w:id="412" w:name="_Toc529196586"/>
      <w:bookmarkStart w:id="413" w:name="_Toc515205259"/>
      <w:r>
        <w:rPr>
          <w:rFonts w:hint="eastAsia" w:ascii="宋体" w:hAnsi="宋体" w:cs="宋体"/>
          <w:highlight w:val="none"/>
        </w:rPr>
        <w:t>2.2 分值构成与评分标准</w:t>
      </w:r>
      <w:bookmarkEnd w:id="411"/>
      <w:bookmarkEnd w:id="412"/>
      <w:bookmarkEnd w:id="413"/>
    </w:p>
    <w:p w14:paraId="2F4A37BB">
      <w:pPr>
        <w:spacing w:line="360" w:lineRule="auto"/>
        <w:rPr>
          <w:rFonts w:hint="eastAsia" w:ascii="宋体" w:hAnsi="宋体" w:cs="宋体"/>
          <w:sz w:val="24"/>
          <w:highlight w:val="none"/>
        </w:rPr>
      </w:pPr>
      <w:r>
        <w:rPr>
          <w:rFonts w:hint="eastAsia" w:ascii="宋体" w:hAnsi="宋体" w:cs="宋体"/>
          <w:sz w:val="24"/>
          <w:highlight w:val="none"/>
        </w:rPr>
        <w:t>2.2.1 分值构成：</w:t>
      </w:r>
    </w:p>
    <w:p w14:paraId="2C7E7B7A">
      <w:pPr>
        <w:spacing w:line="360" w:lineRule="auto"/>
        <w:rPr>
          <w:rFonts w:hint="eastAsia"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u w:val="single"/>
        </w:rPr>
        <w:t>商务部分得分</w:t>
      </w:r>
      <w:r>
        <w:rPr>
          <w:rFonts w:hint="eastAsia" w:ascii="宋体" w:hAnsi="宋体" w:cs="宋体"/>
          <w:sz w:val="24"/>
          <w:highlight w:val="none"/>
        </w:rPr>
        <w:t>：见评标办法前附表；</w:t>
      </w:r>
    </w:p>
    <w:p w14:paraId="27E3E953">
      <w:pPr>
        <w:spacing w:line="360" w:lineRule="auto"/>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u w:val="single"/>
        </w:rPr>
        <w:t>技术部分得分</w:t>
      </w:r>
      <w:r>
        <w:rPr>
          <w:rFonts w:hint="eastAsia" w:ascii="宋体" w:hAnsi="宋体" w:cs="宋体"/>
          <w:sz w:val="24"/>
          <w:highlight w:val="none"/>
        </w:rPr>
        <w:t>：见评标办法前附表；</w:t>
      </w:r>
    </w:p>
    <w:p w14:paraId="240C0476">
      <w:pPr>
        <w:spacing w:line="360" w:lineRule="auto"/>
        <w:rPr>
          <w:rFonts w:hint="eastAsia" w:ascii="宋体" w:hAnsi="宋体" w:cs="宋体"/>
          <w:sz w:val="24"/>
          <w:highlight w:val="none"/>
        </w:rPr>
      </w:pPr>
      <w:r>
        <w:rPr>
          <w:rFonts w:hint="eastAsia" w:ascii="宋体" w:hAnsi="宋体" w:cs="宋体"/>
          <w:sz w:val="24"/>
          <w:highlight w:val="none"/>
        </w:rPr>
        <w:t>（3）</w:t>
      </w:r>
      <w:r>
        <w:rPr>
          <w:rFonts w:hint="eastAsia" w:ascii="宋体" w:hAnsi="宋体" w:cs="宋体"/>
          <w:sz w:val="24"/>
          <w:highlight w:val="none"/>
          <w:u w:val="single"/>
        </w:rPr>
        <w:t>投标总报价得分</w:t>
      </w:r>
      <w:r>
        <w:rPr>
          <w:rFonts w:hint="eastAsia" w:ascii="宋体" w:hAnsi="宋体" w:cs="宋体"/>
          <w:sz w:val="24"/>
          <w:highlight w:val="none"/>
        </w:rPr>
        <w:t>：见评标办法前附表。</w:t>
      </w:r>
    </w:p>
    <w:p w14:paraId="406E37E2">
      <w:pPr>
        <w:spacing w:line="360" w:lineRule="auto"/>
        <w:rPr>
          <w:rFonts w:hint="eastAsia" w:ascii="宋体" w:hAnsi="宋体" w:cs="宋体"/>
          <w:sz w:val="24"/>
          <w:highlight w:val="none"/>
        </w:rPr>
      </w:pPr>
      <w:r>
        <w:rPr>
          <w:rFonts w:hint="eastAsia" w:ascii="宋体" w:hAnsi="宋体" w:cs="宋体"/>
          <w:sz w:val="24"/>
          <w:highlight w:val="none"/>
        </w:rPr>
        <w:t>2.2.2 评标基准价计算</w:t>
      </w:r>
    </w:p>
    <w:p w14:paraId="47B13B61">
      <w:pPr>
        <w:spacing w:line="360" w:lineRule="auto"/>
        <w:rPr>
          <w:rFonts w:hint="eastAsia" w:ascii="宋体" w:hAnsi="宋体" w:cs="宋体"/>
          <w:sz w:val="24"/>
          <w:highlight w:val="none"/>
        </w:rPr>
      </w:pPr>
      <w:r>
        <w:rPr>
          <w:rFonts w:hint="eastAsia" w:ascii="宋体" w:hAnsi="宋体" w:cs="宋体"/>
          <w:sz w:val="24"/>
          <w:highlight w:val="none"/>
        </w:rPr>
        <w:t>评标基准价计算方法：见评标办法前附表。</w:t>
      </w:r>
    </w:p>
    <w:p w14:paraId="7C5BCA4F">
      <w:pPr>
        <w:spacing w:line="360" w:lineRule="auto"/>
        <w:rPr>
          <w:rFonts w:hint="eastAsia" w:ascii="宋体" w:hAnsi="宋体" w:cs="宋体"/>
          <w:sz w:val="24"/>
          <w:highlight w:val="none"/>
        </w:rPr>
      </w:pPr>
      <w:r>
        <w:rPr>
          <w:rFonts w:hint="eastAsia" w:ascii="宋体" w:hAnsi="宋体" w:cs="宋体"/>
          <w:sz w:val="24"/>
          <w:highlight w:val="none"/>
        </w:rPr>
        <w:t>2.2.3 投标总报价的偏差率计算</w:t>
      </w:r>
    </w:p>
    <w:p w14:paraId="036E43B9">
      <w:pPr>
        <w:spacing w:line="360" w:lineRule="auto"/>
        <w:rPr>
          <w:rFonts w:hint="eastAsia" w:ascii="宋体" w:hAnsi="宋体" w:cs="宋体"/>
          <w:sz w:val="24"/>
          <w:highlight w:val="none"/>
        </w:rPr>
      </w:pPr>
      <w:r>
        <w:rPr>
          <w:rFonts w:hint="eastAsia" w:ascii="宋体" w:hAnsi="宋体" w:cs="宋体"/>
          <w:sz w:val="24"/>
          <w:highlight w:val="none"/>
        </w:rPr>
        <w:t>投标总报价的偏差率计算公式：见评标办法前附表。</w:t>
      </w:r>
    </w:p>
    <w:p w14:paraId="7A175454">
      <w:pPr>
        <w:spacing w:line="360" w:lineRule="auto"/>
        <w:rPr>
          <w:rFonts w:hint="eastAsia" w:ascii="宋体" w:hAnsi="宋体" w:cs="宋体"/>
          <w:sz w:val="24"/>
          <w:highlight w:val="none"/>
        </w:rPr>
      </w:pPr>
      <w:r>
        <w:rPr>
          <w:rFonts w:hint="eastAsia" w:ascii="宋体" w:hAnsi="宋体" w:cs="宋体"/>
          <w:sz w:val="24"/>
          <w:highlight w:val="none"/>
        </w:rPr>
        <w:t>2.2.4 评分标准</w:t>
      </w:r>
    </w:p>
    <w:p w14:paraId="0960C909">
      <w:pPr>
        <w:spacing w:line="360" w:lineRule="auto"/>
        <w:rPr>
          <w:rFonts w:hint="eastAsia"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u w:val="single"/>
        </w:rPr>
        <w:t>商务部分</w:t>
      </w:r>
      <w:r>
        <w:rPr>
          <w:rFonts w:hint="eastAsia" w:ascii="宋体" w:hAnsi="宋体" w:cs="宋体"/>
          <w:sz w:val="24"/>
          <w:highlight w:val="none"/>
        </w:rPr>
        <w:t>：见评标办法前附表；</w:t>
      </w:r>
    </w:p>
    <w:p w14:paraId="77D01750">
      <w:pPr>
        <w:spacing w:line="360" w:lineRule="auto"/>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u w:val="single"/>
        </w:rPr>
        <w:t>技术部分</w:t>
      </w:r>
      <w:r>
        <w:rPr>
          <w:rFonts w:hint="eastAsia" w:ascii="宋体" w:hAnsi="宋体" w:cs="宋体"/>
          <w:sz w:val="24"/>
          <w:highlight w:val="none"/>
        </w:rPr>
        <w:t>：见评标办法前附表；</w:t>
      </w:r>
    </w:p>
    <w:p w14:paraId="04CCCDF3">
      <w:pPr>
        <w:spacing w:line="360" w:lineRule="auto"/>
        <w:rPr>
          <w:rFonts w:hint="eastAsia" w:ascii="宋体" w:hAnsi="宋体" w:cs="宋体"/>
          <w:sz w:val="24"/>
          <w:highlight w:val="none"/>
        </w:rPr>
      </w:pPr>
      <w:r>
        <w:rPr>
          <w:rFonts w:hint="eastAsia" w:ascii="宋体" w:hAnsi="宋体" w:cs="宋体"/>
          <w:sz w:val="24"/>
          <w:highlight w:val="none"/>
        </w:rPr>
        <w:t>（3）</w:t>
      </w:r>
      <w:r>
        <w:rPr>
          <w:rFonts w:hint="eastAsia" w:ascii="宋体" w:hAnsi="宋体" w:cs="宋体"/>
          <w:sz w:val="24"/>
          <w:highlight w:val="none"/>
          <w:u w:val="single"/>
        </w:rPr>
        <w:t>投标总报价</w:t>
      </w:r>
      <w:r>
        <w:rPr>
          <w:rFonts w:hint="eastAsia" w:ascii="宋体" w:hAnsi="宋体" w:cs="宋体"/>
          <w:sz w:val="24"/>
          <w:highlight w:val="none"/>
        </w:rPr>
        <w:t>：见评标办法前附表。</w:t>
      </w:r>
    </w:p>
    <w:p w14:paraId="1DD21056">
      <w:pPr>
        <w:pStyle w:val="3"/>
        <w:rPr>
          <w:rFonts w:hint="eastAsia" w:ascii="宋体" w:hAnsi="宋体" w:cs="宋体"/>
          <w:highlight w:val="none"/>
        </w:rPr>
      </w:pPr>
      <w:bookmarkStart w:id="414" w:name="_Toc102997634"/>
      <w:bookmarkStart w:id="415" w:name="_Toc529196587"/>
      <w:bookmarkStart w:id="416" w:name="_Toc515205260"/>
      <w:r>
        <w:rPr>
          <w:rFonts w:hint="eastAsia" w:ascii="宋体" w:hAnsi="宋体" w:cs="宋体"/>
          <w:highlight w:val="none"/>
        </w:rPr>
        <w:t>3. 评标程序</w:t>
      </w:r>
      <w:bookmarkEnd w:id="414"/>
      <w:bookmarkEnd w:id="415"/>
      <w:bookmarkEnd w:id="416"/>
    </w:p>
    <w:p w14:paraId="69C4839C">
      <w:pPr>
        <w:pStyle w:val="3"/>
        <w:rPr>
          <w:rFonts w:hint="eastAsia" w:ascii="宋体" w:hAnsi="宋体" w:cs="宋体"/>
          <w:highlight w:val="none"/>
        </w:rPr>
      </w:pPr>
      <w:bookmarkStart w:id="417" w:name="_Toc529196588"/>
      <w:bookmarkStart w:id="418" w:name="_Toc515205261"/>
      <w:bookmarkStart w:id="419" w:name="_Toc102997635"/>
      <w:r>
        <w:rPr>
          <w:rFonts w:hint="eastAsia" w:ascii="宋体" w:hAnsi="宋体" w:cs="宋体"/>
          <w:highlight w:val="none"/>
        </w:rPr>
        <w:t>3.1 初步评审</w:t>
      </w:r>
      <w:bookmarkEnd w:id="417"/>
      <w:bookmarkEnd w:id="418"/>
      <w:bookmarkEnd w:id="419"/>
    </w:p>
    <w:p w14:paraId="0878E724">
      <w:pPr>
        <w:spacing w:line="360" w:lineRule="auto"/>
        <w:rPr>
          <w:rFonts w:hint="eastAsia" w:ascii="宋体" w:hAnsi="宋体" w:cs="宋体"/>
          <w:sz w:val="24"/>
          <w:highlight w:val="none"/>
        </w:rPr>
      </w:pPr>
      <w:r>
        <w:rPr>
          <w:rFonts w:hint="eastAsia" w:ascii="宋体" w:hAnsi="宋体" w:cs="宋体"/>
          <w:sz w:val="24"/>
          <w:highlight w:val="none"/>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p>
    <w:p w14:paraId="731967F8">
      <w:pPr>
        <w:spacing w:line="360" w:lineRule="auto"/>
        <w:rPr>
          <w:rFonts w:hint="eastAsia" w:ascii="宋体" w:hAnsi="宋体" w:cs="宋体"/>
          <w:sz w:val="24"/>
          <w:highlight w:val="none"/>
        </w:rPr>
      </w:pPr>
      <w:r>
        <w:rPr>
          <w:rFonts w:hint="eastAsia" w:ascii="宋体" w:hAnsi="宋体" w:cs="宋体"/>
          <w:sz w:val="24"/>
          <w:highlight w:val="none"/>
        </w:rPr>
        <w:t>3.1.2 投标人有以下情形之一的，评标委员会应当否决其投标：</w:t>
      </w:r>
    </w:p>
    <w:p w14:paraId="11F15937">
      <w:pPr>
        <w:spacing w:line="360" w:lineRule="auto"/>
        <w:rPr>
          <w:rFonts w:hint="eastAsia" w:ascii="宋体" w:hAnsi="宋体" w:cs="宋体"/>
          <w:sz w:val="24"/>
          <w:highlight w:val="none"/>
        </w:rPr>
      </w:pPr>
      <w:r>
        <w:rPr>
          <w:rFonts w:hint="eastAsia" w:ascii="宋体" w:hAnsi="宋体" w:cs="宋体"/>
          <w:sz w:val="24"/>
          <w:highlight w:val="none"/>
        </w:rPr>
        <w:t>（1）投标文件没有对招标文件的实质性要求和条件作出响应，或者对招标文件的偏差超出招标文件规定的偏差范围或最高项数；</w:t>
      </w:r>
    </w:p>
    <w:p w14:paraId="4F84D4BA">
      <w:pPr>
        <w:spacing w:line="360" w:lineRule="auto"/>
        <w:rPr>
          <w:rFonts w:hint="eastAsia" w:ascii="宋体" w:hAnsi="宋体" w:cs="宋体"/>
          <w:sz w:val="24"/>
          <w:highlight w:val="none"/>
        </w:rPr>
      </w:pPr>
      <w:r>
        <w:rPr>
          <w:rFonts w:hint="eastAsia" w:ascii="宋体" w:hAnsi="宋体" w:cs="宋体"/>
          <w:sz w:val="24"/>
          <w:highlight w:val="none"/>
        </w:rPr>
        <w:t>（2）有串通投标、弄虚作假、行贿等违法行为。</w:t>
      </w:r>
    </w:p>
    <w:p w14:paraId="7610EA6A">
      <w:pPr>
        <w:spacing w:line="360" w:lineRule="auto"/>
        <w:rPr>
          <w:rFonts w:hint="eastAsia" w:ascii="宋体" w:hAnsi="宋体" w:cs="宋体"/>
          <w:sz w:val="24"/>
          <w:highlight w:val="none"/>
        </w:rPr>
      </w:pPr>
      <w:r>
        <w:rPr>
          <w:rFonts w:hint="eastAsia" w:ascii="宋体" w:hAnsi="宋体" w:cs="宋体"/>
          <w:sz w:val="24"/>
          <w:highlight w:val="none"/>
        </w:rPr>
        <w:t>3.1.3 投标报价有算术错误及其他错误的，评标委员会按以下原则要求投标人对投标报价进</w:t>
      </w:r>
      <w:bookmarkStart w:id="420" w:name="_Toc247514027"/>
      <w:bookmarkStart w:id="421" w:name="_Toc144974570"/>
      <w:bookmarkStart w:id="422" w:name="_Toc352691538"/>
      <w:bookmarkStart w:id="423" w:name="_Toc2907"/>
      <w:bookmarkStart w:id="424" w:name="_Toc152042380"/>
      <w:bookmarkStart w:id="425" w:name="_Toc384308277"/>
      <w:bookmarkStart w:id="426" w:name="_Toc247527628"/>
      <w:bookmarkStart w:id="427" w:name="_Toc361508651"/>
      <w:bookmarkStart w:id="428" w:name="_Toc152045603"/>
      <w:bookmarkStart w:id="429" w:name="_Toc300835013"/>
      <w:bookmarkStart w:id="430" w:name="_Toc369531582"/>
      <w:r>
        <w:rPr>
          <w:rFonts w:hint="eastAsia" w:ascii="宋体" w:hAnsi="宋体" w:cs="宋体"/>
          <w:sz w:val="24"/>
          <w:highlight w:val="none"/>
        </w:rPr>
        <w:t>行修正，并要求投标人书面澄清确认。</w:t>
      </w:r>
      <w:bookmarkEnd w:id="420"/>
      <w:bookmarkEnd w:id="421"/>
      <w:bookmarkEnd w:id="422"/>
      <w:bookmarkEnd w:id="423"/>
      <w:bookmarkEnd w:id="424"/>
      <w:bookmarkEnd w:id="425"/>
      <w:bookmarkEnd w:id="426"/>
      <w:bookmarkEnd w:id="427"/>
      <w:bookmarkEnd w:id="428"/>
      <w:bookmarkEnd w:id="429"/>
      <w:bookmarkEnd w:id="430"/>
      <w:r>
        <w:rPr>
          <w:rFonts w:hint="eastAsia" w:ascii="宋体" w:hAnsi="宋体" w:cs="宋体"/>
          <w:sz w:val="24"/>
          <w:highlight w:val="none"/>
        </w:rPr>
        <w:t>投标人拒不澄清确认的，评标委员会应当否决其投标：</w:t>
      </w:r>
    </w:p>
    <w:p w14:paraId="6044C984">
      <w:pPr>
        <w:spacing w:line="360" w:lineRule="auto"/>
        <w:rPr>
          <w:rFonts w:hint="eastAsia" w:ascii="宋体" w:hAnsi="宋体" w:cs="宋体"/>
          <w:sz w:val="24"/>
          <w:highlight w:val="none"/>
        </w:rPr>
      </w:pPr>
      <w:r>
        <w:rPr>
          <w:rFonts w:hint="eastAsia" w:ascii="宋体" w:hAnsi="宋体" w:cs="宋体"/>
          <w:sz w:val="24"/>
          <w:highlight w:val="none"/>
        </w:rPr>
        <w:t>（1）投标人投标报价以投标函中投标总价的人民币大写金额为准。</w:t>
      </w:r>
    </w:p>
    <w:p w14:paraId="3EF1ABB6">
      <w:pPr>
        <w:spacing w:line="360" w:lineRule="auto"/>
        <w:rPr>
          <w:rFonts w:hint="eastAsia" w:ascii="宋体" w:hAnsi="宋体" w:cs="宋体"/>
          <w:sz w:val="24"/>
          <w:highlight w:val="none"/>
        </w:rPr>
      </w:pPr>
      <w:r>
        <w:rPr>
          <w:rFonts w:hint="eastAsia" w:ascii="宋体" w:hAnsi="宋体" w:cs="宋体"/>
          <w:sz w:val="24"/>
          <w:highlight w:val="none"/>
        </w:rPr>
        <w:t>（2）总价金额与单价金额不一致的，以单价金额为准，但单价金额小数点有明显错误的除外。</w:t>
      </w:r>
    </w:p>
    <w:p w14:paraId="08E9491C">
      <w:pPr>
        <w:pStyle w:val="3"/>
        <w:rPr>
          <w:rFonts w:hint="eastAsia" w:ascii="宋体" w:hAnsi="宋体" w:cs="宋体"/>
          <w:highlight w:val="none"/>
        </w:rPr>
      </w:pPr>
      <w:bookmarkStart w:id="431" w:name="_Toc515205262"/>
      <w:bookmarkStart w:id="432" w:name="_Toc529196589"/>
      <w:bookmarkStart w:id="433" w:name="_Toc102997636"/>
      <w:r>
        <w:rPr>
          <w:rFonts w:hint="eastAsia" w:ascii="宋体" w:hAnsi="宋体" w:cs="宋体"/>
          <w:highlight w:val="none"/>
        </w:rPr>
        <w:t>3.2 详细评审</w:t>
      </w:r>
      <w:bookmarkEnd w:id="431"/>
      <w:bookmarkEnd w:id="432"/>
      <w:bookmarkEnd w:id="433"/>
    </w:p>
    <w:p w14:paraId="3F206667">
      <w:pPr>
        <w:spacing w:line="360" w:lineRule="auto"/>
        <w:rPr>
          <w:rFonts w:hint="eastAsia" w:ascii="宋体" w:hAnsi="宋体" w:cs="宋体"/>
          <w:sz w:val="24"/>
          <w:highlight w:val="none"/>
        </w:rPr>
      </w:pPr>
      <w:r>
        <w:rPr>
          <w:rFonts w:hint="eastAsia" w:ascii="宋体" w:hAnsi="宋体" w:cs="宋体"/>
          <w:sz w:val="24"/>
          <w:highlight w:val="none"/>
        </w:rPr>
        <w:t>3.2.1 评标委员会按本章第2.2款规定的量化因素和分值进行打分，并计算出</w:t>
      </w:r>
      <w:r>
        <w:rPr>
          <w:rFonts w:hint="eastAsia" w:ascii="宋体" w:hAnsi="宋体" w:cs="宋体"/>
          <w:sz w:val="24"/>
          <w:highlight w:val="none"/>
          <w:u w:val="single"/>
        </w:rPr>
        <w:t>投标人总分</w:t>
      </w:r>
      <w:r>
        <w:rPr>
          <w:rFonts w:hint="eastAsia" w:ascii="宋体" w:hAnsi="宋体" w:cs="宋体"/>
          <w:sz w:val="24"/>
          <w:highlight w:val="none"/>
        </w:rPr>
        <w:t>。</w:t>
      </w:r>
    </w:p>
    <w:p w14:paraId="24F1BC1C">
      <w:pPr>
        <w:spacing w:line="360" w:lineRule="auto"/>
        <w:rPr>
          <w:rFonts w:hint="eastAsia" w:ascii="宋体" w:hAnsi="宋体" w:cs="宋体"/>
          <w:sz w:val="24"/>
          <w:szCs w:val="24"/>
          <w:highlight w:val="none"/>
        </w:rPr>
      </w:pPr>
      <w:r>
        <w:rPr>
          <w:rFonts w:hint="eastAsia" w:ascii="宋体" w:hAnsi="宋体" w:cs="宋体"/>
          <w:sz w:val="24"/>
          <w:szCs w:val="24"/>
          <w:highlight w:val="none"/>
        </w:rPr>
        <w:t>（1）按本章第2.2.4（1）目规定的评审因素和分值对</w:t>
      </w:r>
      <w:r>
        <w:rPr>
          <w:rFonts w:hint="eastAsia" w:ascii="宋体" w:hAnsi="宋体" w:cs="宋体"/>
          <w:sz w:val="24"/>
          <w:szCs w:val="24"/>
          <w:highlight w:val="none"/>
          <w:u w:val="single"/>
        </w:rPr>
        <w:t>商务</w:t>
      </w:r>
      <w:r>
        <w:rPr>
          <w:rFonts w:hint="eastAsia" w:ascii="宋体" w:hAnsi="宋体" w:cs="宋体"/>
          <w:sz w:val="24"/>
          <w:szCs w:val="24"/>
          <w:highlight w:val="none"/>
        </w:rPr>
        <w:t>部分计算出得分A；</w:t>
      </w:r>
    </w:p>
    <w:p w14:paraId="31DCA3C4">
      <w:pPr>
        <w:spacing w:line="360" w:lineRule="auto"/>
        <w:rPr>
          <w:rFonts w:hint="eastAsia" w:ascii="宋体" w:hAnsi="宋体" w:cs="宋体"/>
          <w:sz w:val="24"/>
          <w:szCs w:val="24"/>
          <w:highlight w:val="none"/>
        </w:rPr>
      </w:pPr>
      <w:r>
        <w:rPr>
          <w:rFonts w:hint="eastAsia" w:ascii="宋体" w:hAnsi="宋体" w:cs="宋体"/>
          <w:sz w:val="24"/>
          <w:szCs w:val="24"/>
          <w:highlight w:val="none"/>
        </w:rPr>
        <w:t>（2）按本章第2.2.4（2）目规定的评审因素和分值对</w:t>
      </w:r>
      <w:r>
        <w:rPr>
          <w:rFonts w:hint="eastAsia" w:ascii="宋体" w:hAnsi="宋体" w:cs="宋体"/>
          <w:sz w:val="24"/>
          <w:highlight w:val="none"/>
          <w:u w:val="single"/>
        </w:rPr>
        <w:t>技术</w:t>
      </w:r>
      <w:r>
        <w:rPr>
          <w:rFonts w:hint="eastAsia" w:ascii="宋体" w:hAnsi="宋体" w:cs="宋体"/>
          <w:sz w:val="24"/>
          <w:szCs w:val="24"/>
          <w:highlight w:val="none"/>
        </w:rPr>
        <w:t>部分计算出得分B；</w:t>
      </w:r>
    </w:p>
    <w:p w14:paraId="4E0DADA8">
      <w:pPr>
        <w:spacing w:line="360" w:lineRule="auto"/>
        <w:rPr>
          <w:rFonts w:hint="eastAsia" w:ascii="宋体" w:hAnsi="宋体" w:cs="宋体"/>
          <w:sz w:val="24"/>
          <w:szCs w:val="24"/>
          <w:highlight w:val="none"/>
        </w:rPr>
      </w:pPr>
      <w:r>
        <w:rPr>
          <w:rFonts w:hint="eastAsia" w:ascii="宋体" w:hAnsi="宋体" w:cs="宋体"/>
          <w:sz w:val="24"/>
          <w:szCs w:val="24"/>
          <w:highlight w:val="none"/>
        </w:rPr>
        <w:t>（3）按本章第2.2.4（3）目规定的评审因素和分值对</w:t>
      </w:r>
      <w:r>
        <w:rPr>
          <w:rFonts w:hint="eastAsia" w:ascii="宋体" w:hAnsi="宋体" w:cs="宋体"/>
          <w:sz w:val="24"/>
          <w:highlight w:val="none"/>
          <w:u w:val="single"/>
        </w:rPr>
        <w:t>投标总报价</w:t>
      </w:r>
      <w:r>
        <w:rPr>
          <w:rFonts w:hint="eastAsia" w:ascii="宋体" w:hAnsi="宋体" w:cs="宋体"/>
          <w:sz w:val="24"/>
          <w:szCs w:val="24"/>
          <w:highlight w:val="none"/>
        </w:rPr>
        <w:t>部分计算出得分C。</w:t>
      </w:r>
    </w:p>
    <w:p w14:paraId="0B61FF7D">
      <w:pPr>
        <w:spacing w:line="360" w:lineRule="auto"/>
        <w:rPr>
          <w:rFonts w:hint="eastAsia" w:ascii="宋体" w:hAnsi="宋体" w:cs="宋体"/>
          <w:sz w:val="24"/>
          <w:highlight w:val="none"/>
        </w:rPr>
      </w:pPr>
      <w:r>
        <w:rPr>
          <w:rFonts w:hint="eastAsia" w:ascii="宋体" w:hAnsi="宋体" w:cs="宋体"/>
          <w:sz w:val="24"/>
          <w:highlight w:val="none"/>
        </w:rPr>
        <w:t>3.2.2 评分分值计算保留小数点后两位，小数点后第三位“四舍五入”。</w:t>
      </w:r>
    </w:p>
    <w:p w14:paraId="6FB1AE87">
      <w:pPr>
        <w:spacing w:line="360" w:lineRule="auto"/>
        <w:rPr>
          <w:rFonts w:hint="eastAsia" w:ascii="宋体" w:hAnsi="宋体" w:cs="宋体"/>
          <w:sz w:val="24"/>
          <w:highlight w:val="none"/>
          <w:u w:val="single"/>
        </w:rPr>
      </w:pPr>
      <w:r>
        <w:rPr>
          <w:rFonts w:hint="eastAsia" w:ascii="宋体" w:hAnsi="宋体" w:cs="宋体"/>
          <w:sz w:val="24"/>
          <w:highlight w:val="none"/>
        </w:rPr>
        <w:t>3.2.3</w:t>
      </w:r>
      <w:r>
        <w:rPr>
          <w:rFonts w:hint="eastAsia" w:ascii="宋体" w:hAnsi="宋体" w:cs="宋体"/>
          <w:sz w:val="24"/>
          <w:highlight w:val="none"/>
          <w:u w:val="single"/>
        </w:rPr>
        <w:t>投标人总分=A+B+C。</w:t>
      </w:r>
    </w:p>
    <w:p w14:paraId="755F8A7F">
      <w:pPr>
        <w:spacing w:line="360" w:lineRule="auto"/>
        <w:rPr>
          <w:rFonts w:hint="eastAsia" w:ascii="宋体" w:hAnsi="宋体" w:cs="宋体"/>
          <w:sz w:val="24"/>
          <w:highlight w:val="none"/>
        </w:rPr>
      </w:pPr>
      <w:r>
        <w:rPr>
          <w:rFonts w:hint="eastAsia" w:ascii="宋体" w:hAnsi="宋体" w:cs="宋体"/>
          <w:sz w:val="24"/>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7F9E5493">
      <w:pPr>
        <w:pStyle w:val="3"/>
        <w:rPr>
          <w:rFonts w:hint="eastAsia" w:ascii="宋体" w:hAnsi="宋体" w:cs="宋体"/>
          <w:highlight w:val="none"/>
        </w:rPr>
      </w:pPr>
      <w:bookmarkStart w:id="434" w:name="_Toc102997637"/>
      <w:bookmarkStart w:id="435" w:name="_Toc529196590"/>
      <w:bookmarkStart w:id="436" w:name="_Toc515205263"/>
      <w:r>
        <w:rPr>
          <w:rFonts w:hint="eastAsia" w:ascii="宋体" w:hAnsi="宋体" w:cs="宋体"/>
          <w:highlight w:val="none"/>
        </w:rPr>
        <w:t>3.3 投标文件的澄清</w:t>
      </w:r>
      <w:bookmarkEnd w:id="434"/>
      <w:bookmarkEnd w:id="435"/>
      <w:bookmarkEnd w:id="436"/>
    </w:p>
    <w:p w14:paraId="1913E187">
      <w:pPr>
        <w:spacing w:line="360" w:lineRule="auto"/>
        <w:rPr>
          <w:rFonts w:hint="eastAsia" w:ascii="宋体" w:hAnsi="宋体" w:cs="宋体"/>
          <w:sz w:val="24"/>
          <w:highlight w:val="none"/>
        </w:rPr>
      </w:pPr>
      <w:r>
        <w:rPr>
          <w:rFonts w:hint="eastAsia" w:ascii="宋体" w:hAnsi="宋体" w:cs="宋体"/>
          <w:sz w:val="24"/>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536A228E">
      <w:pPr>
        <w:spacing w:line="360" w:lineRule="auto"/>
        <w:rPr>
          <w:rFonts w:hint="eastAsia" w:ascii="宋体" w:hAnsi="宋体" w:cs="宋体"/>
          <w:sz w:val="24"/>
          <w:highlight w:val="none"/>
        </w:rPr>
      </w:pPr>
      <w:r>
        <w:rPr>
          <w:rFonts w:hint="eastAsia" w:ascii="宋体" w:hAnsi="宋体" w:cs="宋体"/>
          <w:sz w:val="24"/>
          <w:highlight w:val="none"/>
        </w:rPr>
        <w:t>3.3.2 澄清、说明或补正不得超出投标文件的范围且不得改变投标文件的实质性内容，并构成投标文件的组成部分。</w:t>
      </w:r>
    </w:p>
    <w:p w14:paraId="2D90E073">
      <w:pPr>
        <w:spacing w:line="360" w:lineRule="auto"/>
        <w:rPr>
          <w:rFonts w:hint="eastAsia" w:ascii="宋体" w:hAnsi="宋体" w:cs="宋体"/>
          <w:sz w:val="24"/>
          <w:highlight w:val="none"/>
        </w:rPr>
      </w:pPr>
      <w:r>
        <w:rPr>
          <w:rFonts w:hint="eastAsia" w:ascii="宋体" w:hAnsi="宋体" w:cs="宋体"/>
          <w:sz w:val="24"/>
          <w:highlight w:val="none"/>
        </w:rPr>
        <w:t>3.3.3 评标委员会对投标人提交的澄清、说明或补正有疑问的，可以要求投标人进一步澄清、说明或补正，直至满足评标委员会的要求。</w:t>
      </w:r>
    </w:p>
    <w:p w14:paraId="2CF189E5">
      <w:pPr>
        <w:pStyle w:val="3"/>
        <w:rPr>
          <w:rFonts w:hint="eastAsia" w:ascii="宋体" w:hAnsi="宋体" w:cs="宋体"/>
          <w:highlight w:val="none"/>
        </w:rPr>
      </w:pPr>
      <w:bookmarkStart w:id="437" w:name="_Toc515205264"/>
      <w:bookmarkStart w:id="438" w:name="_Toc529196591"/>
      <w:bookmarkStart w:id="439" w:name="_Toc102997638"/>
      <w:r>
        <w:rPr>
          <w:rFonts w:hint="eastAsia" w:ascii="宋体" w:hAnsi="宋体" w:cs="宋体"/>
          <w:highlight w:val="none"/>
        </w:rPr>
        <w:t>3.4 评标结果</w:t>
      </w:r>
      <w:bookmarkEnd w:id="437"/>
      <w:bookmarkEnd w:id="438"/>
      <w:bookmarkEnd w:id="439"/>
    </w:p>
    <w:p w14:paraId="62886C61">
      <w:pPr>
        <w:spacing w:line="360" w:lineRule="auto"/>
        <w:rPr>
          <w:rFonts w:hint="eastAsia" w:ascii="宋体" w:hAnsi="宋体" w:cs="宋体"/>
          <w:b/>
          <w:sz w:val="24"/>
          <w:highlight w:val="none"/>
        </w:rPr>
      </w:pPr>
      <w:r>
        <w:rPr>
          <w:rFonts w:hint="eastAsia" w:ascii="宋体" w:hAnsi="宋体" w:cs="宋体"/>
          <w:sz w:val="24"/>
          <w:highlight w:val="none"/>
        </w:rPr>
        <w:t>3.4.1 除第二章“投标人须知”前附表授权直接确定中标人外，评标委员会按照得分由高到低的顺序推荐中标候选人，并标明排序。</w:t>
      </w:r>
    </w:p>
    <w:p w14:paraId="74EB9A13">
      <w:pPr>
        <w:spacing w:line="360" w:lineRule="auto"/>
        <w:rPr>
          <w:rFonts w:hint="eastAsia" w:ascii="宋体" w:hAnsi="宋体" w:cs="宋体"/>
          <w:sz w:val="24"/>
          <w:highlight w:val="none"/>
        </w:rPr>
      </w:pPr>
      <w:r>
        <w:rPr>
          <w:rFonts w:hint="eastAsia" w:ascii="宋体" w:hAnsi="宋体" w:cs="宋体"/>
          <w:sz w:val="24"/>
          <w:highlight w:val="none"/>
        </w:rPr>
        <w:t>3.4.2 评标委员会完成评标后，应当向招标人提交书面评标报告和中标候选人名单。</w:t>
      </w:r>
    </w:p>
    <w:p w14:paraId="3646EE5F">
      <w:pPr>
        <w:rPr>
          <w:rFonts w:hint="eastAsia" w:ascii="宋体" w:hAnsi="宋体" w:cs="宋体"/>
          <w:highlight w:val="none"/>
        </w:rPr>
      </w:pPr>
      <w:r>
        <w:rPr>
          <w:rFonts w:hint="eastAsia" w:ascii="宋体" w:hAnsi="宋体" w:cs="宋体"/>
          <w:highlight w:val="none"/>
        </w:rPr>
        <w:br w:type="page"/>
      </w:r>
    </w:p>
    <w:p w14:paraId="3F33A508">
      <w:pPr>
        <w:spacing w:line="200" w:lineRule="exact"/>
        <w:rPr>
          <w:rFonts w:hint="eastAsia" w:ascii="宋体" w:hAnsi="宋体" w:cs="宋体"/>
          <w:highlight w:val="none"/>
        </w:rPr>
      </w:pPr>
    </w:p>
    <w:p w14:paraId="3CD34A6E">
      <w:pPr>
        <w:spacing w:line="502" w:lineRule="exact"/>
        <w:jc w:val="center"/>
        <w:outlineLvl w:val="1"/>
        <w:rPr>
          <w:rFonts w:hint="eastAsia" w:ascii="宋体" w:hAnsi="宋体" w:cs="宋体"/>
          <w:b/>
          <w:sz w:val="44"/>
          <w:highlight w:val="none"/>
        </w:rPr>
      </w:pPr>
      <w:bookmarkStart w:id="440" w:name="_Toc102997639"/>
      <w:r>
        <w:rPr>
          <w:rFonts w:hint="eastAsia" w:ascii="宋体" w:hAnsi="宋体" w:cs="宋体"/>
          <w:b/>
          <w:sz w:val="44"/>
          <w:highlight w:val="none"/>
        </w:rPr>
        <w:t>第四章 合同条款及格式</w:t>
      </w:r>
      <w:bookmarkEnd w:id="440"/>
    </w:p>
    <w:p w14:paraId="5C49F364">
      <w:pPr>
        <w:spacing w:line="324" w:lineRule="exact"/>
        <w:rPr>
          <w:rFonts w:hint="eastAsia" w:ascii="宋体" w:hAnsi="宋体" w:cs="宋体"/>
          <w:highlight w:val="none"/>
        </w:rPr>
      </w:pPr>
    </w:p>
    <w:p w14:paraId="6D881082">
      <w:pPr>
        <w:spacing w:before="120" w:after="120" w:line="360" w:lineRule="auto"/>
        <w:jc w:val="center"/>
        <w:rPr>
          <w:rFonts w:hint="eastAsia" w:ascii="宋体" w:hAnsi="宋体" w:cs="宋体"/>
          <w:highlight w:val="none"/>
        </w:rPr>
        <w:sectPr>
          <w:pgSz w:w="11907" w:h="16839"/>
          <w:pgMar w:top="1440" w:right="1440" w:bottom="1418" w:left="1440" w:header="993" w:footer="749" w:gutter="0"/>
          <w:cols w:space="720" w:num="1"/>
          <w:titlePg/>
          <w:docGrid w:linePitch="360" w:charSpace="0"/>
        </w:sectPr>
      </w:pPr>
      <w:r>
        <w:rPr>
          <w:rFonts w:hint="eastAsia" w:ascii="宋体" w:hAnsi="宋体" w:cs="宋体"/>
          <w:b/>
          <w:bCs/>
          <w:sz w:val="32"/>
          <w:szCs w:val="32"/>
          <w:highlight w:val="none"/>
        </w:rPr>
        <w:t>（另册）</w:t>
      </w:r>
    </w:p>
    <w:p w14:paraId="72678A38">
      <w:pPr>
        <w:spacing w:line="491" w:lineRule="exact"/>
        <w:jc w:val="center"/>
        <w:outlineLvl w:val="1"/>
        <w:rPr>
          <w:rFonts w:hint="eastAsia" w:ascii="宋体" w:hAnsi="宋体" w:cs="宋体"/>
          <w:b/>
          <w:sz w:val="43"/>
          <w:highlight w:val="none"/>
        </w:rPr>
      </w:pPr>
      <w:bookmarkStart w:id="441" w:name="_Toc102997640"/>
      <w:r>
        <w:rPr>
          <w:rFonts w:hint="eastAsia" w:ascii="宋体" w:hAnsi="宋体" w:cs="宋体"/>
          <w:b/>
          <w:sz w:val="43"/>
          <w:highlight w:val="none"/>
        </w:rPr>
        <w:t>第五章 委托人要求</w:t>
      </w:r>
      <w:bookmarkEnd w:id="441"/>
    </w:p>
    <w:p w14:paraId="1469B43E">
      <w:pPr>
        <w:adjustRightInd w:val="0"/>
        <w:spacing w:line="360" w:lineRule="auto"/>
        <w:rPr>
          <w:rFonts w:hint="eastAsia" w:ascii="宋体" w:hAnsi="宋体" w:cs="宋体"/>
          <w:sz w:val="24"/>
          <w:szCs w:val="24"/>
          <w:highlight w:val="none"/>
        </w:rPr>
      </w:pPr>
      <w:bookmarkStart w:id="442" w:name="_Toc102997642"/>
    </w:p>
    <w:bookmarkEnd w:id="442"/>
    <w:p w14:paraId="3756FE61">
      <w:pPr>
        <w:spacing w:line="491" w:lineRule="exact"/>
        <w:jc w:val="center"/>
        <w:outlineLvl w:val="1"/>
        <w:rPr>
          <w:rFonts w:hint="eastAsia" w:ascii="宋体" w:hAnsi="宋体" w:cs="宋体"/>
          <w:b/>
          <w:sz w:val="43"/>
          <w:highlight w:val="none"/>
        </w:rPr>
      </w:pPr>
      <w:r>
        <w:rPr>
          <w:rFonts w:hint="eastAsia" w:ascii="宋体" w:hAnsi="宋体" w:cs="宋体"/>
          <w:b/>
          <w:sz w:val="43"/>
          <w:highlight w:val="none"/>
        </w:rPr>
        <w:t>花果山产业小镇综合配套工程建设项目</w:t>
      </w:r>
    </w:p>
    <w:p w14:paraId="403E42EC">
      <w:pPr>
        <w:spacing w:line="491" w:lineRule="exact"/>
        <w:jc w:val="center"/>
        <w:outlineLvl w:val="1"/>
        <w:rPr>
          <w:rFonts w:hint="eastAsia" w:ascii="宋体" w:hAnsi="宋体" w:cs="宋体"/>
          <w:b/>
          <w:sz w:val="43"/>
          <w:highlight w:val="none"/>
        </w:rPr>
      </w:pPr>
      <w:r>
        <w:rPr>
          <w:rFonts w:hint="eastAsia" w:ascii="宋体" w:hAnsi="宋体" w:cs="宋体"/>
          <w:b/>
          <w:sz w:val="43"/>
          <w:highlight w:val="none"/>
        </w:rPr>
        <w:t>土壤治理管理策划</w:t>
      </w:r>
    </w:p>
    <w:p w14:paraId="386B35DE">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一、项目概况</w:t>
      </w:r>
    </w:p>
    <w:p w14:paraId="7D42B4EA">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（一）建设规模</w:t>
      </w:r>
    </w:p>
    <w:p w14:paraId="5A8EEF93">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1.治理内容</w:t>
      </w:r>
    </w:p>
    <w:p w14:paraId="4AAF833E">
      <w:pPr>
        <w:widowControl/>
        <w:shd w:val="clear" w:color="auto" w:fill="FFFFFF"/>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花果山产业小镇综合配套工程建设项目地块（地块一与地块三，以下简称 “调查地块”）位于广州市越秀区西胜街北侧、广州青少年科技馆西侧、广州电视台东侧（地块的中心点坐标为：113°15′53.86″E，23°8′46.86″N），调查地块（地块一与地块三）占地面积为 11158.67m²。</w:t>
      </w:r>
    </w:p>
    <w:p w14:paraId="52AE0A9C">
      <w:pPr>
        <w:widowControl/>
        <w:shd w:val="clear" w:color="auto" w:fill="FFFFFF"/>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根据风险评估结果，该地块需进行污染土壤修复，修复目标污染物为砷。花果山产业小镇综合配套工程建设项目地块污染土壤砷的风险管控/修复目标值为 60mg/kg，调查地块风险管控/修复最大深度：阶梯一为0~19m、阶梯二为0~22m；风险管控/修复的最大投影面积为 9461.26m²，风险管控/修复的土方量约为69326.59立方米，疑似污染土方量约为6528.07立方米。其中计划风险管控土方量约10139.80立方米，修复土方量59186.79立方米，支护措施产生土方暂估6919.30立方米（最终以修复实施方案备案为准）。</w:t>
      </w:r>
    </w:p>
    <w:p w14:paraId="1A5DF189">
      <w:pPr>
        <w:widowControl/>
        <w:shd w:val="clear" w:color="auto" w:fill="FFFFFF"/>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对上述地块污染土壤进行预处理，治理以及土壤治理产生的废水、废气、废固处理及其配套设施。</w:t>
      </w:r>
    </w:p>
    <w:p w14:paraId="580FCD3B">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2.治理规模</w:t>
      </w:r>
    </w:p>
    <w:p w14:paraId="3F126044">
      <w:pPr>
        <w:widowControl/>
        <w:shd w:val="clear" w:color="auto" w:fill="FFFFFF"/>
        <w:spacing w:line="360" w:lineRule="auto"/>
        <w:ind w:firstLine="480" w:firstLineChars="200"/>
        <w:jc w:val="left"/>
        <w:rPr>
          <w:rFonts w:hint="eastAsia" w:ascii="宋体" w:hAnsi="宋体" w:cs="宋体"/>
          <w:bCs/>
          <w:sz w:val="24"/>
          <w:szCs w:val="24"/>
          <w:highlight w:val="none"/>
        </w:rPr>
      </w:pPr>
      <w:r>
        <w:rPr>
          <w:rFonts w:hint="eastAsia" w:ascii="宋体" w:hAnsi="宋体" w:cs="宋体"/>
          <w:bCs/>
          <w:sz w:val="24"/>
          <w:szCs w:val="24"/>
          <w:highlight w:val="none"/>
        </w:rPr>
        <w:t>风险管控/修复的土方量约为69326.59立方米，疑似污染土方量约为6528.07立方米。其中计划风险管控土方量约10139.80立方米，修复土方量59186.79立方米，支护措施产生土方暂估6919.30立方米（最终以修复实施方案备案为准）。</w:t>
      </w:r>
    </w:p>
    <w:p w14:paraId="730A7E32">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3.项目投资</w:t>
      </w:r>
    </w:p>
    <w:p w14:paraId="3A575246">
      <w:pPr>
        <w:widowControl/>
        <w:shd w:val="clear" w:color="auto" w:fill="FFFFFF"/>
        <w:ind w:firstLine="480"/>
        <w:jc w:val="left"/>
        <w:rPr>
          <w:rFonts w:hint="eastAsia" w:ascii="宋体" w:hAnsi="宋体" w:cs="宋体"/>
          <w:bCs/>
          <w:sz w:val="24"/>
          <w:szCs w:val="24"/>
          <w:highlight w:val="none"/>
        </w:rPr>
      </w:pPr>
      <w:r>
        <w:rPr>
          <w:rFonts w:hint="eastAsia" w:ascii="宋体" w:hAnsi="宋体" w:cs="宋体"/>
          <w:bCs/>
          <w:sz w:val="24"/>
          <w:szCs w:val="24"/>
          <w:highlight w:val="none"/>
        </w:rPr>
        <w:t>项目总投资约101865万元，全部来源于财政资金。</w:t>
      </w:r>
    </w:p>
    <w:p w14:paraId="7E48686B">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（二）场址选择和治理条件</w:t>
      </w:r>
    </w:p>
    <w:p w14:paraId="208A6396">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1.项目场址</w:t>
      </w:r>
    </w:p>
    <w:p w14:paraId="4602716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项目地块位于花果山产业小镇内，权属用地面积约 3.2 公顷，现状为公园绿地、云道及花果山桥。周边主要为教育科研建筑及商业建筑，西临广州电视台，东临青少年科技馆。</w:t>
      </w:r>
    </w:p>
    <w:p w14:paraId="39A8CB6F">
      <w:pPr>
        <w:widowControl/>
        <w:shd w:val="clear" w:color="auto" w:fill="FFFFFF"/>
        <w:spacing w:line="360" w:lineRule="auto"/>
        <w:ind w:firstLine="424" w:firstLineChars="177"/>
        <w:jc w:val="left"/>
        <w:rPr>
          <w:rFonts w:hint="eastAsia" w:ascii="宋体" w:hAnsi="宋体" w:cs="宋体"/>
          <w:bCs/>
          <w:sz w:val="24"/>
          <w:szCs w:val="24"/>
          <w:highlight w:val="none"/>
          <w:u w:val="single"/>
        </w:rPr>
      </w:pPr>
      <w:r>
        <w:rPr>
          <w:rFonts w:hint="eastAsia" w:ascii="宋体" w:hAnsi="宋体" w:cs="宋体"/>
          <w:bCs/>
          <w:sz w:val="24"/>
          <w:szCs w:val="24"/>
          <w:highlight w:val="none"/>
          <w:u w:val="single"/>
        </w:rPr>
        <w:drawing>
          <wp:inline distT="0" distB="0" distL="0" distR="0">
            <wp:extent cx="5274310" cy="26396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4310" cy="2640207"/>
                    </a:xfrm>
                    <a:prstGeom prst="rect">
                      <a:avLst/>
                    </a:prstGeom>
                  </pic:spPr>
                </pic:pic>
              </a:graphicData>
            </a:graphic>
          </wp:inline>
        </w:drawing>
      </w:r>
    </w:p>
    <w:p w14:paraId="5F12584A">
      <w:pPr>
        <w:widowControl/>
        <w:shd w:val="clear" w:color="auto" w:fill="FFFFFF"/>
        <w:spacing w:line="360" w:lineRule="auto"/>
        <w:ind w:firstLine="424" w:firstLineChars="177"/>
        <w:jc w:val="center"/>
        <w:rPr>
          <w:rFonts w:hint="eastAsia" w:ascii="宋体" w:hAnsi="宋体" w:cs="宋体"/>
          <w:bCs/>
          <w:sz w:val="24"/>
          <w:szCs w:val="24"/>
          <w:highlight w:val="none"/>
        </w:rPr>
      </w:pPr>
      <w:r>
        <w:rPr>
          <w:rFonts w:hint="eastAsia" w:ascii="宋体" w:hAnsi="宋体" w:cs="宋体"/>
          <w:bCs/>
          <w:sz w:val="24"/>
          <w:szCs w:val="24"/>
          <w:highlight w:val="none"/>
        </w:rPr>
        <w:t>项目具体位置示意图</w:t>
      </w:r>
    </w:p>
    <w:p w14:paraId="6C1241C1">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2.治理范围</w:t>
      </w:r>
    </w:p>
    <w:p w14:paraId="1D238F6C">
      <w:pPr>
        <w:widowControl/>
        <w:shd w:val="clear" w:color="auto" w:fill="FFFFFF"/>
        <w:spacing w:line="360" w:lineRule="auto"/>
        <w:ind w:firstLine="424" w:firstLineChars="177"/>
        <w:jc w:val="left"/>
        <w:rPr>
          <w:rFonts w:hint="eastAsia" w:ascii="宋体" w:hAnsi="宋体" w:cs="宋体"/>
          <w:bCs/>
          <w:sz w:val="24"/>
          <w:szCs w:val="24"/>
          <w:highlight w:val="none"/>
          <w:u w:val="single"/>
        </w:rPr>
      </w:pPr>
      <w:r>
        <w:rPr>
          <w:rFonts w:hint="eastAsia" w:ascii="宋体" w:hAnsi="宋体" w:cs="宋体"/>
          <w:bCs/>
          <w:sz w:val="24"/>
          <w:szCs w:val="24"/>
          <w:highlight w:val="none"/>
          <w:u w:val="single"/>
        </w:rPr>
        <w:drawing>
          <wp:inline distT="0" distB="0" distL="0" distR="0">
            <wp:extent cx="4372610" cy="305308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4376570" cy="3055641"/>
                    </a:xfrm>
                    <a:prstGeom prst="rect">
                      <a:avLst/>
                    </a:prstGeom>
                  </pic:spPr>
                </pic:pic>
              </a:graphicData>
            </a:graphic>
          </wp:inline>
        </w:drawing>
      </w:r>
    </w:p>
    <w:p w14:paraId="7778085A">
      <w:pPr>
        <w:widowControl/>
        <w:shd w:val="clear" w:color="auto" w:fill="FFFFFF"/>
        <w:spacing w:line="360" w:lineRule="auto"/>
        <w:ind w:firstLine="424" w:firstLineChars="177"/>
        <w:jc w:val="center"/>
        <w:rPr>
          <w:rFonts w:hint="eastAsia" w:ascii="宋体" w:hAnsi="宋体" w:cs="宋体"/>
          <w:bCs/>
          <w:sz w:val="24"/>
          <w:szCs w:val="24"/>
          <w:highlight w:val="none"/>
        </w:rPr>
      </w:pPr>
      <w:r>
        <w:rPr>
          <w:rFonts w:hint="eastAsia" w:ascii="宋体" w:hAnsi="宋体" w:cs="宋体"/>
          <w:bCs/>
          <w:sz w:val="24"/>
          <w:szCs w:val="24"/>
          <w:highlight w:val="none"/>
        </w:rPr>
        <w:t>项目治理范围以及风险管控范围</w:t>
      </w:r>
    </w:p>
    <w:p w14:paraId="246B125C">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二、项目管理目标</w:t>
      </w:r>
    </w:p>
    <w:p w14:paraId="4AA75CAA">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（一）工期进度目标</w:t>
      </w:r>
    </w:p>
    <w:p w14:paraId="2EA16E64">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1.本项目的工期目标</w:t>
      </w:r>
    </w:p>
    <w:p w14:paraId="2CC95860">
      <w:pPr>
        <w:widowControl/>
        <w:shd w:val="clear" w:color="auto" w:fill="FFFFFF"/>
        <w:spacing w:line="360" w:lineRule="auto"/>
        <w:ind w:firstLine="424" w:firstLineChars="177"/>
        <w:jc w:val="left"/>
        <w:rPr>
          <w:rFonts w:hint="eastAsia" w:ascii="宋体" w:hAnsi="宋体" w:cs="宋体"/>
          <w:bCs/>
          <w:sz w:val="24"/>
          <w:szCs w:val="24"/>
          <w:highlight w:val="none"/>
        </w:rPr>
      </w:pPr>
      <w:bookmarkStart w:id="443" w:name="OLE_LINK10"/>
      <w:bookmarkStart w:id="444" w:name="OLE_LINK8"/>
      <w:r>
        <w:rPr>
          <w:rFonts w:hint="eastAsia" w:ascii="宋体" w:hAnsi="宋体" w:cs="宋体"/>
          <w:bCs/>
          <w:sz w:val="24"/>
          <w:szCs w:val="24"/>
          <w:highlight w:val="none"/>
        </w:rPr>
        <w:t>本项目施工总工期计划为</w:t>
      </w:r>
      <w:r>
        <w:rPr>
          <w:rFonts w:hint="eastAsia" w:ascii="宋体" w:hAnsi="宋体" w:cs="宋体"/>
          <w:bCs/>
          <w:sz w:val="24"/>
          <w:szCs w:val="24"/>
          <w:highlight w:val="none"/>
          <w:lang w:val="en-US" w:eastAsia="zh-CN"/>
        </w:rPr>
        <w:t>18</w:t>
      </w:r>
      <w:r>
        <w:rPr>
          <w:rFonts w:hint="eastAsia" w:ascii="宋体" w:hAnsi="宋体" w:cs="宋体"/>
          <w:bCs/>
          <w:sz w:val="24"/>
          <w:szCs w:val="24"/>
          <w:highlight w:val="none"/>
        </w:rPr>
        <w:t>个月（不含支护桩施工时间），计划 2025 年</w:t>
      </w:r>
      <w:r>
        <w:rPr>
          <w:rFonts w:hint="eastAsia" w:ascii="宋体" w:hAnsi="宋体" w:cs="宋体"/>
          <w:bCs/>
          <w:sz w:val="24"/>
          <w:szCs w:val="24"/>
          <w:highlight w:val="none"/>
          <w:lang w:val="en-US" w:eastAsia="zh-CN"/>
        </w:rPr>
        <w:t>10</w:t>
      </w:r>
      <w:r>
        <w:rPr>
          <w:rFonts w:hint="eastAsia" w:ascii="宋体" w:hAnsi="宋体" w:cs="宋体"/>
          <w:bCs/>
          <w:sz w:val="24"/>
          <w:szCs w:val="24"/>
          <w:highlight w:val="none"/>
        </w:rPr>
        <w:t>月开工，2027 年</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rPr>
        <w:t>月完工移交。</w:t>
      </w:r>
      <w:bookmarkEnd w:id="443"/>
      <w:r>
        <w:rPr>
          <w:rFonts w:hint="eastAsia" w:ascii="宋体" w:hAnsi="宋体" w:cs="宋体"/>
          <w:bCs/>
          <w:sz w:val="24"/>
          <w:szCs w:val="24"/>
          <w:highlight w:val="none"/>
        </w:rPr>
        <w:t>鉴于周边居民诉求较多，</w:t>
      </w:r>
      <w:r>
        <w:rPr>
          <w:rFonts w:hint="eastAsia" w:ascii="宋体" w:hAnsi="宋体" w:cs="宋体"/>
          <w:bCs/>
          <w:sz w:val="24"/>
          <w:szCs w:val="24"/>
          <w:highlight w:val="none"/>
          <w:lang w:val="en-US" w:eastAsia="zh-CN"/>
        </w:rPr>
        <w:t>与总包单位、监理单位、第三方检测单位等配合不当</w:t>
      </w:r>
      <w:r>
        <w:rPr>
          <w:rFonts w:hint="eastAsia" w:ascii="宋体" w:hAnsi="宋体" w:cs="宋体"/>
          <w:bCs/>
          <w:sz w:val="24"/>
          <w:szCs w:val="24"/>
          <w:highlight w:val="none"/>
        </w:rPr>
        <w:t>由此可能引发的工期延误、费用增加等风险，均由中标人承担，中标人不得以任何理由向招标人提出索赔。承包单位须无条件配合省、市、区各级行政主管部门的检查，并按要求提供真实有效的相关资料。因配合检查发现需整改的事宜，工期不予顺延。</w:t>
      </w:r>
    </w:p>
    <w:bookmarkEnd w:id="444"/>
    <w:p w14:paraId="261B16BD">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2.施工关键节点工期</w:t>
      </w:r>
    </w:p>
    <w:p w14:paraId="5679265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基坑工程施工前完成树木迁移，计划 2025年8月底完成；</w:t>
      </w:r>
    </w:p>
    <w:p w14:paraId="37DF324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搭设基础设施，计划 2025年10月底完成；</w:t>
      </w:r>
    </w:p>
    <w:p w14:paraId="2367332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土壤治理工程支护桩施工，计划 2026年</w:t>
      </w:r>
      <w:r>
        <w:rPr>
          <w:rFonts w:hint="eastAsia" w:ascii="宋体" w:hAnsi="宋体" w:cs="宋体"/>
          <w:bCs/>
          <w:sz w:val="24"/>
          <w:szCs w:val="24"/>
          <w:highlight w:val="none"/>
          <w:lang w:val="en-US" w:eastAsia="zh-CN"/>
        </w:rPr>
        <w:t>3</w:t>
      </w:r>
      <w:r>
        <w:rPr>
          <w:rFonts w:hint="eastAsia" w:ascii="宋体" w:hAnsi="宋体" w:cs="宋体"/>
          <w:bCs/>
          <w:sz w:val="24"/>
          <w:szCs w:val="24"/>
          <w:highlight w:val="none"/>
        </w:rPr>
        <w:t>月底完成；</w:t>
      </w:r>
    </w:p>
    <w:p w14:paraId="0B92E7B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土壤治理施工，计划 2027年</w:t>
      </w:r>
      <w:r>
        <w:rPr>
          <w:rFonts w:hint="eastAsia" w:ascii="宋体" w:hAnsi="宋体" w:cs="宋体"/>
          <w:bCs/>
          <w:sz w:val="24"/>
          <w:szCs w:val="24"/>
          <w:highlight w:val="none"/>
          <w:lang w:val="en-US" w:eastAsia="zh-CN"/>
        </w:rPr>
        <w:t>2</w:t>
      </w:r>
      <w:r>
        <w:rPr>
          <w:rFonts w:hint="eastAsia" w:ascii="宋体" w:hAnsi="宋体" w:cs="宋体"/>
          <w:bCs/>
          <w:sz w:val="24"/>
          <w:szCs w:val="24"/>
          <w:highlight w:val="none"/>
        </w:rPr>
        <w:t>月底完成；</w:t>
      </w:r>
    </w:p>
    <w:p w14:paraId="6A2F2DB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地块移出名录，计划 2027年</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rPr>
        <w:t>月底。</w:t>
      </w:r>
    </w:p>
    <w:p w14:paraId="1B9E7C2E">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3.项目治理计划和招标设计策划安排</w:t>
      </w:r>
    </w:p>
    <w:p w14:paraId="0848DB2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招标人计划 2025 年</w:t>
      </w:r>
      <w:r>
        <w:rPr>
          <w:rFonts w:hint="eastAsia" w:ascii="宋体" w:hAnsi="宋体" w:cs="宋体"/>
          <w:bCs/>
          <w:sz w:val="24"/>
          <w:szCs w:val="24"/>
          <w:highlight w:val="none"/>
          <w:lang w:val="en-US" w:eastAsia="zh-CN"/>
        </w:rPr>
        <w:t>9</w:t>
      </w:r>
      <w:r>
        <w:rPr>
          <w:rFonts w:hint="eastAsia" w:ascii="宋体" w:hAnsi="宋体" w:cs="宋体"/>
          <w:bCs/>
          <w:sz w:val="24"/>
          <w:szCs w:val="24"/>
          <w:highlight w:val="none"/>
        </w:rPr>
        <w:t>月确定中标单位；</w:t>
      </w:r>
    </w:p>
    <w:p w14:paraId="6BB1F5B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2025 年 9 月完成土壤治理技术方案备案，同月领取施工许可证；</w:t>
      </w:r>
    </w:p>
    <w:p w14:paraId="0C93B64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基坑安全检测服务单位计划在支护施工进场前完成确定工作；</w:t>
      </w:r>
    </w:p>
    <w:p w14:paraId="3400F88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项目材料与实体检测服务单位计划在支护施工进场前完成确定工作；</w:t>
      </w:r>
    </w:p>
    <w:p w14:paraId="6E9D596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项目地块移出名录计划2027年</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rPr>
        <w:t>月。</w:t>
      </w:r>
    </w:p>
    <w:p w14:paraId="337B3F0C">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（二）质量目标</w:t>
      </w:r>
    </w:p>
    <w:p w14:paraId="5A79A282">
      <w:pPr>
        <w:widowControl/>
        <w:shd w:val="clear" w:color="auto" w:fill="FFFFFF"/>
        <w:spacing w:line="360" w:lineRule="auto"/>
        <w:ind w:firstLine="424" w:firstLineChars="177"/>
        <w:jc w:val="left"/>
        <w:rPr>
          <w:rFonts w:hint="eastAsia" w:ascii="宋体" w:hAnsi="宋体" w:cs="宋体"/>
          <w:bCs/>
          <w:sz w:val="24"/>
          <w:szCs w:val="24"/>
          <w:highlight w:val="none"/>
        </w:rPr>
      </w:pPr>
      <w:bookmarkStart w:id="445" w:name="OLE_LINK9"/>
      <w:r>
        <w:rPr>
          <w:rFonts w:hint="eastAsia" w:ascii="宋体" w:hAnsi="宋体" w:cs="宋体"/>
          <w:bCs/>
          <w:sz w:val="24"/>
          <w:szCs w:val="24"/>
          <w:highlight w:val="none"/>
        </w:rPr>
        <w:t>移出建设用地土壤污染风险管控和修复名录清单，取得有关生态环境主管部门批准选址涉及该污染地块的建设项目环境影响报告书或者报告表。</w:t>
      </w:r>
    </w:p>
    <w:bookmarkEnd w:id="445"/>
    <w:p w14:paraId="00F11E87">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（三）投资控制（结算）目标</w:t>
      </w:r>
    </w:p>
    <w:p w14:paraId="6976E6E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结算须符合财政评审相关规定。</w:t>
      </w:r>
    </w:p>
    <w:p w14:paraId="499C7948">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（四）安全、文明施工目标</w:t>
      </w:r>
    </w:p>
    <w:p w14:paraId="6D155F4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省级安全文明施工样板工地标准。</w:t>
      </w:r>
    </w:p>
    <w:p w14:paraId="47C52BD2">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（五）环境管理目标</w:t>
      </w:r>
    </w:p>
    <w:p w14:paraId="2178E09B">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1.严格遵循法律法规</w:t>
      </w:r>
    </w:p>
    <w:p w14:paraId="114774D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单位在土壤治理施工全程，务必严格依照《中华人民共和国土壤污染防治法》《污染地块土壤环境管理办法》《农用地土壤环境管理办法（试行）》以及《广州市环境保护条例》等相关法律法规开展作业，确保所有施工活动合法合规。</w:t>
      </w:r>
    </w:p>
    <w:p w14:paraId="1EC9E1C3">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2.预防土壤新增污染</w:t>
      </w:r>
    </w:p>
    <w:p w14:paraId="3B723C4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对于涉及土地利用规划及可能引发土壤污染的建设项目，施工前要依据《中华人民共和国土壤污染防治法》和广州市相关规定，配合建设单位做好环境影响评价工作，充分考量项目对土壤的潜在不良影响，并制定完善且可行的预防措施。</w:t>
      </w:r>
    </w:p>
    <w:p w14:paraId="0D437F4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单位在生产、使用、贮存、运输、回收、处置、排放有毒有害物质时，必须严格按照法律规定及广州市的具体要求，采取有效手段，防止有毒有害物质出现渗漏、流失、扬散等情况，避免对土壤造成新增污染。例如，不得向农用地排放重金属或者其他有毒有害物质含量超标的污水、污泥等，这也符合广州市对农用地保护的严格标准。</w:t>
      </w:r>
    </w:p>
    <w:p w14:paraId="44460569">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3.控制施工过程污染</w:t>
      </w:r>
    </w:p>
    <w:p w14:paraId="38956CA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扬尘控制：</w:t>
      </w:r>
      <w:r>
        <w:rPr>
          <w:rFonts w:hint="eastAsia" w:ascii="宋体" w:hAnsi="宋体" w:cs="宋体"/>
          <w:bCs/>
          <w:sz w:val="24"/>
          <w:szCs w:val="24"/>
          <w:highlight w:val="none"/>
        </w:rPr>
        <w:t>除参照《市重点局建设工程环境保护管理暂行规定 (2023 年修订版)》等文件要求外，还需符合《广州市扬尘污染防治管理办法》。施工工地开工前按标准设置封闭围挡，主干道围挡不低于 2.5 米，次干道不低于 1.8 米，并安装不低于 30 厘米的防溢座以及喷淋设施（间隔不大于 4 米）。施工现场出入口、主干道、作业区加工场、生活区、办公区必须进行硬化处理，裸露场地若超过三个月要实施绿化。每个出入口设置下沉冲洗平台或配备高压水枪的人工冲洗平台，明确专人负责冲洗出场车辆，建立冲洗台账，确保车辆不带泥上路。施工现场内堆放的渣土、建筑垃圾采取围挡、遮盖等防尘措施，土方施工遇风力超过 4 级时停止作业，运土车辆采用封闭式运输车，建筑施工垃圾采用容器吊装或袋装运输，严禁随意抛撒。做到 “工地周边围挡、物料堆放覆盖、土方开挖湿法作业、路面硬化、出入车辆清洗、渣土车辆密闭运输” 六个百分之百，建筑面积 5000 平方米及以上的房屋建筑工程及涉土石方的工地施工现场应安装远程视频和扬尘监测设备，并与广州市相关部门联网。同时，在广州市空气质量预警期间，应按照预警要求采取更为严格的扬尘控制措施。</w:t>
      </w:r>
    </w:p>
    <w:p w14:paraId="301A52A9">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废水控制：</w:t>
      </w:r>
      <w:r>
        <w:rPr>
          <w:rFonts w:hint="eastAsia" w:ascii="宋体" w:hAnsi="宋体" w:cs="宋体"/>
          <w:bCs/>
          <w:sz w:val="24"/>
          <w:szCs w:val="24"/>
          <w:highlight w:val="none"/>
        </w:rPr>
        <w:t>施工现场按照雨污分流方式布管，生活污水先排入场内砌筑的化粪池经沉淀后排入市政污水井内，需符合广州市污水排放的相关标准；泥浆未经沉淀严禁直接排入河道或下水道内，避免泥浆外漏，防止施工废水对土壤和水体造成污染，尤其是要保护广州市内的珠江等水体环境。</w:t>
      </w:r>
    </w:p>
    <w:p w14:paraId="53056C59">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噪声控制：</w:t>
      </w:r>
      <w:r>
        <w:rPr>
          <w:rFonts w:hint="eastAsia" w:ascii="宋体" w:hAnsi="宋体" w:cs="宋体"/>
          <w:bCs/>
          <w:sz w:val="24"/>
          <w:szCs w:val="24"/>
          <w:highlight w:val="none"/>
        </w:rPr>
        <w:t>合理安排作业时间，对于易产生强噪音的施工工序，尽量减少夜间施工。在居民稠密区，夜间作业不得超 22 时，早间作业不得早于 6 时，因特殊需要必须连续施工作业的，应按规定报广州市有关主管部门备案后方可施工，并在施工现场公告项目名称、施工场所和期限、夜间施工批准文件、施工内容、投诉渠道、监督电话等信息。同时，要符合《广州市环境噪声污染防治规定》中关于建筑施工噪声的具体要求。</w:t>
      </w:r>
    </w:p>
    <w:p w14:paraId="45617A96">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固体废物控制：</w:t>
      </w:r>
      <w:r>
        <w:rPr>
          <w:rFonts w:hint="eastAsia" w:ascii="宋体" w:hAnsi="宋体" w:cs="宋体"/>
          <w:bCs/>
          <w:sz w:val="24"/>
          <w:szCs w:val="24"/>
          <w:highlight w:val="none"/>
        </w:rPr>
        <w:t>对施工过程中产生的固体废物进行分类收集、妥善处置。可回收利用的废弃物，如废钢材、废木材等，应进行回收再利用；不可回收的建筑垃圾，按照广州市相关规定运至指定的消纳场所，如广州市建筑垃圾消纳场；危险废物，如废电池、废油漆桶等，严格按照《中华人民共和国固体废物污染环境防治法》和广州市危险废物管理的相关要求，交由有资质的单位进行处理，严禁随意倾倒、堆放，防止固体废物中的有害物质渗入土壤。</w:t>
      </w:r>
    </w:p>
    <w:p w14:paraId="3EE90DDF">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4.规范污染治理修复</w:t>
      </w:r>
    </w:p>
    <w:p w14:paraId="26FED74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若施工区域涉及污染地块治理与修复，治理单位要严格遵循《中华人民共和国土壤污染防治法》以及广州市关于污染地块治理修复的具体规定。治理与修复工程原则上在原址进行，采取必要措施防止污染土壤挖掘、堆存等造成二次污染；如需转运污染土壤，提前向广州市所在地和接收地环境保护部门报告运输时间、方式、线路和污染土壤数量、去向、最终处置措施等信息。</w:t>
      </w:r>
    </w:p>
    <w:p w14:paraId="37800F0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工程施工期间，设立公告牌，公开工程基本情况、环境影响及其防范措施；工程完工后，委托第三方机构对治理与修复效果进行评估，并将结果向社会公开，评估标准需符合广州市的相关要求。</w:t>
      </w:r>
    </w:p>
    <w:p w14:paraId="7D968FCE">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5.配合监督检查</w:t>
      </w:r>
    </w:p>
    <w:p w14:paraId="1388F76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积极配合建设单位、环境监理单位以及广州市生态环境等相关部门的监督检查工作，对于检查中发现的环境问题，及时整改落实，确保土壤治理施工项目的环境管理工作符合各项要求。同时，要遵守广州市环境保护部门关于施工环境管理的动态监管规定。</w:t>
      </w:r>
    </w:p>
    <w:p w14:paraId="3691FDF9">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三、标段及界面划分工作建议</w:t>
      </w:r>
    </w:p>
    <w:p w14:paraId="286C990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结合花果山产业小镇综合配套工程建设项目前期工作进展及出图情况，建议本次土壤招标内容包含土壤修复治理，不含土壤修复治理需要的支护措施、污染土壤的清挖和场内转运。本项目全部打包招标产生一个单位，搭设板房、预处理棚等配套专业工程可由承包单位自行施工或分包。</w:t>
      </w:r>
    </w:p>
    <w:p w14:paraId="6802995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本项目在开工前，中标人必须与花果山产业小镇综合配套工程建设项目总承包单位做好场地移交、工完场清、场地标高（含控制点）、地下管线等相关前期技术和资料交接等相关工作，相关交接工作约定需要形成文件存档，明确双方实施范围避免遗漏，双方在土壤治理过程中必须互相配合，做到支护，治理的顺利进行。必须经中标人和前期场地平整实施单位双方盖章签字报招标人审核同意。</w:t>
      </w:r>
    </w:p>
    <w:tbl>
      <w:tblPr>
        <w:tblStyle w:val="19"/>
        <w:tblW w:w="0" w:type="dxa"/>
        <w:tblInd w:w="0" w:type="dxa"/>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Layout w:type="autofit"/>
        <w:tblCellMar>
          <w:top w:w="15" w:type="dxa"/>
          <w:left w:w="15" w:type="dxa"/>
          <w:bottom w:w="15" w:type="dxa"/>
          <w:right w:w="15" w:type="dxa"/>
        </w:tblCellMar>
      </w:tblPr>
      <w:tblGrid>
        <w:gridCol w:w="1600"/>
        <w:gridCol w:w="1526"/>
        <w:gridCol w:w="1271"/>
        <w:gridCol w:w="1600"/>
        <w:gridCol w:w="1271"/>
        <w:gridCol w:w="1271"/>
      </w:tblGrid>
      <w:tr w14:paraId="7EAFF5E7">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F29559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0B2CA4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名称</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E3C045F">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具体内容</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5956BB9">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接收单位复核</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D379ADC">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接收单位复核</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92CF3B1">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备注</w:t>
            </w:r>
          </w:p>
        </w:tc>
      </w:tr>
      <w:tr w14:paraId="6B6E2841">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95D6235">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15FDA04">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6A43299">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240C83C">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复核人</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2DC7DC5">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负责人</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FED7BBE">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091257F6">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9E18B9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C0B203A">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现场基础设施</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8B706D9">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9E2FD3D">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912696F">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30AAD1B">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556DB7D5">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8C502F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53C8AC1">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水平阻隔支护</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3E1C561">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D47B574">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64B26B3">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40B12EB">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078051FD">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DBB4CC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42C3DF6">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土壤处理</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8D01290">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54EC7DA">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DD8B4EC">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D004553">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1DE0190F">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8AE36B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4</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0F1376C">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场地标高</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25B2DEC">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0059627">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615AD19">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02C0D8F">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16F4EE97">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EFD69D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5</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3EE5DA3">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排水位置</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DA43897">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6291C38">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07EAAAE">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47816F3">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77FDAB8C">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1B1AE1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6</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406FE4B">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临时设施</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517505E">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34E0474">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8F9FB5F">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4C5DC78">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2C12CB3C">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5901F3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7</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FD31C7B">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技术资料</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43DA6BD">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11C6FB5">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93D46EE">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2C7C98E">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3F242786">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F827F1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8</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F25F378">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场地移交</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50F20F3">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543606E">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DED9F7A">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84B5792">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2C423A29">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6280379">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移交单位（盖章）：</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DD6FF71">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DCDBE42">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1938A37">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环境监理单位（盖章）：</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7544983">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798AE89">
            <w:pPr>
              <w:widowControl/>
              <w:shd w:val="clear" w:color="auto" w:fill="FFFFFF"/>
              <w:spacing w:line="360" w:lineRule="auto"/>
              <w:ind w:firstLine="424" w:firstLineChars="177"/>
              <w:jc w:val="left"/>
              <w:rPr>
                <w:rFonts w:hint="eastAsia" w:ascii="宋体" w:hAnsi="宋体" w:cs="宋体"/>
                <w:bCs/>
                <w:sz w:val="24"/>
                <w:szCs w:val="24"/>
                <w:highlight w:val="none"/>
              </w:rPr>
            </w:pPr>
          </w:p>
        </w:tc>
      </w:tr>
      <w:tr w14:paraId="6951E145">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AD13E6D">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区代建中心（盖章）：</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C16A76E">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F057449">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6C62D0F">
            <w:pPr>
              <w:widowControl/>
              <w:shd w:val="clear" w:color="auto" w:fill="FFFFFF"/>
              <w:spacing w:line="360" w:lineRule="auto"/>
              <w:jc w:val="left"/>
              <w:rPr>
                <w:rFonts w:hint="eastAsia" w:ascii="宋体" w:hAnsi="宋体" w:cs="宋体"/>
                <w:bCs/>
                <w:sz w:val="24"/>
                <w:szCs w:val="24"/>
                <w:highlight w:val="none"/>
              </w:rPr>
            </w:pPr>
            <w:r>
              <w:rPr>
                <w:rFonts w:hint="eastAsia" w:ascii="宋体" w:hAnsi="宋体" w:cs="宋体"/>
                <w:bCs/>
                <w:sz w:val="24"/>
                <w:szCs w:val="24"/>
                <w:highlight w:val="none"/>
              </w:rPr>
              <w:t>接收单位（盖章）：</w:t>
            </w: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3945CEE">
            <w:pPr>
              <w:widowControl/>
              <w:shd w:val="clear" w:color="auto" w:fill="FFFFFF"/>
              <w:spacing w:line="360" w:lineRule="auto"/>
              <w:ind w:firstLine="424" w:firstLineChars="177"/>
              <w:jc w:val="left"/>
              <w:rPr>
                <w:rFonts w:hint="eastAsia" w:ascii="宋体" w:hAnsi="宋体" w:cs="宋体"/>
                <w:bCs/>
                <w:sz w:val="24"/>
                <w:szCs w:val="24"/>
                <w:highlight w:val="none"/>
              </w:rPr>
            </w:pPr>
          </w:p>
        </w:tc>
        <w:tc>
          <w:tcPr>
            <w:tcW w:w="3000"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D82D47D">
            <w:pPr>
              <w:widowControl/>
              <w:shd w:val="clear" w:color="auto" w:fill="FFFFFF"/>
              <w:spacing w:line="360" w:lineRule="auto"/>
              <w:ind w:firstLine="424" w:firstLineChars="177"/>
              <w:jc w:val="left"/>
              <w:rPr>
                <w:rFonts w:hint="eastAsia" w:ascii="宋体" w:hAnsi="宋体" w:cs="宋体"/>
                <w:bCs/>
                <w:sz w:val="24"/>
                <w:szCs w:val="24"/>
                <w:highlight w:val="none"/>
              </w:rPr>
            </w:pPr>
          </w:p>
        </w:tc>
      </w:tr>
    </w:tbl>
    <w:p w14:paraId="0E21DC56">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四、建筑红线内施工总承包与土壤治理单位管理及配合服务内容</w:t>
      </w:r>
    </w:p>
    <w:p w14:paraId="0BFE7A0B">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（一）配合机制</w:t>
      </w:r>
    </w:p>
    <w:p w14:paraId="5A11E0CE">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1.前期对接阶段</w:t>
      </w:r>
    </w:p>
    <w:p w14:paraId="60B9406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土壤治理单位应在中标后 7 个工作日内，主动与总承包单位建立对接机制，共同向建设单位提交《协同工作方案》，明确双方对接人、联系方式及对接频率（至少每周 1 次专题会议，具体根据项目进展和紧急程度进行适当调整）。</w:t>
      </w:r>
    </w:p>
    <w:p w14:paraId="6D6319D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土壤治理单位需向总承包单位提供土壤治理工程的详细技术方案、施工范围、工期计划、关键工序及环保要求（如污染土壤转运路线、暂存标准等），总承包单位需向土壤治理单位提供项目整体施工总进度计划、场地总平面布置（含临时设施、水电接口位置）、周边环境条件（如地下管线分布、相邻施工区域情况）等信息，确保双方施工计划衔接一致。</w:t>
      </w:r>
    </w:p>
    <w:p w14:paraId="4A2900A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双方共同参与建设单位组织的前期技术交底会，就土壤治理与主体工程施工的交叉节点（如场地移交、土方平衡、临时道路使用等）达成共识，并形成书面纪要。</w:t>
      </w:r>
    </w:p>
    <w:p w14:paraId="452E123F">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2.施工协同阶段</w:t>
      </w:r>
    </w:p>
    <w:p w14:paraId="6284D065">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场地与资源协同：</w:t>
      </w:r>
      <w:r>
        <w:rPr>
          <w:rFonts w:hint="eastAsia" w:ascii="宋体" w:hAnsi="宋体" w:cs="宋体"/>
          <w:bCs/>
          <w:sz w:val="24"/>
          <w:szCs w:val="24"/>
          <w:highlight w:val="none"/>
        </w:rPr>
        <w:t>总承包单位负责统筹协调施工场地的分配，为土壤治理单位划分独立作业区（含材料堆放区、污染土壤暂存区等），并提供必要的临时水电接口（费用由土壤治理单位承担）；土壤治理单位需在总承包单位划定的区域内作业，不得擅自占用其他施工区域，如需使用共用设施（如临时道路、排水系统），需提前 24 小时向总承包单位申请，经批准后使用。</w:t>
      </w:r>
    </w:p>
    <w:p w14:paraId="23D3E3A3">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工序衔接：</w:t>
      </w:r>
      <w:r>
        <w:rPr>
          <w:rFonts w:hint="eastAsia" w:ascii="宋体" w:hAnsi="宋体" w:cs="宋体"/>
          <w:bCs/>
          <w:sz w:val="24"/>
          <w:szCs w:val="24"/>
          <w:highlight w:val="none"/>
        </w:rPr>
        <w:t>当土壤治理工序与主体工程施工存在交叉（如土壤治理区域与基础施工区域相邻）时，双方需提前 3 个工作日制定《交叉作业协调方案》，明确作业顺序、安全防护措施及责任划分，报建设单位及环境监理单位备案后实施。例如，土壤治理单位完成某区域治理后，需书面通知总承包单位进行场地验收，验收合格后方可移交总承包单位进行后续施工。</w:t>
      </w:r>
    </w:p>
    <w:p w14:paraId="1596D28F">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污染防控协同：</w:t>
      </w:r>
      <w:r>
        <w:rPr>
          <w:rFonts w:hint="eastAsia" w:ascii="宋体" w:hAnsi="宋体" w:cs="宋体"/>
          <w:bCs/>
          <w:sz w:val="24"/>
          <w:szCs w:val="24"/>
          <w:highlight w:val="none"/>
        </w:rPr>
        <w:t>双方共同遵守广州市扬尘、噪声、废水等污染防控要求，在相邻作业区设置联合防护设施（如共用围挡、喷淋系统）；土壤治理单位的污染土壤暂存区需符合防渗、防漏标准，总承包单位负责监督其是否占用非指定区域，发现问题及时沟通整改。</w:t>
      </w:r>
    </w:p>
    <w:p w14:paraId="1E1B0411">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3.信息共享与报告</w:t>
      </w:r>
    </w:p>
    <w:p w14:paraId="3A2F507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双方建立每日信息通报机制，通过共享文档或工作群同步施工进展（如土壤治理单位的每日治理面积、污染物处理量；总承包单位的周边施工影响等），重大问题（如污染泄漏、工序冲突）需立即通报并共同处理。</w:t>
      </w:r>
    </w:p>
    <w:p w14:paraId="4A41BB3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土壤治理单位每月向总承包单位提交《土壤治理工程环保监测报告》（含土壤、地下水监测数据），总承包单位汇总后纳入项目整体环保报告，一并报建设单位及广州市生态环境部门。</w:t>
      </w:r>
    </w:p>
    <w:p w14:paraId="639BE3B3">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4.应急联动</w:t>
      </w:r>
    </w:p>
    <w:p w14:paraId="06E0603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双方共同制定《施工应急联动预案》，明确土壤污染泄漏、扬尘超标、设备故障等突发事件的响应流程，定期（每季度）联合开展应急演练。</w:t>
      </w:r>
    </w:p>
    <w:p w14:paraId="191F08A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发生突发事件时，事发单位立即启动应急措施，同时通知另一方协助（如土壤治理单位发生污染泄漏时，总承包单位提供应急物资支援；总承包单位施工影响土壤治理区域时，土壤治理单位及时暂停作业并协助防护），事后共同向建设单位提交事故调查报告。</w:t>
      </w:r>
    </w:p>
    <w:p w14:paraId="476AF714">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5.投诉处理</w:t>
      </w:r>
    </w:p>
    <w:p w14:paraId="50C6ACA4">
      <w:pPr>
        <w:widowControl/>
        <w:shd w:val="clear" w:color="auto" w:fill="FFFFFF"/>
        <w:spacing w:line="360" w:lineRule="auto"/>
        <w:ind w:firstLine="424" w:firstLineChars="177"/>
        <w:jc w:val="left"/>
        <w:rPr>
          <w:rFonts w:hint="eastAsia" w:ascii="宋体" w:hAnsi="宋体" w:cs="宋体"/>
          <w:bCs/>
          <w:sz w:val="24"/>
          <w:szCs w:val="24"/>
          <w:highlight w:val="none"/>
          <w:u w:val="single"/>
        </w:rPr>
      </w:pPr>
      <w:r>
        <w:rPr>
          <w:rFonts w:hint="eastAsia" w:ascii="宋体" w:hAnsi="宋体" w:cs="宋体"/>
          <w:bCs/>
          <w:sz w:val="24"/>
          <w:szCs w:val="24"/>
          <w:highlight w:val="none"/>
        </w:rPr>
        <w:t>负责解决周边居民和有关单位的等周边的一切投诉，做好保障居民基本生活需要、安抚解释等沟通协调工作，由此产生的工期延误、费用增加由投诉内容所对应的承包单位承担，不得以任何理由向建设单位索赔；本项目建设所需的生活、办公用房的临时设施，由承包方自行解决；本项目的居民投诉较多，由此产生的人员、材料、机械等进退场及管理工作，所导致的工期延误、费用增加等风险需由承包人充分考虑和承担。</w:t>
      </w:r>
    </w:p>
    <w:p w14:paraId="1EE547B2">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（二）各自的管理责任</w:t>
      </w:r>
    </w:p>
    <w:p w14:paraId="54588D71">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1.土壤治理单位的管理责任</w:t>
      </w:r>
    </w:p>
    <w:p w14:paraId="25EB381F">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专项合规责任：</w:t>
      </w:r>
      <w:r>
        <w:rPr>
          <w:rFonts w:hint="eastAsia" w:ascii="宋体" w:hAnsi="宋体" w:cs="宋体"/>
          <w:bCs/>
          <w:sz w:val="24"/>
          <w:szCs w:val="24"/>
          <w:highlight w:val="none"/>
        </w:rPr>
        <w:t>严格遵守《中华人民共和国土壤污染防治法》《污染地块土壤环境管理办法》及广州市相关规定，对土壤治理工程的合规性负直接责任，包括但不限于土壤环境调查、治理方案审批、污染土壤转运备案、治理效果评估等环节的合规性，确保治理后土壤指标符合广州市修复目标值。</w:t>
      </w:r>
    </w:p>
    <w:p w14:paraId="6F66E31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施工管理责任：</w:t>
      </w:r>
      <w:r>
        <w:rPr>
          <w:rFonts w:hint="eastAsia" w:ascii="宋体" w:hAnsi="宋体" w:cs="宋体"/>
          <w:bCs/>
          <w:sz w:val="24"/>
          <w:szCs w:val="24"/>
          <w:highlight w:val="none"/>
        </w:rPr>
        <w:t>对土壤治理范围内的施工质量、安全及环保措施负专项责任，包括污染土壤挖掘、运输、处置的全过程污染防控（如防扬散、防渗漏），治理设备的合规运行，施工人员的环保培训（需留存培训记录）等；因自身施工不当造成土壤二次污染或周边环境破坏的，承担全部整改及赔偿责任。施工中杜绝野蛮开挖，开挖前熟悉了解勘察地下管线分布及对地下燃气等管道的保护工作产生的费用，由开挖单位承担，杜绝破坏燃气等地下管道的施工行为。</w:t>
      </w:r>
    </w:p>
    <w:p w14:paraId="15CCF5D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资料提交责任：</w:t>
      </w:r>
      <w:r>
        <w:rPr>
          <w:rFonts w:hint="eastAsia" w:ascii="宋体" w:hAnsi="宋体" w:cs="宋体"/>
          <w:bCs/>
          <w:sz w:val="24"/>
          <w:szCs w:val="24"/>
          <w:highlight w:val="none"/>
        </w:rPr>
        <w:t>按时向总承包单位及建设单位提交土壤治理相关资料（如每日施工记录、监测报告、隐蔽工程验收单等），确保资料真实、完整，作为项目整体验收的依据。</w:t>
      </w:r>
    </w:p>
    <w:p w14:paraId="6851EB6B">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2.总承包单位的管理责任</w:t>
      </w:r>
    </w:p>
    <w:p w14:paraId="7B7A5F8A">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统筹协调责任：</w:t>
      </w:r>
      <w:r>
        <w:rPr>
          <w:rFonts w:hint="eastAsia" w:ascii="宋体" w:hAnsi="宋体" w:cs="宋体"/>
          <w:bCs/>
          <w:sz w:val="24"/>
          <w:szCs w:val="24"/>
          <w:highlight w:val="none"/>
        </w:rPr>
        <w:t>对项目整体施工组织、进度及场地统筹负总责，协调土壤治理单位与其他分包单位（如土建、安装单位）的施工衔接，避免工序冲突；因统筹不当导致土壤治理工程延误或受阻的，承担协调整改责任。</w:t>
      </w:r>
    </w:p>
    <w:p w14:paraId="37E7B57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公共区域管理责任：</w:t>
      </w:r>
      <w:r>
        <w:rPr>
          <w:rFonts w:hint="eastAsia" w:ascii="宋体" w:hAnsi="宋体" w:cs="宋体"/>
          <w:bCs/>
          <w:sz w:val="24"/>
          <w:szCs w:val="24"/>
          <w:highlight w:val="none"/>
        </w:rPr>
        <w:t>对项目公共施工区域（如临时道路、排水系统、共用围挡）的环保措施负管理责任，确保其符合广州市扬尘、噪声防控标准；监督土壤治理单位在公共区域的作业行为（如是否违规堆放物料），对违规行为有权制止并要求整改。</w:t>
      </w:r>
    </w:p>
    <w:p w14:paraId="68947C4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信息汇总与上报责任：</w:t>
      </w:r>
      <w:r>
        <w:rPr>
          <w:rFonts w:hint="eastAsia" w:ascii="宋体" w:hAnsi="宋体" w:cs="宋体"/>
          <w:bCs/>
          <w:sz w:val="24"/>
          <w:szCs w:val="24"/>
          <w:highlight w:val="none"/>
        </w:rPr>
        <w:t>汇总土壤治理单位及其他分包单位的环保信息，形成项目整体环保报告，按规定向建设单位及广州市生态环境、住建等部门上报；因信息漏报、错报导致的责任，由总承包单位承担。</w:t>
      </w:r>
    </w:p>
    <w:p w14:paraId="77A85DAF">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连带责任：</w:t>
      </w:r>
      <w:r>
        <w:rPr>
          <w:rFonts w:hint="eastAsia" w:ascii="宋体" w:hAnsi="宋体" w:cs="宋体"/>
          <w:bCs/>
          <w:sz w:val="24"/>
          <w:szCs w:val="24"/>
          <w:highlight w:val="none"/>
        </w:rPr>
        <w:t>对土壤治理单位的违规行为未及时发现或未督促整改的，承担连带管理责任（如土壤治理单位超标排放废水，总承包单位未履行监督义务的，需配合建设单位及监管部门进行整改）。</w:t>
      </w:r>
    </w:p>
    <w:p w14:paraId="274299F2">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3.责任边界与争议解决</w:t>
      </w:r>
    </w:p>
    <w:p w14:paraId="4D67076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以施工范围为基本责任边界：土壤治理单位对其合同约定的治理区域内的专项工作负直接责任，总承包单位对治理区域外的项目整体管理负总责，交叉区域责任按《交叉作业协调方案》划分。</w:t>
      </w:r>
    </w:p>
    <w:p w14:paraId="2F9CBFD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因设计变更、场地条件变化等导致责任不清的，由双方共同向建设单位提交书面说明，经建设单位及环境监理单位确认后划分责任；协商不成的，按合同约定的争议解决方式（如仲裁或诉讼）处理。</w:t>
      </w:r>
    </w:p>
    <w:p w14:paraId="7683F79F">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五、项目管理重点、难点分析</w:t>
      </w:r>
    </w:p>
    <w:p w14:paraId="5211B2DB">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（一）项目管理重点</w:t>
      </w:r>
    </w:p>
    <w:p w14:paraId="21E3679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本项目地理位置特殊而敏感，被关注度高，特别是项目紧邻周边建筑，基坑开挖前须做好周边建筑现状质量安全鉴定报告，鉴定报告作为治理单位编制周边建筑现状保护方案的前置条件。本项目必须做到不因施工而影响周边环境，安全文明施工管理工作是本项目管理重点。</w:t>
      </w:r>
    </w:p>
    <w:p w14:paraId="5F22D75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本项目基坑工程属一级基坑，编制好评基坑工程专项施工方案，专家评审通过后方可实施，做好周边建筑现状安全质量鉴定，按规范要求对基坑工程安全监控，确保周边建筑沉降和基坑变形不超过设计和规范要求，是本项目管理重点。</w:t>
      </w:r>
    </w:p>
    <w:p w14:paraId="571B4C8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3.本项目基坑施工如若跨越旱、雨两季，做好基坑安全检测、应急措施和保护工作，若遇险情，适时启动应急方案，确保基坑安全，是本项目管理重点。</w:t>
      </w:r>
    </w:p>
    <w:p w14:paraId="4EA87D3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 xml:space="preserve">4.本项目预计在 2025 年 10 月开始施工，至 2027 年 </w:t>
      </w:r>
      <w:r>
        <w:rPr>
          <w:rFonts w:hint="eastAsia" w:ascii="宋体" w:hAnsi="宋体" w:cs="宋体"/>
          <w:bCs/>
          <w:sz w:val="24"/>
          <w:szCs w:val="24"/>
          <w:highlight w:val="none"/>
          <w:lang w:val="en-US" w:eastAsia="zh-CN"/>
        </w:rPr>
        <w:t>4</w:t>
      </w:r>
      <w:r>
        <w:rPr>
          <w:rFonts w:hint="eastAsia" w:ascii="宋体" w:hAnsi="宋体" w:cs="宋体"/>
          <w:bCs/>
          <w:sz w:val="24"/>
          <w:szCs w:val="24"/>
          <w:highlight w:val="none"/>
        </w:rPr>
        <w:t xml:space="preserve"> 月完工，总工期 1</w:t>
      </w:r>
      <w:r>
        <w:rPr>
          <w:rFonts w:hint="eastAsia" w:ascii="宋体" w:hAnsi="宋体" w:cs="宋体"/>
          <w:bCs/>
          <w:sz w:val="24"/>
          <w:szCs w:val="24"/>
          <w:highlight w:val="none"/>
          <w:lang w:val="en-US" w:eastAsia="zh-CN"/>
        </w:rPr>
        <w:t>8</w:t>
      </w:r>
      <w:r>
        <w:rPr>
          <w:rFonts w:hint="eastAsia" w:ascii="宋体" w:hAnsi="宋体" w:cs="宋体"/>
          <w:bCs/>
          <w:sz w:val="24"/>
          <w:szCs w:val="24"/>
          <w:highlight w:val="none"/>
        </w:rPr>
        <w:t xml:space="preserve"> 个月，本项目涉及土壤治理工程，技术复杂、且有深化设计内容、施工场地狭窄、地理位置敏感等因素影响，如何确保各分部分项工程合理搭接，确保项目顺利推进，并按期完工是本项目管理重点。</w:t>
      </w:r>
    </w:p>
    <w:p w14:paraId="1731303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5.本项目需对花果山项目两个区域单元进行土壤修复治理以及风险管控，治理工程与支护工程工序之间的联系，充分流水施工，合理划分施工段，是本项目管理重点。</w:t>
      </w:r>
    </w:p>
    <w:p w14:paraId="7775335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6.本项目地处区域狭窄，污染土预处理后异地处置；修复工程中产生的废水、废气、废固处理；噪音的控制与建控；泥头车运输出发必须经过洗车槽冲洗干净，泥头车运输上路确保安全，基坑回填土方充分考虑场内转运是本项目管理重点。</w:t>
      </w:r>
    </w:p>
    <w:p w14:paraId="0BA1CF3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7.本项目污染土外运，需要提前与市主管部门联系，提前取得联单，发包人与承包人需要提前安排相关工作，此为本工程的管理重点。</w:t>
      </w:r>
    </w:p>
    <w:p w14:paraId="2404065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8.本项目需要建设预处理大棚，地面硬化隔离、地磅以及建设与土壤修复治理相关的配套设施。</w:t>
      </w:r>
    </w:p>
    <w:p w14:paraId="1040AE9F">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（二）项目管理难点</w:t>
      </w:r>
    </w:p>
    <w:p w14:paraId="1F04C6D0">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1.施工总平面布置管理难点</w:t>
      </w:r>
    </w:p>
    <w:p w14:paraId="011C472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本项目需承包人自行考虑建立材料加工区、工人住宿区和办公区，同时，为切实推进工程生产工作，材料堆放区、建筑垃圾临时堆放区、脚手架钢管等堆放、搭设等，应切实结合现场实际进行安排，此为项目管理的难点；</w:t>
      </w:r>
    </w:p>
    <w:p w14:paraId="7DA8129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项目下挖处理污染土超过 12 米，地下岩层复杂，土方开挖和外运工作量大，土方分层开挖、夜间土方装运和交通梳解，降噪降尘等施工措施为项目管理的难点。</w:t>
      </w:r>
    </w:p>
    <w:p w14:paraId="71A95748">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2.施工总承包管理及配合服务的难点</w:t>
      </w:r>
    </w:p>
    <w:p w14:paraId="510A0A6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项目地处市区中心，桩基础施工期间长，噪声控制，泥浆漫流，必须与属地街道、区建水局、区城管局建立联席工作机制，负责应对居民监督和投诉工作，此为本项目管理难点；</w:t>
      </w:r>
    </w:p>
    <w:p w14:paraId="7CFCC80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余泥运输要求高，出土泥头车冲洗干净，防超载，泥头车行驶安全教育和管理，必须建立多道设防安全管理机制，此为本项目管理难点。</w:t>
      </w:r>
    </w:p>
    <w:p w14:paraId="7D9EF297">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3.基坑施工管理难点</w:t>
      </w:r>
    </w:p>
    <w:p w14:paraId="3D305A4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项目场地东北西侧均有建筑，并且距离较近，基坑支护桩、止水施工对周边影响大，需要做好场地安排和周边安全文明施工工作，此为项目管理的难点。</w:t>
      </w:r>
    </w:p>
    <w:p w14:paraId="719E68E1">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4.防水工程施工管理难点</w:t>
      </w:r>
    </w:p>
    <w:p w14:paraId="03F6109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本项目在施工过程前，组织参建单位会审防水工程图纸，提出会审意见，同时编制有针对性防水工程施工方案，报环境监理单位和发包人审核，同意后实施，此为本项目的管理难点。</w:t>
      </w:r>
    </w:p>
    <w:p w14:paraId="40D29A43">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六、项目管理要求</w:t>
      </w:r>
    </w:p>
    <w:p w14:paraId="0977376C">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（一）工程实施总体要求</w:t>
      </w:r>
    </w:p>
    <w:p w14:paraId="3694E70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1.本工程地理位置特殊而敏感，被关注度高，是综合体建设工程，在工程建设实施过程中，必须采取有效措施，制定切实可行工作计划，实现工程的质量、职业健康安全、环境管理目标。</w:t>
      </w:r>
    </w:p>
    <w:p w14:paraId="0BFBB3C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中标单位的项目经理部组成人员必须满足或优于招标文件《项目经理部组成人员配备要求表》的要求，并提供相关人员的社保证明文件。工程实施过程中，发包人不要求更换时不得更换。因特殊情况需要更换的，中标单位应按合同约定完善更换手续，并保证更换人员的资质、资历、业绩、实际工作能力不低于前任人员的素质，同时提供更换人员的社保证明。在项目实施过程中，发包人将对中标单位的主要技术及管理人员驻场办公时间进行考核，考核结果作为现场管理费支付的依据。</w:t>
      </w:r>
    </w:p>
    <w:p w14:paraId="51784355">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（二）施工管理要点</w:t>
      </w:r>
    </w:p>
    <w:p w14:paraId="1DCFE02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本项目的关键工序是土壤治理能否顺利完成，将污染地块移出建设用地土壤污染风险管控和修复名录清单，取得有关生态环境主管部门批准选址涉及该污染地块的建设项目环境影响报告书或者报告表。同时文明施工、降尘，废水，废气，废固处理，噪音控制和监控也是该项目的重心，涉及基坑支护后开展土壤治理工程，基本上步入多专业交叉作业阶段，必须进行总承包与专业承包协同管理，对交叉作业区域按专业、按时序等进行推进。</w:t>
      </w:r>
    </w:p>
    <w:p w14:paraId="1FA9AC9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2.治理单位必须在进场后有针对性成立项目管理架构，相应人员到岗履职，建设单位将对管理人员进行考勤，脱岗离职者将给予一般违约处罚。主要施工要点如下：</w:t>
      </w:r>
    </w:p>
    <w:p w14:paraId="4896859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基坑施工（由总承包单位负责）：</w:t>
      </w:r>
      <w:r>
        <w:rPr>
          <w:rFonts w:hint="eastAsia" w:ascii="宋体" w:hAnsi="宋体" w:cs="宋体"/>
          <w:bCs/>
          <w:sz w:val="24"/>
          <w:szCs w:val="24"/>
          <w:highlight w:val="none"/>
        </w:rPr>
        <w:t>本项目基坑工程若跨越雨季和旱季，施工周期长且距离办公楼较近，基坑工程安全监测工作显得尤其重要，必须做好基坑安全预警和抢救技术方案，投标时对此进行专项说明，责任和费用包干；</w:t>
      </w:r>
    </w:p>
    <w:p w14:paraId="617345A3">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周边房屋保护：</w:t>
      </w:r>
      <w:r>
        <w:rPr>
          <w:rFonts w:hint="eastAsia" w:ascii="宋体" w:hAnsi="宋体" w:cs="宋体"/>
          <w:bCs/>
          <w:sz w:val="24"/>
          <w:szCs w:val="24"/>
          <w:highlight w:val="none"/>
        </w:rPr>
        <w:t>本项目基坑工程紧邻四周建筑，距离较近，在基坑开挖前做好红线外建筑房屋鉴定及房屋保护加固工作，治理单位投标时须对此进行专项说明，责任包干；</w:t>
      </w:r>
    </w:p>
    <w:p w14:paraId="241F46B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本项目红线内施工内容必须与红线线外永久电、水和通讯等设施同步实施，同步验收和同步投入使用，治理单位须对此进行充分配合，投标时进行专项说明；</w:t>
      </w:r>
    </w:p>
    <w:p w14:paraId="7FD2A3F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使用单位、建设单位另行委托合同内容，治理单位须充分配合另行委托合同材料、设备的吊装，安放和调试工作，治理单位投标时对此进行专项说明，费用包干；</w:t>
      </w:r>
    </w:p>
    <w:p w14:paraId="74C2323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现场垂直运输管理和建筑垃圾清运，场地内转运属施工总承包管理范筹，治理单位投标时对此进行专项说明，费用包干；</w:t>
      </w:r>
    </w:p>
    <w:p w14:paraId="11465FB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对于信息化工程、给排水工程、供配电工程、空调工程、电梯工程等，须在墙体开凿孔洞，相关工程安装完成后，封堵孔洞，属施工总承包合同范筹，治理单位投标时对此进行专项说明，费用包干；</w:t>
      </w:r>
    </w:p>
    <w:p w14:paraId="4E5625A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本合同治理单位属施工总承包单位，对各专业工程验收、移交承担总承包职责，治理单位须对专业工程单位进行总承包管理，安排专职人员负责验收、移交工作。若此项工作经环境监理单位或建设单位考核，专职人员未安排或脱岗离职，将给予治理单位一般违约处罚。</w:t>
      </w:r>
    </w:p>
    <w:p w14:paraId="3FDE3629">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（三）协调管理要点</w:t>
      </w:r>
    </w:p>
    <w:p w14:paraId="5F0BC9B9">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土壤治理的协调管理要求</w:t>
      </w:r>
    </w:p>
    <w:p w14:paraId="0D776E66">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1.内部协调管理</w:t>
      </w:r>
    </w:p>
    <w:p w14:paraId="34C2BB06">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治理单位内部协调：</w:t>
      </w:r>
      <w:r>
        <w:rPr>
          <w:rFonts w:hint="eastAsia" w:ascii="宋体" w:hAnsi="宋体" w:cs="宋体"/>
          <w:bCs/>
          <w:sz w:val="24"/>
          <w:szCs w:val="24"/>
          <w:highlight w:val="none"/>
        </w:rPr>
        <w:t>建立项目管理团队，明确项目经理、技术负责人、施工队长、安全员、资料员等岗位职责，形成 “项目经理统筹，各岗位分工协作” 的管理体系。项目经理需每周组织内部协调会，汇总各岗位工作进展，解决施工中出现的人员调配、设备使用、工序衔接等问题，会议纪要需存档备查。技术部门与施工部门需紧密沟通，技术负责人需向施工队长详细交底治理方案中的技术要点、质量标准和安全注意事项，施工队长在施工过程中遇到技术难题需及时反馈给技术负责人，共同研究解决方案。例如，在土壤固化 / 稳定化施工中，若发现土壤含水率与方案不符，施工队长需立即通知技术负责人，技术负责人需现场调整固化剂配比。安全管理部门需与各施工班组协调配合，定期开展安全检查和培训，安全员需对施工过程中的安全隐患进行排查，对发现的问题下达整改通知书，施工班组需按要求及时整改，确保施工安全。</w:t>
      </w:r>
    </w:p>
    <w:p w14:paraId="38AE6FDA">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施工班组间协调：</w:t>
      </w:r>
      <w:r>
        <w:rPr>
          <w:rFonts w:hint="eastAsia" w:ascii="宋体" w:hAnsi="宋体" w:cs="宋体"/>
          <w:bCs/>
          <w:sz w:val="24"/>
          <w:szCs w:val="24"/>
          <w:highlight w:val="none"/>
        </w:rPr>
        <w:t>不同施工班组（如挖掘班组、运输班组、处理班组）需按照分项进度计划开展工作，明确各班组的施工范围和工作界面，避免交叉作业冲突。挖掘班组与运输班组需协调好土壤开挖与运输的节奏，确保挖掘出的污染土壤能够及时运走，不积压在施工现场；运输班组与处理班组需约定好土壤交付时间和地点，保证处理设备连续稳定运行。建立班组间信息沟通机制，各班组每日需向施工队长汇报工作完成情况和次日工作计划，施工队长根据各班组情况合理安排工作，确保各工序衔接顺畅。如遇特殊情况（如设备故障、天气影响）导致某一班组工作滞后，施工队长需及时协调其他班组支援或调整工作安排。</w:t>
      </w:r>
    </w:p>
    <w:p w14:paraId="729C71ED">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2.与外部单位协调管理</w:t>
      </w:r>
    </w:p>
    <w:p w14:paraId="30BD22F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与建设单位的协调：</w:t>
      </w:r>
      <w:r>
        <w:rPr>
          <w:rFonts w:hint="eastAsia" w:ascii="宋体" w:hAnsi="宋体" w:cs="宋体"/>
          <w:bCs/>
          <w:sz w:val="24"/>
          <w:szCs w:val="24"/>
          <w:highlight w:val="none"/>
        </w:rPr>
        <w:t>治理单位需指定专人与建设单位对接，每周向建设单位提交项目进度报告，汇报工程进展、存在问题及下一步工作计划。对于建设单位提出的变更要求（如调整治理范围、修改治理目标），需及时组织内部讨论，评估对工期、成本和质量的影响，形成书面意见反馈给建设单位，经确认后实施。积极参加建设单位组织的协调会议，配合建设单位协调与其他参建单位的关系，及时响应建设单位的指令和要求。在涉及工程验收、款项支付等关键环节，需与建设单位充分沟通，确保各项工作符合建设单位的要求和相关规定。</w:t>
      </w:r>
    </w:p>
    <w:p w14:paraId="3F0D834C">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与总承包单位的协调：</w:t>
      </w:r>
      <w:r>
        <w:rPr>
          <w:rFonts w:hint="eastAsia" w:ascii="宋体" w:hAnsi="宋体" w:cs="宋体"/>
          <w:bCs/>
          <w:sz w:val="24"/>
          <w:szCs w:val="24"/>
          <w:highlight w:val="none"/>
        </w:rPr>
        <w:t>按照之前确定的配合机制和进度协同要求，与总承包单位保持密切沟通。定期交换施工进度计划，共同协商场地使用、临时设施共享、水电接口供应等事宜。例如，在场地移交方面，治理单位需在规定时间内完成治理区域的清理和验收，及时向总承包单位移交场地，为后续建设工程创造条件。对于交叉作业区域，需与总承包单位共同制定施工方案和安全防护措施，明确双方的责任和义务。在施工过程中，若因施工工序交叉产生矛盾，需本着 “相互理解、相互配合” 的原则协商解决，必要时可请求建设单位协调。</w:t>
      </w:r>
    </w:p>
    <w:p w14:paraId="2B088694">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与监理单位的协调：</w:t>
      </w:r>
      <w:r>
        <w:rPr>
          <w:rFonts w:hint="eastAsia" w:ascii="宋体" w:hAnsi="宋体" w:cs="宋体"/>
          <w:bCs/>
          <w:sz w:val="24"/>
          <w:szCs w:val="24"/>
          <w:highlight w:val="none"/>
        </w:rPr>
        <w:t>接受监理单位的监督和管理，配合监理单位开展质量、进度、安全等方面的检查工作，及时提供监理单位所需的资料和数据。对于监理单位提出的整改意见，需认真对待，及时组织整改，并将整改结果反馈给监理单位验收。参加监理单位组织的监理例会，汇报工程进展和质量情况，听取监理单位的意见和建议，对监理单位提出的问题及时回应和处理。在关键工序施工前，需提前通知监理单位进行旁站监理，确保施工过程符合规范和设计要求。</w:t>
      </w:r>
    </w:p>
    <w:p w14:paraId="17BDA78C">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与第三方机构的协调：</w:t>
      </w:r>
      <w:r>
        <w:rPr>
          <w:rFonts w:hint="eastAsia" w:ascii="宋体" w:hAnsi="宋体" w:cs="宋体"/>
          <w:bCs/>
          <w:sz w:val="24"/>
          <w:szCs w:val="24"/>
          <w:highlight w:val="none"/>
        </w:rPr>
        <w:t>与第三方监测机构建立良好的合作关系，明确监测范围、监测频率、监测项目和报告提交时间等要求。及时为监测机构提供必要的工作条件（如采样通道、监测点位 access），配合监测机构开展现场采样和监测工作。对于监测数据存在异议的情况，需与监测机构沟通核实，共同分析原因。若涉及第三方评估机构，需积极配合评估机构开展治理效果评估工作，提供评估所需的工程资料、监测数据和现场情况等信息。对评估机构提出的问题和建议，需认真研究并采取相应的措施进行整改。</w:t>
      </w:r>
    </w:p>
    <w:p w14:paraId="6A4174C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与政府部门的协调：</w:t>
      </w:r>
      <w:r>
        <w:rPr>
          <w:rFonts w:hint="eastAsia" w:ascii="宋体" w:hAnsi="宋体" w:cs="宋体"/>
          <w:bCs/>
          <w:sz w:val="24"/>
          <w:szCs w:val="24"/>
          <w:highlight w:val="none"/>
        </w:rPr>
        <w:t>遵守广州市生态环境局、住建局等政府部门的相关规定，及时办理项目所需的各项审批手续（如污染土壤转运备案、夜间施工许可等）。在办理审批过程中，需与政府部门保持沟通，了解审批要求和流程，确保审批工作顺利进行。接受政府部门的监督检查，积极配合政府部门开展的环保、安全等方面的检查工作，对检查中发现的问题及时整改，并将整改情况上报政府部门。</w:t>
      </w:r>
    </w:p>
    <w:p w14:paraId="4A21FDC1">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3.冲突解决机制</w:t>
      </w:r>
    </w:p>
    <w:p w14:paraId="7A46B90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内部冲突解决：</w:t>
      </w:r>
      <w:r>
        <w:rPr>
          <w:rFonts w:hint="eastAsia" w:ascii="宋体" w:hAnsi="宋体" w:cs="宋体"/>
          <w:bCs/>
          <w:sz w:val="24"/>
          <w:szCs w:val="24"/>
          <w:highlight w:val="none"/>
        </w:rPr>
        <w:t>治理单位内部各部门或班组之间发生冲突时，由项目经理牵头组织协调，通过沟通协商解决。若协商不成，可提交公司管理层裁决，确保冲突得到及时解决，不影响工程进度。建立冲突记录制度，对发生的冲突及解决过程进行记录，分析冲突产生的原因，总结经验教训，避免类似冲突再次发生。</w:t>
      </w:r>
    </w:p>
    <w:p w14:paraId="092AC93F">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外部冲突解决：</w:t>
      </w:r>
      <w:r>
        <w:rPr>
          <w:rFonts w:hint="eastAsia" w:ascii="宋体" w:hAnsi="宋体" w:cs="宋体"/>
          <w:bCs/>
          <w:sz w:val="24"/>
          <w:szCs w:val="24"/>
          <w:highlight w:val="none"/>
        </w:rPr>
        <w:t>与外部单位发生冲突时，首先应通过友好协商解决，明确双方的诉求和分歧点，寻求双方都能接受的解决方案。在协商过程中，需保持冷静和理性，避免情绪化行为。若协商不成，可请求建设单位或监理单位进行调解。建设单位或监理单位应根据相关法律法规和合同约定，公正、公平地进行调解，提出解决方案。若调解仍无法解决冲突，可按照合同约定的争议解决方式（如仲裁或诉讼）处理，通过法律途径维护自身合法权益。</w:t>
      </w:r>
    </w:p>
    <w:p w14:paraId="12801149">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4.信息沟通与共享</w:t>
      </w:r>
    </w:p>
    <w:p w14:paraId="4DD07100">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信息沟通渠道：</w:t>
      </w:r>
      <w:r>
        <w:rPr>
          <w:rFonts w:hint="eastAsia" w:ascii="宋体" w:hAnsi="宋体" w:cs="宋体"/>
          <w:bCs/>
          <w:sz w:val="24"/>
          <w:szCs w:val="24"/>
          <w:highlight w:val="none"/>
        </w:rPr>
        <w:t>建立多样化的信息沟通渠道，包括定期会议（如周例会、月例会）、书面报告（如进度报告、整改报告）、电话、微信群、邮件等，确保信息传递及时、准确。对于重要信息（如工程变更、安全事故、质量问题等），需采用书面形式传递，并由双方签字确认，确保信息的可追溯性。</w:t>
      </w:r>
    </w:p>
    <w:p w14:paraId="6142D40F">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信息共享平台：</w:t>
      </w:r>
      <w:r>
        <w:rPr>
          <w:rFonts w:hint="eastAsia" w:ascii="宋体" w:hAnsi="宋体" w:cs="宋体"/>
          <w:bCs/>
          <w:sz w:val="24"/>
          <w:szCs w:val="24"/>
          <w:highlight w:val="none"/>
        </w:rPr>
        <w:t>搭建信息共享平台（如项目管理软件、共享文件夹等），将项目进度计划、施工图纸、监测数据、会议纪要、审批文件等资料上传至平台，供各参与方查阅和使用，实现信息共享和协同工作。明确信息共享的权限和范围，确保信息的安全性和保密性，防止信息泄露。</w:t>
      </w:r>
    </w:p>
    <w:p w14:paraId="580F2B34">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（四）进度管理要求</w:t>
      </w:r>
    </w:p>
    <w:p w14:paraId="3DE6D07D">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1.进度计划编制与审批</w:t>
      </w:r>
    </w:p>
    <w:p w14:paraId="2F196869">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计划层级体系：</w:t>
      </w:r>
      <w:r>
        <w:rPr>
          <w:rFonts w:hint="eastAsia" w:ascii="宋体" w:hAnsi="宋体" w:cs="宋体"/>
          <w:bCs/>
          <w:sz w:val="24"/>
          <w:szCs w:val="24"/>
          <w:highlight w:val="none"/>
        </w:rPr>
        <w:t>治理单位需在项目启动后 15 个工作日内，编制三级进度计划，形成完整管控体系。</w:t>
      </w:r>
    </w:p>
    <w:p w14:paraId="710844F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总进度计划：明确项目整体工期（需符合建设单位对地块建设的总工期要求），涵盖方案审批、设备进场、土方开挖、治理施工、验收备案等关键阶段，标注各阶段的开始时间、完成时间及里程碑节点（如 “治理工程过半”“第三方评估启动”）。</w:t>
      </w:r>
    </w:p>
    <w:p w14:paraId="4111B7E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分项进度计划：按治理工艺（如土壤淋洗、热脱附、固化稳定化）或施工分区拆分，明确各分项工程的工序衔接（如 “污染土壤开挖→暂存→运输→处理” 的流水作业逻辑），细化至每周工作任务。</w:t>
      </w:r>
    </w:p>
    <w:p w14:paraId="190AA46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专项保障计划：针对材料采购（如防渗膜生产周期、药剂供货时效）、设备调试（如热脱附机组安装调试需 7 个工作日）、监测检测（如第三方采样及报告出具周期）等支撑环节，制定专项时间节点，确保与施工进度匹配。</w:t>
      </w:r>
    </w:p>
    <w:p w14:paraId="3680FFD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审批与备案要求：</w:t>
      </w:r>
      <w:r>
        <w:rPr>
          <w:rFonts w:hint="eastAsia" w:ascii="宋体" w:hAnsi="宋体" w:cs="宋体"/>
          <w:bCs/>
          <w:sz w:val="24"/>
          <w:szCs w:val="24"/>
          <w:highlight w:val="none"/>
        </w:rPr>
        <w:t>进度计划需经监理单位审核（重点核查工序合理性、资源匹配度）、建设单位批准后实施，并报广州市生态环境局备案。若项目涉及分期治理，需单独编制每期进度计划，且每期计划的完成时间需满足 “前一期验收通过后 30 日内启动下一期施工” 的衔接要求。</w:t>
      </w:r>
    </w:p>
    <w:p w14:paraId="7F1E98F4">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2.进度分级管控</w:t>
      </w:r>
    </w:p>
    <w:p w14:paraId="4CFCC1B6">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关键节点管控：</w:t>
      </w:r>
      <w:r>
        <w:rPr>
          <w:rFonts w:hint="eastAsia" w:ascii="宋体" w:hAnsi="宋体" w:cs="宋体"/>
          <w:bCs/>
          <w:sz w:val="24"/>
          <w:szCs w:val="24"/>
          <w:highlight w:val="none"/>
        </w:rPr>
        <w:t>以下节点需作为一级管控点，实行 “节点未达标即预警” 机制。</w:t>
      </w:r>
    </w:p>
    <w:p w14:paraId="3B34F52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方案专家评审通过（逾期需向建设单位提交书面说明，延误超 10 个工作日需重新评估工期）；</w:t>
      </w:r>
    </w:p>
    <w:p w14:paraId="6154EAA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污染土壤开挖及转运完成（需与地块建设的场地移交时间联动，确保不影响后续地基施工）；</w:t>
      </w:r>
    </w:p>
    <w:p w14:paraId="2C314F4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治理主体工程完工（需预留至少 15 个工作日用于第三方评估）；</w:t>
      </w:r>
    </w:p>
    <w:p w14:paraId="43765E0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验收合格并完成备案（需在地块建设施工许可证办理前完成，否则影响整体进度）。</w:t>
      </w:r>
    </w:p>
    <w:p w14:paraId="34635CB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日常进度跟踪：</w:t>
      </w:r>
      <w:r>
        <w:rPr>
          <w:rFonts w:hint="eastAsia" w:ascii="宋体" w:hAnsi="宋体" w:cs="宋体"/>
          <w:bCs/>
          <w:sz w:val="24"/>
          <w:szCs w:val="24"/>
          <w:highlight w:val="none"/>
        </w:rPr>
        <w:t>治理单位每日提交《施工日报》，记录当日完成工程量（如 “今日完成 200 立方米污染土壤淋洗”）、累计完成比例、资源投入（人员、设备数量）及滞后原因（如降雨导致无法开挖）。监理单位每周组织进度核查会，对比计划与实际进度，若某分项工程滞后超 3 个工作日，需启动偏差分析，治理单位需 24 小时内提交《进度纠偏方案》（如增加设备投入、延长作业时间）。</w:t>
      </w:r>
    </w:p>
    <w:p w14:paraId="560DD2E3">
      <w:pPr>
        <w:widowControl/>
        <w:shd w:val="clear" w:color="auto" w:fill="FFFFFF"/>
        <w:spacing w:line="360" w:lineRule="auto"/>
        <w:ind w:firstLine="426" w:firstLineChars="177"/>
        <w:jc w:val="left"/>
        <w:rPr>
          <w:rFonts w:hint="eastAsia" w:ascii="宋体" w:hAnsi="宋体" w:cs="宋体"/>
          <w:b/>
          <w:sz w:val="24"/>
          <w:szCs w:val="24"/>
          <w:highlight w:val="none"/>
        </w:rPr>
      </w:pPr>
      <w:r>
        <w:rPr>
          <w:rFonts w:hint="eastAsia" w:ascii="宋体" w:hAnsi="宋体" w:cs="宋体"/>
          <w:b/>
          <w:sz w:val="24"/>
          <w:szCs w:val="24"/>
          <w:highlight w:val="none"/>
        </w:rPr>
        <w:t>3.协同与衔接机制</w:t>
      </w:r>
    </w:p>
    <w:p w14:paraId="06FD36BC">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与总承包单位的进度协同：</w:t>
      </w:r>
      <w:r>
        <w:rPr>
          <w:rFonts w:hint="eastAsia" w:ascii="宋体" w:hAnsi="宋体" w:cs="宋体"/>
          <w:bCs/>
          <w:sz w:val="24"/>
          <w:szCs w:val="24"/>
          <w:highlight w:val="none"/>
        </w:rPr>
        <w:t>每月向总承包单位提交《进度协调单》，明确治理区域与主体建设区域的场地移交时间（如 “A 区治理完成后 5 个工作日内移交总承包单位进行垫层施工”），避免交叉作业冲突。若建设单位调整地块建设工期，治理单位需在收到通知后 5 个工作日内，重新调整进度计划，经审批后执行，确保 “治理进度服从建设大局”。</w:t>
      </w:r>
    </w:p>
    <w:p w14:paraId="6A599CF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外部单位对接时效：</w:t>
      </w:r>
      <w:r>
        <w:rPr>
          <w:rFonts w:hint="eastAsia" w:ascii="宋体" w:hAnsi="宋体" w:cs="宋体"/>
          <w:bCs/>
          <w:sz w:val="24"/>
          <w:szCs w:val="24"/>
          <w:highlight w:val="none"/>
        </w:rPr>
        <w:t>与第三方监测机构约定 “采样后 3 个工作日内出具初步数据，7 个工作日内提交正式报告” 的响应时限，避免因数据滞后影响工序验收。涉及广州市生态环境局的审批事项（如污染土壤跨区转运备案），需提前 5 个工作日提交申请材料，跟踪审批进度，确保不延误施工。</w:t>
      </w:r>
    </w:p>
    <w:p w14:paraId="22CEBBD8">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4.进度动态调整与保障</w:t>
      </w:r>
    </w:p>
    <w:p w14:paraId="53567504">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异常情况处理：</w:t>
      </w:r>
      <w:r>
        <w:rPr>
          <w:rFonts w:hint="eastAsia" w:ascii="宋体" w:hAnsi="宋体" w:cs="宋体"/>
          <w:bCs/>
          <w:sz w:val="24"/>
          <w:szCs w:val="24"/>
          <w:highlight w:val="none"/>
        </w:rPr>
        <w:t>因不可抗力（如台风、暴雨）导致停工的，治理单位需在复工后 2 个工作日内，核算停工天数，制定赶工计划（如增加班组、采用两班制），并报建设单位批准，赶工期间需确保环保措施不降级（如夜间施工需合规办理许可）。因技术问题（如治理效果未达预期需调整工艺）导致进度滞后的，需同步启动技术攻关与进度调整，必要时邀请原方案评审专家参与解决方案制定，避免盲目赶工影响质量。</w:t>
      </w:r>
    </w:p>
    <w:p w14:paraId="16646EF7">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资源保障措施：</w:t>
      </w:r>
      <w:r>
        <w:rPr>
          <w:rFonts w:hint="eastAsia" w:ascii="宋体" w:hAnsi="宋体" w:cs="宋体"/>
          <w:bCs/>
          <w:sz w:val="24"/>
          <w:szCs w:val="24"/>
          <w:highlight w:val="none"/>
        </w:rPr>
        <w:t>建立 “设备备用库”，针对关键设备（如挖掘机、淋洗主机）储备备用机组，确保单台设备故障时 3 小时内替换，减少停机影响。与材料供应商签订《紧急供货协议》，约定 “48 小时内送达” 的应急条款，避免因材料短缺停工。</w:t>
      </w:r>
    </w:p>
    <w:p w14:paraId="7A23C513">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5.进度验收与考核</w:t>
      </w:r>
    </w:p>
    <w:p w14:paraId="09F6CA64">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阶段性验收：</w:t>
      </w:r>
      <w:r>
        <w:rPr>
          <w:rFonts w:hint="eastAsia" w:ascii="宋体" w:hAnsi="宋体" w:cs="宋体"/>
          <w:bCs/>
          <w:sz w:val="24"/>
          <w:szCs w:val="24"/>
          <w:highlight w:val="none"/>
        </w:rPr>
        <w:t>每个分项工程完成后，需进行进度验收，验收内容包括：是否按计划完成工程量、工序衔接是否顺畅、资源投入是否合理，验收结果作为支付工程进度款的依据之一。</w:t>
      </w:r>
    </w:p>
    <w:p w14:paraId="75B368D9">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最终进度考核：</w:t>
      </w:r>
      <w:r>
        <w:rPr>
          <w:rFonts w:hint="eastAsia" w:ascii="宋体" w:hAnsi="宋体" w:cs="宋体"/>
          <w:bCs/>
          <w:sz w:val="24"/>
          <w:szCs w:val="24"/>
          <w:highlight w:val="none"/>
        </w:rPr>
        <w:t>项目完工后，建设单位根据总进度计划对治理单位进行考核，若提前完成且质量合格，可给予一定奖励；若因治理单位原因导致总工期延误，需按合同约定支付违约金（延误超 30 天，违约金比例可适当提高），同时延误导致地块建设工期滞后的，需承担连带赔偿责任。</w:t>
      </w:r>
    </w:p>
    <w:p w14:paraId="43972EB3">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（五）质量管理要求</w:t>
      </w:r>
    </w:p>
    <w:p w14:paraId="340BAC96">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1.前期准备阶段质量管理</w:t>
      </w:r>
    </w:p>
    <w:p w14:paraId="23153BE3">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方案编制与审批：</w:t>
      </w:r>
      <w:r>
        <w:rPr>
          <w:rFonts w:hint="eastAsia" w:ascii="宋体" w:hAnsi="宋体" w:cs="宋体"/>
          <w:bCs/>
          <w:sz w:val="24"/>
          <w:szCs w:val="24"/>
          <w:highlight w:val="none"/>
        </w:rPr>
        <w:t>土壤治理方案需由具备相应资质的单位编制，内容涵盖污染现状分析、治理目标、技术路线、施工工艺、环保措施、质量控制节点等，且需符合《污染地块土壤环境管理办法》及广州市地方技术导则。方案编制完成后，需组织专家评审，评审通过并报广州市生态环境局备案后方可实施。方案中涉及的治理目标需明确具体，如重金属污染土壤中铅的修复目标值需符合《土壤环境质量 建设用地土壤污染风险管控标准（GB 36600-2018）》中对应用地类型的要求，且不得低于广州市相关规划的管控值。</w:t>
      </w:r>
    </w:p>
    <w:p w14:paraId="606237D8">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技术与人员准备：</w:t>
      </w:r>
      <w:r>
        <w:rPr>
          <w:rFonts w:hint="eastAsia" w:ascii="宋体" w:hAnsi="宋体" w:cs="宋体"/>
          <w:bCs/>
          <w:sz w:val="24"/>
          <w:szCs w:val="24"/>
          <w:highlight w:val="none"/>
        </w:rPr>
        <w:t>治理单位需组织技术人员对治理方案进行交底，确保参与施工的人员熟悉方案中的技术要求、质量标准及关键工序。针对复杂治理工艺（如异位热脱附、生物修复），需对操作人员进行专项培训，考核合格后方可上岗。配备满足项目需求的检测人员及设备，检测人员需具备相应的专业资质，检测设备需经计量检定合格且在有效期内，确保能够对治理过程中的关键指标进行准确检测。</w:t>
      </w:r>
    </w:p>
    <w:p w14:paraId="423A69C3">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2.施工过程质量管理</w:t>
      </w:r>
    </w:p>
    <w:p w14:paraId="00E130F1">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材料与药剂管理：</w:t>
      </w:r>
      <w:r>
        <w:rPr>
          <w:rFonts w:hint="eastAsia" w:ascii="宋体" w:hAnsi="宋体" w:cs="宋体"/>
          <w:bCs/>
          <w:sz w:val="24"/>
          <w:szCs w:val="24"/>
          <w:highlight w:val="none"/>
        </w:rPr>
        <w:t>治理过程中使用的材料（如固化剂、稳定剂、淋洗剂、防渗膜等）需符合国家及行业标准，并提供出厂合格证、质量检验报告等证明文件。进场前，监理单位需进行抽样检验，检验合格后方可使用。化学药剂的储存、运输及使用需严格遵守相关规定，建立药剂台账，记录药剂的采购量、使用量、库存量及去向。使用时需按照方案要求的配比和方式进行投放，确保药剂用量准确，避免因药剂过量或不足影响治理效果。</w:t>
      </w:r>
    </w:p>
    <w:p w14:paraId="4FB1195E">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工序质量控制：</w:t>
      </w:r>
      <w:r>
        <w:rPr>
          <w:rFonts w:hint="eastAsia" w:ascii="宋体" w:hAnsi="宋体" w:cs="宋体"/>
          <w:bCs/>
          <w:sz w:val="24"/>
          <w:szCs w:val="24"/>
          <w:highlight w:val="none"/>
        </w:rPr>
        <w:t>各施工工序需制定明确的质量控制标准和验收程序，上一道工序验收合格后方可进入下一道工序。例如，土壤挖掘过程中，需控制挖掘深度和范围，避免遗漏污染区域；土壤淋洗工序中，需控制淋洗时间、药剂浓度等参数，确保污染物去除效果。对于关键工序（如防渗层施工、污染土壤转运、热脱附设备运行等），需实行旁站监理，监理人员需全程监督施工过程，记录施工参数和质量情况，发现问题及时要求整改。</w:t>
      </w:r>
    </w:p>
    <w:p w14:paraId="5B1D299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监测与检测：</w:t>
      </w:r>
      <w:r>
        <w:rPr>
          <w:rFonts w:hint="eastAsia" w:ascii="宋体" w:hAnsi="宋体" w:cs="宋体"/>
          <w:bCs/>
          <w:sz w:val="24"/>
          <w:szCs w:val="24"/>
          <w:highlight w:val="none"/>
        </w:rPr>
        <w:t>施工过程中需定期对土壤、地下水、废气、废水等进行监测，监测频率根据治理工艺和污染程度确定。监测项目包括特征污染物浓度、pH 值、温度等，监测数据需及时反馈给项目管理团队，作为调整施工参数和评估治理效果的依据。委托第三方检测机构进行平行样检测，确保监测数据的准确性和可靠性。第三方检测机构需具备相应的检测资质，检测方法需符合国家标准或行业标准。</w:t>
      </w:r>
    </w:p>
    <w:p w14:paraId="6D34D046">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3.验收阶段质量管理</w:t>
      </w:r>
    </w:p>
    <w:p w14:paraId="4A821C05">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竣工资料审核：</w:t>
      </w:r>
      <w:r>
        <w:rPr>
          <w:rFonts w:hint="eastAsia" w:ascii="宋体" w:hAnsi="宋体" w:cs="宋体"/>
          <w:bCs/>
          <w:sz w:val="24"/>
          <w:szCs w:val="24"/>
          <w:highlight w:val="none"/>
        </w:rPr>
        <w:t>治理单位需提交完整的竣工资料，包括治理方案、施工记录、监测报告、设备运行日志、材料质量证明文件、监理报告等。竣工资料需真实、准确、完整，能够反映治理工程的全过程。监理单位对竣工资料进行审核，重点检查资料的完整性、规范性和一致性，对发现的问题要求治理单位及时整改。</w:t>
      </w:r>
    </w:p>
    <w:p w14:paraId="00971CA6">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现场验收：</w:t>
      </w:r>
      <w:r>
        <w:rPr>
          <w:rFonts w:hint="eastAsia" w:ascii="宋体" w:hAnsi="宋体" w:cs="宋体"/>
          <w:bCs/>
          <w:sz w:val="24"/>
          <w:szCs w:val="24"/>
          <w:highlight w:val="none"/>
        </w:rPr>
        <w:t>现场验收由建设单位组织，邀请治理单位、监理单位、第三方评估机构及广州市生态环境局等相关单位参加。验收内容包括治理范围、治理效果、环保措施落实情况等。现场采样监测需按照验收方案进行，采样点的布设需具有代表性，监测项目需涵盖治理目标中规定的污染物。监测结果需满足治理目标值及相关标准要求，否则需进行整改。</w:t>
      </w:r>
    </w:p>
    <w:p w14:paraId="10F4CA2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效果评估：</w:t>
      </w:r>
      <w:r>
        <w:rPr>
          <w:rFonts w:hint="eastAsia" w:ascii="宋体" w:hAnsi="宋体" w:cs="宋体"/>
          <w:bCs/>
          <w:sz w:val="24"/>
          <w:szCs w:val="24"/>
          <w:highlight w:val="none"/>
        </w:rPr>
        <w:t>第三方评估机构根据监测数据和竣工资料，对治理效果进行评估，出具评估报告。评估报告需明确治理工程是否达到预期目标，对存在的问题提出整改建议。建设单位根据评估报告和现场验收情况，做出验收结论。验收合格的，出具验收合格证明；验收不合格的，要求治理单位限期整改，整改完成后重新进行验收。</w:t>
      </w:r>
    </w:p>
    <w:p w14:paraId="6B95F86E">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4.质保期质量管理</w:t>
      </w:r>
    </w:p>
    <w:p w14:paraId="2C4AB16F">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定期监测与维护：</w:t>
      </w:r>
      <w:r>
        <w:rPr>
          <w:rFonts w:hint="eastAsia" w:ascii="宋体" w:hAnsi="宋体" w:cs="宋体"/>
          <w:bCs/>
          <w:sz w:val="24"/>
          <w:szCs w:val="24"/>
          <w:highlight w:val="none"/>
        </w:rPr>
        <w:t>质保期内，治理单位需按照规定的频率对治理区域进行监测，监测项目和监测方法与验收阶段一致。监测数据需及时报送建设单位和广州市生态环境局，确保土壤质量的稳定性。对治理过程中使用的设备和设施进行定期维护和保养，确保其正常运行。如发现设备故障或设施损坏，需及时维修或更换。</w:t>
      </w:r>
    </w:p>
    <w:p w14:paraId="3DD1F13E">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问题处理与反馈：</w:t>
      </w:r>
      <w:r>
        <w:rPr>
          <w:rFonts w:hint="eastAsia" w:ascii="宋体" w:hAnsi="宋体" w:cs="宋体"/>
          <w:bCs/>
          <w:sz w:val="24"/>
          <w:szCs w:val="24"/>
          <w:highlight w:val="none"/>
        </w:rPr>
        <w:t>质保期内若发现土壤质量异常或出现其他问题，治理单位需及时组织排查，分析原因并采取相应的处理措施。处理结果需报送建设单位和广州市生态环境局，并记录在案。建立质量反馈机制，收集建设单位、使用单位及公众对治理效果的意见和建议，不断改进质量管理工作。</w:t>
      </w:r>
    </w:p>
    <w:p w14:paraId="201FDA27">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5.质量责任与追溯</w:t>
      </w:r>
    </w:p>
    <w:p w14:paraId="6DC5721D">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责任划分：</w:t>
      </w:r>
      <w:r>
        <w:rPr>
          <w:rFonts w:hint="eastAsia" w:ascii="宋体" w:hAnsi="宋体" w:cs="宋体"/>
          <w:bCs/>
          <w:sz w:val="24"/>
          <w:szCs w:val="24"/>
          <w:highlight w:val="none"/>
        </w:rPr>
        <w:t>治理单位对土壤治理工程的质量负总责，确保治理效果符合相关标准和要求。监理单位对施工过程的质量控制负监理责任，第三方检测机构对监测数据的准确性负检测责任。明确各参与方的质量责任，签订质量责任书，对因质量问题造成的损失和影响，依法追究相关单位和人员的责任。</w:t>
      </w:r>
    </w:p>
    <w:p w14:paraId="66EF44FE">
      <w:pPr>
        <w:widowControl/>
        <w:shd w:val="clear" w:color="auto" w:fill="FFFFFF"/>
        <w:spacing w:line="360" w:lineRule="auto"/>
        <w:ind w:firstLine="426" w:firstLineChars="177"/>
        <w:jc w:val="left"/>
        <w:rPr>
          <w:rFonts w:hint="eastAsia" w:ascii="宋体" w:hAnsi="宋体" w:cs="宋体"/>
          <w:bCs/>
          <w:sz w:val="24"/>
          <w:szCs w:val="24"/>
          <w:highlight w:val="none"/>
        </w:rPr>
      </w:pPr>
      <w:r>
        <w:rPr>
          <w:rFonts w:hint="eastAsia" w:ascii="宋体" w:hAnsi="宋体" w:cs="宋体"/>
          <w:b/>
          <w:sz w:val="24"/>
          <w:szCs w:val="24"/>
          <w:highlight w:val="none"/>
        </w:rPr>
        <w:t>质量追溯：</w:t>
      </w:r>
      <w:r>
        <w:rPr>
          <w:rFonts w:hint="eastAsia" w:ascii="宋体" w:hAnsi="宋体" w:cs="宋体"/>
          <w:bCs/>
          <w:sz w:val="24"/>
          <w:szCs w:val="24"/>
          <w:highlight w:val="none"/>
        </w:rPr>
        <w:t>建立健全质量追溯体系，对治理工程的各个环节进行记录，包括材料采购、施工过程、监测数据、验收结果等，确保质量问题可追溯。若发现质量问题，需及时启动追溯程序，查明原因，采取纠正措施，并对相关责任单位和人员进行处理。同时，总结经验教训，避免类似问题再次发生。</w:t>
      </w:r>
    </w:p>
    <w:p w14:paraId="2F8E9D22">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（六）投资控制要求</w:t>
      </w:r>
    </w:p>
    <w:p w14:paraId="6CE229A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1.承包人须在中标后 60 日历天内施工方案编制预算，提出预算工程量与招标清单工程量之间的差异，并报环境监理单位和发包人审核备案，但不得因此而影响工程进度。要求治理单位进场一月内，向环境监理单位提交包含上述内容的专项资料，并报审，逾期未提交，视为对原招标清单工程量无意见。</w:t>
      </w:r>
    </w:p>
    <w:p w14:paraId="60970A7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2.承包人须协助发包人加强投资控制，每期申请进度款的计量计价应准确，进度款的申请应与现场治理进度相匹配，严禁虚报计量（承包人申报的进度款金额超出经环境监理人、发包人核实金额的 10%，视为承包人虚报计量）或超前计量，否则严格按合同约定承担违约责任。</w:t>
      </w:r>
    </w:p>
    <w:p w14:paraId="1D04BE8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3.在施工过程中发生的工程变更、工程签证等一切引起合同价款调增事件，必须先由经业主审批后再实施，否则发包人有权不认可此部分工程量。</w:t>
      </w:r>
    </w:p>
    <w:p w14:paraId="1CF6906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4.根据项目的实际情况，如承包人需另行租用场地用于临设之用，属于承包人自行考虑范畴，相关的费用投标时综合考虑，不再另行计量、支付。</w:t>
      </w:r>
    </w:p>
    <w:p w14:paraId="7834654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5.本项目距离周边建筑较近，承包方投标时应充分考虑对周边房屋、道路、管线等所采取的加固、防护等措施，以及后续的修复所产生的费用，均需承包人自行承担，不得以任何理由向发包方索赔。</w:t>
      </w:r>
    </w:p>
    <w:p w14:paraId="6D82495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6.本项目距离办公楼较近且地质条件可能较差，承包人应充分考虑场地地质复杂及设计图纸的情况，在基坑施工过程中因地质等原因所增加的措施、造价增加，由承包人自行承担，不得以任何理由向发包方索赔。</w:t>
      </w:r>
    </w:p>
    <w:p w14:paraId="5A5F3ADF">
      <w:pPr>
        <w:widowControl/>
        <w:shd w:val="clear" w:color="auto" w:fill="FFFFFF"/>
        <w:spacing w:line="360" w:lineRule="auto"/>
        <w:ind w:firstLine="424" w:firstLineChars="177"/>
        <w:jc w:val="left"/>
        <w:rPr>
          <w:rFonts w:hint="eastAsia" w:ascii="宋体" w:hAnsi="宋体" w:cs="宋体"/>
          <w:bCs/>
          <w:sz w:val="24"/>
          <w:szCs w:val="24"/>
          <w:highlight w:val="none"/>
          <w:u w:val="none"/>
        </w:rPr>
      </w:pPr>
      <w:r>
        <w:rPr>
          <w:rFonts w:hint="eastAsia" w:ascii="宋体" w:hAnsi="宋体" w:cs="宋体"/>
          <w:bCs/>
          <w:sz w:val="24"/>
          <w:szCs w:val="24"/>
          <w:highlight w:val="none"/>
        </w:rPr>
        <w:t>7.土石方工程运距需投标方在招标前摸查清楚，中标后因运距改变引起的费用增加由承包人自行承担，不得以任何理由向发包方索赔</w:t>
      </w:r>
      <w:r>
        <w:rPr>
          <w:rFonts w:hint="eastAsia" w:ascii="宋体" w:hAnsi="宋体" w:cs="宋体"/>
          <w:bCs/>
          <w:sz w:val="24"/>
          <w:szCs w:val="24"/>
          <w:highlight w:val="none"/>
          <w:u w:val="none"/>
        </w:rPr>
        <w:t>。</w:t>
      </w:r>
    </w:p>
    <w:p w14:paraId="34C5F7BC">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（七）安全、文明施工管理要求</w:t>
      </w:r>
    </w:p>
    <w:p w14:paraId="0BF6344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1.要求治理单位按照 GB/T28001-2011 职业健康安全管理体系要求，以及重点办安全管理规定的要求，建立和健全安全管理体系，设立安全管理专职机构，配备满足规定要求的专职管理人员。要求治理单位进场二个月内，向环境监理单位提交包含上述内容的专项组织机构资料，并报审，逾期未提交，将给予一般违约处罚。</w:t>
      </w:r>
    </w:p>
    <w:p w14:paraId="51EE36D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针对本项目的特点和难点，治理单位必须对模板工程及支撑体系、起重吊装及安装拆卸工程、垂直运输、竖向围护、基坑开挖、高支模等危险性较大的分部分项工程进行重点管理，编制专项施工方案报环境监理单位审批。</w:t>
      </w:r>
    </w:p>
    <w:p w14:paraId="2E8405C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要求治理单位进场后对本项目施工过程场地平面布置及分阶段利用方案进行综合考虑。基于本项目地理位置特殊而敏感，被关注度高。要求治理单位按建设项目环境管理规定要求，制定环境管理计划及安全消防等应急处理预案（周边房屋和道路）。做到不因施工而影响周边环境，安全文明施工。本项目按绿色建筑标准设计，施工总承包单位按设计文件、建筑工程绿色施工评价标准、建筑工程绿色施工规范等要求组织施工。</w:t>
      </w:r>
    </w:p>
    <w:p w14:paraId="50698549">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（八）材料管理要求（如有）</w:t>
      </w:r>
    </w:p>
    <w:p w14:paraId="05FD7D22">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1.要求治理单位进场 60 天内完成所有原材料（钢材、商品砼等）的采购计划，落实原材料采购协议，作为第一期工程进度款的支付条件之一。要求治理单位进场二个月内，向环境监理单位提交包含上述内容的专项资料，并报审，逾期未提交，将给予一般违约处罚。</w:t>
      </w:r>
    </w:p>
    <w:p w14:paraId="3A47DF9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要求治理单位进场后立即根据设计文件要求及《乙供材料（设备）管理办法》申报乙供料。要求治理单位进场二个月内，向环境监理单位提交包含上述内容的专项资料和看样定板计划，并报审，逾期未提交，将给予一般违约处罚。</w:t>
      </w:r>
    </w:p>
    <w:p w14:paraId="0749D65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3.对需要在工厂加工制作的重要分部分项工程，要求治理单位必须安排专人长期驻场加工制作厂督促进度、质量，参与工序验收和出厂调试。</w:t>
      </w:r>
    </w:p>
    <w:p w14:paraId="787429A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4.要求治理单位进场后，根据设计文件要求和区代建中心管理规定，完成样板引路工作。</w:t>
      </w:r>
    </w:p>
    <w:p w14:paraId="0C3A3F5A">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（九）办公及后勤保障要求</w:t>
      </w:r>
    </w:p>
    <w:p w14:paraId="69B3DEE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本工程需要治理单位建立项目部，项目部除满足现场施工人员需求外，须提供业主、环境监理办公及保障设施。</w:t>
      </w:r>
    </w:p>
    <w:p w14:paraId="3855F9F0">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（十）人员配置要求</w:t>
      </w:r>
    </w:p>
    <w:p w14:paraId="4B44B2B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要求治理单位进场即成立项目管理部负责工程现场施工管理工作，成立专职的团队负责履行施工总承包配合服务工作。项目管理部组成人员配备要求见招标文件《项目管理部组成人员配备要求表》。项目管理部组成人员设有专项考勤、到岗履职的合同约定要求，并与合同款支付挂钩，详见合同对应条款。</w:t>
      </w:r>
    </w:p>
    <w:p w14:paraId="5493C8F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2.现场组织实施管理费以月为单位，进行计量支付。现场组织实施管理费的支付及费用标准按合同规定执行。</w:t>
      </w:r>
    </w:p>
    <w:p w14:paraId="2A800D4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3.治理单位进场后 60 天之内，根据前期准备阶段、施工总承包施工及配合服务阶段的实际情况，报审项目组织架构及项目人员组织实施计划，经业主和环境监理单位书面同意。</w:t>
      </w:r>
    </w:p>
    <w:p w14:paraId="683100B2">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（十一）机械设备配置要求</w:t>
      </w:r>
    </w:p>
    <w:p w14:paraId="1AEF641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1.投标人根据本项目工程的特点，结合本企业的实力和资源情况配备。要求治理单位投入机械设备如下：</w:t>
      </w:r>
    </w:p>
    <w:tbl>
      <w:tblPr>
        <w:tblStyle w:val="19"/>
        <w:tblW w:w="8539" w:type="dxa"/>
        <w:tblInd w:w="0" w:type="dxa"/>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Layout w:type="autofit"/>
        <w:tblCellMar>
          <w:top w:w="15" w:type="dxa"/>
          <w:left w:w="15" w:type="dxa"/>
          <w:bottom w:w="15" w:type="dxa"/>
          <w:right w:w="15" w:type="dxa"/>
        </w:tblCellMar>
      </w:tblPr>
      <w:tblGrid>
        <w:gridCol w:w="2134"/>
        <w:gridCol w:w="2135"/>
        <w:gridCol w:w="2135"/>
        <w:gridCol w:w="2135"/>
      </w:tblGrid>
      <w:tr w14:paraId="2FD7EBB4">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34"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3FFDD1E">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AC2C57F">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设备名称</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A8A83AC">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基本要求</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7F18615">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备注</w:t>
            </w:r>
          </w:p>
        </w:tc>
      </w:tr>
      <w:tr w14:paraId="6428EB12">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34"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4F84EE4">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1</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7374BDB">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防渗设备</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FDAE3B9">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529CE4D">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r>
      <w:tr w14:paraId="133AEAED">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34"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EB8BAE9">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2</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698643D">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监测与检测设备</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1C37A44">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37DBBC6">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r>
      <w:tr w14:paraId="4C1EB9E0">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34"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37D5CA7">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3</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2E39E92">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通风与除尘设备</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C2DEC6D">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7B156D0">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r>
      <w:tr w14:paraId="47CDE9B6">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34"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471A13B">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4</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CCE61D1">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压实设备</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F687EA1">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57F4698">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r>
      <w:tr w14:paraId="6A56A471">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2134"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D099A80">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5</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31B40BC">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其余机械设备</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8E6E841">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c>
          <w:tcPr>
            <w:tcW w:w="213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E056FDF">
            <w:pPr>
              <w:widowControl/>
              <w:shd w:val="clear" w:color="auto" w:fill="FFFFFF"/>
              <w:spacing w:line="360" w:lineRule="auto"/>
              <w:jc w:val="center"/>
              <w:rPr>
                <w:rFonts w:hint="eastAsia" w:ascii="宋体" w:hAnsi="宋体" w:cs="宋体"/>
                <w:bCs/>
                <w:sz w:val="24"/>
                <w:szCs w:val="24"/>
                <w:highlight w:val="none"/>
              </w:rPr>
            </w:pPr>
            <w:r>
              <w:rPr>
                <w:rFonts w:hint="eastAsia" w:ascii="宋体" w:hAnsi="宋体" w:cs="宋体"/>
                <w:bCs/>
                <w:sz w:val="24"/>
                <w:szCs w:val="24"/>
                <w:highlight w:val="none"/>
              </w:rPr>
              <w:t>满足现场施工进度要求和施工时间</w:t>
            </w:r>
          </w:p>
        </w:tc>
      </w:tr>
    </w:tbl>
    <w:p w14:paraId="0E880871">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2.管理基本要求</w:t>
      </w:r>
    </w:p>
    <w:p w14:paraId="0E98739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承包人进场后必须按合同约定时间提交机械设备进场计划，确保机械设备来源可靠，按节点工期时间进场。</w:t>
      </w:r>
    </w:p>
    <w:p w14:paraId="45FF853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承包人必须确保机械设备的性能良好，可正常使用。对于影响工程进度较大的主要机械设备，必须有一定备用量，确保在机械设备检修或维护期间，现场仍能正常施工，确保进度。</w:t>
      </w:r>
    </w:p>
    <w:p w14:paraId="42F173E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为确保工程进度，承包人必须无条件增加机械设备的投入，除合同约定有赶工措施费外，发包人不另行增加相关费用。</w:t>
      </w:r>
    </w:p>
    <w:p w14:paraId="70D8E7D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因现场环境受限，在人员安排上，项目负责人、安全负责人、专职安全员、测量工程师、质量</w:t>
      </w:r>
      <w:bookmarkStart w:id="446" w:name="OLE_LINK26"/>
      <w:r>
        <w:rPr>
          <w:rFonts w:hint="eastAsia" w:ascii="宋体" w:hAnsi="宋体" w:cs="宋体"/>
          <w:bCs/>
          <w:sz w:val="24"/>
          <w:szCs w:val="24"/>
          <w:highlight w:val="none"/>
        </w:rPr>
        <w:t>工程师</w:t>
      </w:r>
      <w:bookmarkEnd w:id="446"/>
      <w:r>
        <w:rPr>
          <w:rFonts w:hint="eastAsia" w:ascii="宋体" w:hAnsi="宋体" w:cs="宋体"/>
          <w:bCs/>
          <w:sz w:val="24"/>
          <w:szCs w:val="24"/>
          <w:highlight w:val="none"/>
        </w:rPr>
        <w:t>、资料员以及施工员需驻场接受考核；而其他主要项目管理人员则需从服务有效性与便利性角度出发，确保在接到通知后1小时内能够到达现场进行指导。</w:t>
      </w:r>
    </w:p>
    <w:p w14:paraId="3341A84D">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3.主要项目管理人员配备表</w:t>
      </w:r>
    </w:p>
    <w:tbl>
      <w:tblPr>
        <w:tblStyle w:val="19"/>
        <w:tblW w:w="8539" w:type="dxa"/>
        <w:tblInd w:w="0" w:type="dxa"/>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Layout w:type="autofit"/>
        <w:tblCellMar>
          <w:top w:w="15" w:type="dxa"/>
          <w:left w:w="15" w:type="dxa"/>
          <w:bottom w:w="15" w:type="dxa"/>
          <w:right w:w="15" w:type="dxa"/>
        </w:tblCellMar>
      </w:tblPr>
      <w:tblGrid>
        <w:gridCol w:w="952"/>
        <w:gridCol w:w="1625"/>
        <w:gridCol w:w="1325"/>
        <w:gridCol w:w="4637"/>
      </w:tblGrid>
      <w:tr w14:paraId="3B37C2B8">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7F0BE66">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序号</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927BCFE">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职务</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670873F">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人员数量</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BDACA63">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基本任职条件及到场要求</w:t>
            </w:r>
          </w:p>
        </w:tc>
      </w:tr>
      <w:tr w14:paraId="703B56F6">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0C6F7DD">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2823E3A">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指挥长</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3E1D41C">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3D29177">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由治理单位现任副总经理、总工程师或以上行政职务担任。每月到会 4 次</w:t>
            </w:r>
          </w:p>
        </w:tc>
      </w:tr>
      <w:tr w14:paraId="207E0553">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ED8DB1E">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2</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CFA8EE0">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项目负责人</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CB656CB">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CECBDA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与招标公告一致。驻场考核。</w:t>
            </w:r>
          </w:p>
        </w:tc>
      </w:tr>
      <w:tr w14:paraId="7DD7D658">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6DF4E3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3</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585A381">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质量负责人</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E1DF9C3">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2603AB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具备</w:t>
            </w:r>
            <w:bookmarkStart w:id="447" w:name="OLE_LINK24"/>
            <w:r>
              <w:rPr>
                <w:rFonts w:hint="eastAsia" w:ascii="宋体" w:hAnsi="宋体" w:cs="宋体"/>
                <w:kern w:val="0"/>
                <w:sz w:val="24"/>
                <w:szCs w:val="24"/>
                <w:highlight w:val="none"/>
              </w:rPr>
              <w:t>环保类或建筑工程类</w:t>
            </w:r>
            <w:bookmarkEnd w:id="447"/>
            <w:r>
              <w:rPr>
                <w:rFonts w:hint="eastAsia" w:ascii="宋体" w:hAnsi="宋体" w:cs="宋体"/>
                <w:kern w:val="0"/>
                <w:sz w:val="24"/>
                <w:szCs w:val="24"/>
                <w:highlight w:val="none"/>
              </w:rPr>
              <w:t>相关专业高级或以上技术职称。</w:t>
            </w:r>
          </w:p>
        </w:tc>
      </w:tr>
      <w:tr w14:paraId="09401C6B">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06A8D3E">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4</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807BDEA">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技术负责人</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075C353">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7896086">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与招标公告一致。</w:t>
            </w:r>
          </w:p>
        </w:tc>
      </w:tr>
      <w:tr w14:paraId="29D8DE53">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8EB2A7A">
            <w:pPr>
              <w:widowControl/>
              <w:jc w:val="left"/>
              <w:rPr>
                <w:rFonts w:hint="eastAsia" w:ascii="宋体" w:hAnsi="宋体" w:cs="宋体"/>
                <w:kern w:val="0"/>
                <w:sz w:val="24"/>
                <w:szCs w:val="24"/>
                <w:highlight w:val="none"/>
              </w:rPr>
            </w:pPr>
            <w:bookmarkStart w:id="448" w:name="OLE_LINK19" w:colFirst="1" w:colLast="3"/>
            <w:r>
              <w:rPr>
                <w:rFonts w:hint="eastAsia" w:ascii="宋体" w:hAnsi="宋体" w:cs="宋体"/>
                <w:kern w:val="0"/>
                <w:sz w:val="24"/>
                <w:szCs w:val="24"/>
                <w:highlight w:val="none"/>
              </w:rPr>
              <w:t>5</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46C1F69">
            <w:pPr>
              <w:widowControl/>
              <w:jc w:val="left"/>
              <w:rPr>
                <w:rFonts w:hint="eastAsia" w:ascii="宋体" w:hAnsi="宋体" w:cs="宋体"/>
                <w:kern w:val="0"/>
                <w:sz w:val="24"/>
                <w:szCs w:val="24"/>
                <w:highlight w:val="none"/>
              </w:rPr>
            </w:pPr>
            <w:bookmarkStart w:id="449" w:name="OLE_LINK17"/>
            <w:r>
              <w:rPr>
                <w:rFonts w:hint="eastAsia" w:ascii="宋体" w:hAnsi="宋体" w:cs="宋体"/>
                <w:kern w:val="0"/>
                <w:sz w:val="24"/>
                <w:szCs w:val="24"/>
                <w:highlight w:val="none"/>
              </w:rPr>
              <w:t>技术工程师</w:t>
            </w:r>
            <w:bookmarkEnd w:id="449"/>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B7FA75C">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EB4EF39">
            <w:pPr>
              <w:widowControl/>
              <w:jc w:val="left"/>
              <w:rPr>
                <w:rFonts w:hint="eastAsia" w:ascii="宋体" w:hAnsi="宋体" w:cs="宋体"/>
                <w:kern w:val="0"/>
                <w:sz w:val="24"/>
                <w:szCs w:val="24"/>
                <w:highlight w:val="none"/>
              </w:rPr>
            </w:pPr>
            <w:bookmarkStart w:id="450" w:name="OLE_LINK13"/>
            <w:bookmarkStart w:id="451" w:name="OLE_LINK14"/>
            <w:r>
              <w:rPr>
                <w:rFonts w:hint="eastAsia" w:ascii="宋体" w:hAnsi="宋体" w:cs="宋体"/>
                <w:kern w:val="0"/>
                <w:sz w:val="24"/>
                <w:szCs w:val="24"/>
                <w:highlight w:val="none"/>
              </w:rPr>
              <w:t>所学专业或职称为</w:t>
            </w:r>
            <w:bookmarkStart w:id="452" w:name="OLE_LINK15"/>
            <w:r>
              <w:rPr>
                <w:rFonts w:hint="eastAsia" w:ascii="宋体" w:hAnsi="宋体" w:cs="宋体"/>
                <w:kern w:val="0"/>
                <w:sz w:val="24"/>
                <w:szCs w:val="24"/>
                <w:highlight w:val="none"/>
              </w:rPr>
              <w:t>环保</w:t>
            </w:r>
            <w:bookmarkEnd w:id="452"/>
            <w:r>
              <w:rPr>
                <w:rFonts w:hint="eastAsia" w:ascii="宋体" w:hAnsi="宋体" w:cs="宋体"/>
                <w:kern w:val="0"/>
                <w:sz w:val="24"/>
                <w:szCs w:val="24"/>
                <w:highlight w:val="none"/>
              </w:rPr>
              <w:t>类</w:t>
            </w:r>
            <w:bookmarkEnd w:id="450"/>
            <w:r>
              <w:rPr>
                <w:rFonts w:hint="eastAsia" w:ascii="宋体" w:hAnsi="宋体" w:cs="宋体"/>
                <w:kern w:val="0"/>
                <w:sz w:val="24"/>
                <w:szCs w:val="24"/>
                <w:highlight w:val="none"/>
              </w:rPr>
              <w:t>相关专业，具备中级或以上技术职称。</w:t>
            </w:r>
            <w:bookmarkEnd w:id="451"/>
          </w:p>
        </w:tc>
      </w:tr>
      <w:bookmarkEnd w:id="448"/>
      <w:tr w14:paraId="3242435B">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138177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6</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7729CCC">
            <w:pPr>
              <w:widowControl/>
              <w:jc w:val="left"/>
              <w:rPr>
                <w:rFonts w:hint="eastAsia" w:ascii="宋体" w:hAnsi="宋体" w:cs="宋体"/>
                <w:kern w:val="0"/>
                <w:sz w:val="24"/>
                <w:szCs w:val="24"/>
                <w:highlight w:val="none"/>
              </w:rPr>
            </w:pPr>
            <w:bookmarkStart w:id="453" w:name="OLE_LINK18"/>
            <w:r>
              <w:rPr>
                <w:rFonts w:hint="eastAsia" w:ascii="宋体" w:hAnsi="宋体" w:cs="宋体"/>
                <w:kern w:val="0"/>
                <w:sz w:val="24"/>
                <w:szCs w:val="24"/>
                <w:highlight w:val="none"/>
              </w:rPr>
              <w:t>造价负责人</w:t>
            </w:r>
            <w:bookmarkEnd w:id="453"/>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9D04D83">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1067506">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具有建筑工程造价相关专业高级及以上技术职称或一级注册造价工程师（土建专业）。</w:t>
            </w:r>
          </w:p>
        </w:tc>
      </w:tr>
      <w:tr w14:paraId="67AA9E14">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FC890BE">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7</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A3EE7B7">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造价工程师</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35DF8AD2">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65F15B5">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具有建筑工程造价相关专业中级及以上技术职称或二级或以上注册造价工程师。</w:t>
            </w:r>
          </w:p>
        </w:tc>
      </w:tr>
      <w:tr w14:paraId="0B996098">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10B6891">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8</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CE0469E">
            <w:pPr>
              <w:widowControl/>
              <w:jc w:val="left"/>
              <w:rPr>
                <w:rFonts w:hint="eastAsia" w:ascii="宋体" w:hAnsi="宋体" w:cs="宋体"/>
                <w:kern w:val="0"/>
                <w:sz w:val="24"/>
                <w:szCs w:val="24"/>
                <w:highlight w:val="none"/>
              </w:rPr>
            </w:pPr>
            <w:bookmarkStart w:id="454" w:name="OLE_LINK23"/>
            <w:bookmarkStart w:id="455" w:name="OLE_LINK1"/>
            <w:r>
              <w:rPr>
                <w:rFonts w:hint="eastAsia" w:ascii="宋体" w:hAnsi="宋体" w:cs="宋体"/>
                <w:kern w:val="0"/>
                <w:sz w:val="24"/>
                <w:szCs w:val="24"/>
                <w:highlight w:val="none"/>
              </w:rPr>
              <w:t>测量</w:t>
            </w:r>
            <w:bookmarkEnd w:id="454"/>
            <w:r>
              <w:rPr>
                <w:rFonts w:hint="eastAsia" w:ascii="宋体" w:hAnsi="宋体" w:cs="宋体"/>
                <w:kern w:val="0"/>
                <w:sz w:val="24"/>
                <w:szCs w:val="24"/>
                <w:highlight w:val="none"/>
              </w:rPr>
              <w:t>工程师</w:t>
            </w:r>
            <w:bookmarkEnd w:id="455"/>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00AAA7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343CC59">
            <w:pPr>
              <w:widowControl/>
              <w:jc w:val="left"/>
              <w:rPr>
                <w:rFonts w:hint="eastAsia" w:ascii="宋体" w:hAnsi="宋体" w:cs="宋体"/>
                <w:kern w:val="0"/>
                <w:sz w:val="24"/>
                <w:szCs w:val="24"/>
                <w:highlight w:val="none"/>
              </w:rPr>
            </w:pPr>
            <w:bookmarkStart w:id="456" w:name="OLE_LINK25"/>
            <w:r>
              <w:rPr>
                <w:rFonts w:hint="eastAsia" w:ascii="宋体" w:hAnsi="宋体" w:cs="宋体"/>
                <w:kern w:val="0"/>
                <w:sz w:val="24"/>
                <w:szCs w:val="24"/>
                <w:highlight w:val="none"/>
              </w:rPr>
              <w:t>大专或以上学历，所学专业为土建类相关专业。驻场考核。</w:t>
            </w:r>
            <w:bookmarkEnd w:id="456"/>
          </w:p>
        </w:tc>
      </w:tr>
      <w:tr w14:paraId="23C62D04">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CAB787D">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9</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BA98654">
            <w:pPr>
              <w:widowControl/>
              <w:jc w:val="left"/>
              <w:rPr>
                <w:rFonts w:hint="eastAsia" w:ascii="宋体" w:hAnsi="宋体" w:cs="宋体"/>
                <w:kern w:val="0"/>
                <w:sz w:val="24"/>
                <w:szCs w:val="24"/>
                <w:highlight w:val="none"/>
              </w:rPr>
            </w:pPr>
            <w:bookmarkStart w:id="457" w:name="OLE_LINK20"/>
            <w:r>
              <w:rPr>
                <w:rFonts w:hint="eastAsia" w:ascii="宋体" w:hAnsi="宋体" w:cs="宋体"/>
                <w:kern w:val="0"/>
                <w:sz w:val="24"/>
                <w:szCs w:val="24"/>
                <w:highlight w:val="none"/>
              </w:rPr>
              <w:t>质量工程师</w:t>
            </w:r>
            <w:bookmarkEnd w:id="457"/>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39CED7D">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33079F5">
            <w:pPr>
              <w:widowControl/>
              <w:jc w:val="left"/>
              <w:rPr>
                <w:rFonts w:hint="eastAsia" w:ascii="宋体" w:hAnsi="宋体" w:cs="宋体"/>
                <w:kern w:val="0"/>
                <w:sz w:val="24"/>
                <w:szCs w:val="24"/>
                <w:highlight w:val="none"/>
              </w:rPr>
            </w:pPr>
            <w:bookmarkStart w:id="458" w:name="OLE_LINK11"/>
            <w:bookmarkStart w:id="459" w:name="OLE_LINK21"/>
            <w:r>
              <w:rPr>
                <w:rFonts w:hint="eastAsia" w:ascii="宋体" w:hAnsi="宋体" w:cs="宋体"/>
                <w:kern w:val="0"/>
                <w:sz w:val="24"/>
                <w:szCs w:val="24"/>
                <w:highlight w:val="none"/>
              </w:rPr>
              <w:t>具备环保类或建筑工程类相关专业中级或以上技术职称。</w:t>
            </w:r>
            <w:bookmarkEnd w:id="458"/>
            <w:r>
              <w:rPr>
                <w:rFonts w:hint="eastAsia" w:ascii="宋体" w:hAnsi="宋体" w:cs="宋体"/>
                <w:kern w:val="0"/>
                <w:sz w:val="24"/>
                <w:szCs w:val="24"/>
                <w:highlight w:val="none"/>
              </w:rPr>
              <w:t>驻场考核。</w:t>
            </w:r>
            <w:bookmarkEnd w:id="459"/>
          </w:p>
        </w:tc>
      </w:tr>
      <w:tr w14:paraId="3E1AD063">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A7D637E">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10</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7C96B50">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专职安全员</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3CE3014">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626D24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与招标公告一致。驻场考核。</w:t>
            </w:r>
          </w:p>
        </w:tc>
      </w:tr>
      <w:tr w14:paraId="6BE1D08E">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BBA370D">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11</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FDD9B35">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安全负责人</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1CECE5C">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F7693B7">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单位在编人员，具备建筑工程类相关专业中级或以上技术职称。驻场考核。</w:t>
            </w:r>
          </w:p>
        </w:tc>
      </w:tr>
      <w:tr w14:paraId="1AD01C01">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82BC867">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12</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616389F">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资料员</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574E419">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2B587FE7">
            <w:pPr>
              <w:widowControl/>
              <w:jc w:val="left"/>
              <w:rPr>
                <w:rFonts w:hint="eastAsia" w:ascii="宋体" w:hAnsi="宋体" w:cs="宋体"/>
                <w:kern w:val="0"/>
                <w:sz w:val="24"/>
                <w:szCs w:val="24"/>
                <w:highlight w:val="none"/>
              </w:rPr>
            </w:pPr>
            <w:bookmarkStart w:id="460" w:name="OLE_LINK2"/>
            <w:r>
              <w:rPr>
                <w:rFonts w:hint="eastAsia" w:ascii="宋体" w:hAnsi="宋体" w:cs="宋体"/>
                <w:kern w:val="0"/>
                <w:sz w:val="24"/>
                <w:szCs w:val="24"/>
                <w:highlight w:val="none"/>
              </w:rPr>
              <w:t>大专或以上学历，熟悉各种办公软件的使用。驻场考核。</w:t>
            </w:r>
            <w:bookmarkEnd w:id="460"/>
          </w:p>
        </w:tc>
      </w:tr>
      <w:tr w14:paraId="07EC908D">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637A57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13</w:t>
            </w: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99F7CE6">
            <w:pPr>
              <w:widowControl/>
              <w:jc w:val="left"/>
              <w:rPr>
                <w:rFonts w:hint="eastAsia" w:ascii="宋体" w:hAnsi="宋体" w:cs="宋体"/>
                <w:kern w:val="0"/>
                <w:sz w:val="24"/>
                <w:szCs w:val="24"/>
                <w:highlight w:val="none"/>
              </w:rPr>
            </w:pPr>
            <w:bookmarkStart w:id="461" w:name="OLE_LINK7"/>
            <w:r>
              <w:rPr>
                <w:rFonts w:hint="eastAsia" w:ascii="宋体" w:hAnsi="宋体" w:cs="宋体"/>
                <w:kern w:val="0"/>
                <w:sz w:val="24"/>
                <w:szCs w:val="24"/>
                <w:highlight w:val="none"/>
              </w:rPr>
              <w:t>施工员</w:t>
            </w:r>
            <w:bookmarkEnd w:id="461"/>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03583DBB">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4DF9BE7A">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大专或以上学历，具有建设行政主管部门颁发的施工员证书。驻场考核。</w:t>
            </w:r>
          </w:p>
        </w:tc>
      </w:tr>
      <w:tr w14:paraId="209984A0">
        <w:tblPrEx>
          <w:tblBorders>
            <w:top w:val="single" w:color="DEE0E3" w:sz="6" w:space="0"/>
            <w:left w:val="single" w:color="DEE0E3" w:sz="6" w:space="0"/>
            <w:bottom w:val="single" w:color="DEE0E3" w:sz="6" w:space="0"/>
            <w:right w:val="single" w:color="DEE0E3" w:sz="6"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52"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150839EB">
            <w:pPr>
              <w:widowControl/>
              <w:jc w:val="left"/>
              <w:rPr>
                <w:rFonts w:hint="eastAsia" w:ascii="宋体" w:hAnsi="宋体" w:cs="宋体"/>
                <w:kern w:val="0"/>
                <w:sz w:val="24"/>
                <w:szCs w:val="24"/>
                <w:highlight w:val="none"/>
              </w:rPr>
            </w:pPr>
          </w:p>
        </w:tc>
        <w:tc>
          <w:tcPr>
            <w:tcW w:w="16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57ACAA27">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小计</w:t>
            </w:r>
          </w:p>
        </w:tc>
        <w:tc>
          <w:tcPr>
            <w:tcW w:w="1325"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6DE98E98">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13</w:t>
            </w:r>
          </w:p>
        </w:tc>
        <w:tc>
          <w:tcPr>
            <w:tcW w:w="4637" w:type="dxa"/>
            <w:tcBorders>
              <w:top w:val="single" w:color="DEE0E3" w:sz="6" w:space="0"/>
              <w:left w:val="single" w:color="DEE0E3" w:sz="6" w:space="0"/>
              <w:bottom w:val="single" w:color="DEE0E3" w:sz="6" w:space="0"/>
              <w:right w:val="single" w:color="DEE0E3" w:sz="6" w:space="0"/>
            </w:tcBorders>
            <w:tcMar>
              <w:top w:w="135" w:type="dxa"/>
              <w:left w:w="120" w:type="dxa"/>
              <w:bottom w:w="135" w:type="dxa"/>
              <w:right w:w="120" w:type="dxa"/>
            </w:tcMar>
          </w:tcPr>
          <w:p w14:paraId="704C9E58">
            <w:pPr>
              <w:widowControl/>
              <w:jc w:val="left"/>
              <w:rPr>
                <w:rFonts w:hint="eastAsia" w:ascii="宋体" w:hAnsi="宋体" w:cs="宋体"/>
                <w:kern w:val="0"/>
                <w:sz w:val="24"/>
                <w:szCs w:val="24"/>
                <w:highlight w:val="none"/>
              </w:rPr>
            </w:pPr>
          </w:p>
        </w:tc>
      </w:tr>
    </w:tbl>
    <w:p w14:paraId="5D731C7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注：</w:t>
      </w:r>
    </w:p>
    <w:p w14:paraId="4BC8746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上述人员必须为投标单位的正式员工，到场要求作为中标后人员考勤要求不作为评分标准。上述各岗位人员不得相互兼职，必须按要求提交相应证件扫描件和在本投标单位购买的投标截止日前三个月内任意1个月的社保缴纳证明材料。本表不作为否决性条款，投标文件里的人员表要满足招标文件的要求，若配备的人员未能满足《主要项目管理人员配备表》的，中标人在签订合同时须按照要求配备。</w:t>
      </w:r>
    </w:p>
    <w:p w14:paraId="130689D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按照《造价工程师职业资格制度规定》的规定，根据原人事部、原建设部发布的《造价工程师执业资格制度暂行规定》（人发〔1996〕77 号）取得的造价工程师执业资格，并经注册且在有效期内的，等同于一级注册造价工程师。</w:t>
      </w:r>
    </w:p>
    <w:p w14:paraId="5CBFF80B">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（十二）验收、移交及结算管理要求</w:t>
      </w:r>
    </w:p>
    <w:p w14:paraId="00C050E1">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1.土壤治理的验收要求</w:t>
      </w:r>
    </w:p>
    <w:p w14:paraId="1429D5F6">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验收主体及职责</w:t>
      </w:r>
    </w:p>
    <w:p w14:paraId="3BBE76BB">
      <w:pPr>
        <w:widowControl/>
        <w:shd w:val="clear" w:color="auto" w:fill="FFFFFF"/>
        <w:spacing w:line="360" w:lineRule="auto"/>
        <w:ind w:firstLine="424" w:firstLineChars="177"/>
        <w:jc w:val="left"/>
        <w:rPr>
          <w:rFonts w:hint="eastAsia" w:ascii="宋体" w:hAnsi="宋体" w:cs="宋体"/>
          <w:bCs/>
          <w:sz w:val="24"/>
          <w:szCs w:val="24"/>
          <w:highlight w:val="none"/>
        </w:rPr>
      </w:pPr>
      <w:bookmarkStart w:id="462" w:name="OLE_LINK16"/>
      <w:r>
        <w:rPr>
          <w:rFonts w:hint="eastAsia" w:ascii="宋体" w:hAnsi="宋体" w:cs="宋体"/>
          <w:bCs/>
          <w:sz w:val="24"/>
          <w:szCs w:val="24"/>
          <w:highlight w:val="none"/>
        </w:rPr>
        <w:t>验收组织主体：土壤治理工程验收由建设单位牵头组织，会同土壤治理单位、总承包单位、环境监理单位及第三方评估机构共同参与。若项目涉及公共利益或重大环境影响，广州市生态环境部门可作为监督单位列席验收会议。</w:t>
      </w:r>
    </w:p>
    <w:bookmarkEnd w:id="462"/>
    <w:p w14:paraId="096E4B1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各参与方职责：建设单位负责制定验收方案、收集验收资料、组织验收会议，并对验收结论的真实性和合规性负责。土壤治理单位需提交完整的治理工程报告（含施工记录、监测数据、整改情况等），并对报告内容的准确性负责。环境监理单位需出具环境监理评估报告，说明对治理工程质量、环保措施落实情况的监督意见。第三方评估机构需依据《广州市建设用地土壤污染风险管控和修复效果评估技术指南》，独立开展效果评估并提交评估报告，明确治理后土壤是否达到修复目标值。</w:t>
      </w:r>
    </w:p>
    <w:p w14:paraId="19805122">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验收标准</w:t>
      </w:r>
    </w:p>
    <w:p w14:paraId="7AC0CBE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核心指标达标：治理后的土壤污染物含量必须符合《土壤环境质量 建设用地土壤污染风险管控标准（GB 36600-2018）》及广州市地方相关标准（如特定行业修复目标值），其中重金属、挥发性有机物等特征污染物浓度需低于风险管控值或修复目标值。</w:t>
      </w:r>
    </w:p>
    <w:p w14:paraId="1378B9EF">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环保措施落实：施工过程中的扬尘、噪声、废水、固废控制需符合《广州市扬尘污染防治管理办法》《广州市环境噪声污染防治规定》等要求，相关监测记录（如扬尘在线监测数据、废水排放检测报告）需完整且达标。</w:t>
      </w:r>
    </w:p>
    <w:p w14:paraId="526166C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工程质量合规：治理工程的关键工序（如污染土壤挖掘、药剂注入、防渗层施工等）需符合设计方案及技术规范，隐蔽工程验收记录、材料质量证明文件等需齐全有效。</w:t>
      </w:r>
    </w:p>
    <w:p w14:paraId="08FD6FB8">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验收程序</w:t>
      </w:r>
    </w:p>
    <w:p w14:paraId="31F7E8F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预验收阶段：土壤治理单位完成全部治理工作后，向建设单位提交竣工报告及验收申请。建设单位组织环境监理单位、总承包单位进行预验收，重点核查工程完成情况、资料完整性及现场清理情况（如污染土壤全部合规处置、临时设施拆除等），对发现的问题下达整改通知书，限期整改。</w:t>
      </w:r>
    </w:p>
    <w:p w14:paraId="1723D5F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效果评估阶段：预验收合格后，建设单位委托第三方评估机构开展效果评估。评估机构需通过现场采样监测（布点数量、监测项目需符合技术导则）、实验室分析、数据验证等环节，出具评估报告。若评估结论为 “未达标”，土壤治理单位需根据评估意见进行补充治理。</w:t>
      </w:r>
    </w:p>
    <w:p w14:paraId="7D6741D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正式验收阶段：建设单位收到合格的评估报告后，组织验收会议，参会各方对治理工程进行全面审查，包括听取治理单位汇报、查阅资料、现场核查等。验收组形成验收意见，明确 “通过验收” 或 “不通过验收”。若通过验收，需注明后续环境管理要求（如长期监测计划）；若不通过，需明确整改内容及再次验收时间。</w:t>
      </w:r>
    </w:p>
    <w:p w14:paraId="2A1DBB9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备案与公示：验收通过后，建设单位需在 30 个工作日内将验收报告、评估报告等资料报广州市生态环境局备案，并通过政府网站或项目现场公告栏向社会公示验收结果，公示期不少于 20 个工作日。</w:t>
      </w:r>
    </w:p>
    <w:p w14:paraId="023CA74F">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验收资料要求</w:t>
      </w:r>
    </w:p>
    <w:p w14:paraId="503AEA7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必备资料清单：工程审批文件（如环境影响评价批复、修复方案备案意见等）；施工技术资料（包括治理方案、施工日志、隐蔽工程验收记录、设备运行记录等）；监测与评估资料（土壤及地下水监测报告、第三方评估报告、质量控制文件等）；环保管理资料（扬尘、噪声监测记录、危险废物处置协议及转移联单、应急演练记录等）；验收申请、预验收意见、整改报告及验收会议纪要。</w:t>
      </w:r>
    </w:p>
    <w:p w14:paraId="2D1C224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资料规范性要求：所有资料需加盖相关单位公章，数据真实可追溯，复印件需注明 “与原件一致” 并签字确认，电子档案需按广州市生态环境局要求格式存档。</w:t>
      </w:r>
    </w:p>
    <w:p w14:paraId="261B5627">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特殊情况处理</w:t>
      </w:r>
    </w:p>
    <w:p w14:paraId="5F05F10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长期监测要求：对于重金属污染等易反弹的治理项目，验收通过后需按方案开展长期环境监测（一般不少于 3 年），每半年向广州市生态环境局提交监测报告，确保土壤质量稳定达标。</w:t>
      </w:r>
    </w:p>
    <w:p w14:paraId="4775875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验收争议处理：若参与方对验收结论存在争议，建设单位需组织专家论证，或委托上一级环境评估机构重新评估，争议解决前不得擅自投入使用。</w:t>
      </w:r>
    </w:p>
    <w:p w14:paraId="2E4F8E68">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2.工程造价（结算）管理要求</w:t>
      </w:r>
    </w:p>
    <w:p w14:paraId="56DDC0E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治理单位须在中标后 30 日历天内根据施工图纸编制分部施工预算，提出施工预算工程量与招标清单工程量之间的差异，并报环境监理单位和我中心审核备案。治理单位逾期未提交，视为对此无意见。</w:t>
      </w:r>
    </w:p>
    <w:p w14:paraId="5055768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对治理过程中发生的工程变更、工程签证等引起合同价款变更事项，治理单位应在上述事项实施前或在实施过程中同步编制相关变更费用预算，并报环境监理单位和我中心审批。</w:t>
      </w:r>
    </w:p>
    <w:p w14:paraId="5233C83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治理单位应按我中心要求派出足够的、有能力的造价人员负责结算工作。若派出的造价人员不足或不能胜任结算工作，治理单位应按我中心的要求及时更换，直至满足我中心要求为止。</w:t>
      </w:r>
    </w:p>
    <w:p w14:paraId="6172FF1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治理单位执行我中心下发的结算编制指引及与结算有关的文件规定。</w:t>
      </w:r>
    </w:p>
    <w:p w14:paraId="6CD1E34C">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（十三）质保期服务管理要求</w:t>
      </w:r>
    </w:p>
    <w:p w14:paraId="12302F18">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1.质保期时长与适用范围</w:t>
      </w:r>
    </w:p>
    <w:p w14:paraId="4BBC129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基础质保期：结合地块建设需求，土壤治理质保期自工程通过正式验收之日起计算，不少于 2 年（其中重金属、持久性有机污染物等难降解污染物治理项目质保期为 3 年）。若地块规划为住宅、学校等敏感类建设用地，质保期需延长至 5 年，确保土壤质量长期稳定。</w:t>
      </w:r>
    </w:p>
    <w:p w14:paraId="5A4E4DF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覆盖范围：质保期服务需覆盖整个治理地块，包括已治理区域、周边缓冲带及地下水影响区，与后续建设的用地红线范围完全匹配，避免因建设范围扩大导致质保责任真空。</w:t>
      </w:r>
    </w:p>
    <w:p w14:paraId="521DD4D0">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2.针对性监测与维护要求</w:t>
      </w:r>
    </w:p>
    <w:p w14:paraId="60ED8C99">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建设适配性监测</w:t>
      </w:r>
    </w:p>
    <w:p w14:paraId="6F3E937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监测频次与指标：前 1 年每季度开展 1 次土壤及地下水监测，第 2 年起每半年 1 次。监测指标除验收阶段的特征污染物外，需增加与建设相关的专项指标，如：土壤压实度（确保满足地基承载力要求，参考《建筑地基基础设计规范》GB 50007）；土壤 pH 值（重点监测是否因治理药剂残留导致酸碱失衡，影响混凝土耐久性）；地下水水位变化（避免因建设施工引发水位波动，导致污染物二次迁移）。</w:t>
      </w:r>
    </w:p>
    <w:p w14:paraId="6E4845A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采样点优化：在规划的建筑物基础、地下管线密集区增设监测点，采样深度需延伸至地基持力层（一般为地下 2-5 米），确保数据直接服务于建设设计。</w:t>
      </w:r>
    </w:p>
    <w:p w14:paraId="21B98C28">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施工期协同维护</w:t>
      </w:r>
    </w:p>
    <w:p w14:paraId="37E095E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若质保期内启动地块建设，土壤治理单位需派技术人员驻场，提供施工期土壤保护指导：向总承包单位交底治理区域土壤特性（如回填土压实系数、防渗层位置），避免机械开挖破坏治理成果；对建设过程中可能引发的土壤扰动（如深基坑施工）进行预判，制定专项防护方案（如临时防渗帷幕）；配合建设单位开展施工前土壤复检，数据作为地基处理的设计依据。</w:t>
      </w:r>
    </w:p>
    <w:p w14:paraId="4E1D784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治理单位需对原治理设施（如防渗膜、监测井）进行维护，若因建设需要迁移监测井，需重新布设并同步更新监测数据，确保监测连续性。</w:t>
      </w:r>
    </w:p>
    <w:p w14:paraId="53CBA7C4">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3.与建设进度的协同机制</w:t>
      </w:r>
    </w:p>
    <w:p w14:paraId="4E7A0B4A">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分阶段交接管理</w:t>
      </w:r>
    </w:p>
    <w:p w14:paraId="195246E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质保期内若地块分区域建设，治理单位需配合建设单位完成分区域质保责任交接：建设区域动工前 1 个月，双方联合开展土壤质量复检，出具《建设区域土壤达标确认书》；未动工区域仍由治理单位负责质保，直至该区域启动建设或质保期满。</w:t>
      </w:r>
    </w:p>
    <w:p w14:paraId="00FC00E2">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交接时需提交《土壤治理设施保护手册》，明确建设施工中的禁止行为（如擅自切割防渗层、在治理区堆放腐蚀性材料）。</w:t>
      </w:r>
    </w:p>
    <w:p w14:paraId="73E8D438">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应急响应与建设适配</w:t>
      </w:r>
    </w:p>
    <w:p w14:paraId="20475837">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针对建设过程中可能出现的突发情况，制定专项应急预案：若施工导致土壤裂缝、污染物泄漏，治理单位需在 2 小时内到场，6 小时内制定封堵及修复方案，采用速凝防渗材料控制扩散；若监测发现地下水污染物浓度异常，需 48 小时内完成溯源分析，区分是治理效果反弹还是建设施工污染，并针对性处置。</w:t>
      </w:r>
    </w:p>
    <w:p w14:paraId="00FD051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应急处置需同步满足《广州市建设工程施工现场管理办法》，避免因应急施工影响建设进度。</w:t>
      </w:r>
    </w:p>
    <w:p w14:paraId="6EDC0A3E">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4.责任衔接与验收闭环</w:t>
      </w:r>
    </w:p>
    <w:p w14:paraId="75D64ACC">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责任划分</w:t>
      </w:r>
    </w:p>
    <w:p w14:paraId="482F752E">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土壤治理单位对治理效果稳定性负直接责任：因治理工艺缺陷导致土壤污染物反弹、压实度不达标等问题，需无偿返工并承担建设延误损失；</w:t>
      </w:r>
    </w:p>
    <w:p w14:paraId="1EDC6ECC">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建设单位未按治理单位指导进行施工（如违规开挖）引发的问题，由建设单位承担责任，但治理单位需提供技术支持。</w:t>
      </w:r>
    </w:p>
    <w:p w14:paraId="0E9BCEB7">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质保期验收与建设许可联动</w:t>
      </w:r>
    </w:p>
    <w:p w14:paraId="5051803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质保期满前 3 个月，开展最终验收，验收组需包含建设单位、设计单位及广州市生态环境局代表：重点核查建设区域土壤质量是否持续达标，未建设区域是否满足后续开发要求；验收通过后出具《土壤治理质保合格证明》，作为地块《建设工程规划许可证》换发的必备材料。</w:t>
      </w:r>
    </w:p>
    <w:p w14:paraId="6446120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若验收不通过，治理单位需限期整改，整改期间暂停地块建设审批，直至达标。</w:t>
      </w:r>
    </w:p>
    <w:p w14:paraId="5045F814">
      <w:pPr>
        <w:widowControl/>
        <w:shd w:val="clear" w:color="auto" w:fill="FFFFFF"/>
        <w:spacing w:line="360" w:lineRule="auto"/>
        <w:ind w:firstLine="482" w:firstLineChars="200"/>
        <w:jc w:val="left"/>
        <w:rPr>
          <w:rFonts w:hint="eastAsia" w:ascii="宋体" w:hAnsi="宋体" w:cs="宋体"/>
          <w:b/>
          <w:sz w:val="24"/>
          <w:szCs w:val="24"/>
          <w:highlight w:val="none"/>
        </w:rPr>
      </w:pPr>
      <w:r>
        <w:rPr>
          <w:rFonts w:hint="eastAsia" w:ascii="宋体" w:hAnsi="宋体" w:cs="宋体"/>
          <w:b/>
          <w:sz w:val="24"/>
          <w:szCs w:val="24"/>
          <w:highlight w:val="none"/>
        </w:rPr>
        <w:t>5.资料归档与追溯要求</w:t>
      </w:r>
    </w:p>
    <w:p w14:paraId="5920AB9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质保期内形成的监测报告、施工协同记录、应急处置档案等资料，需按《广州市城乡建设档案管理办法》要求整理，单独立卷存档，并与建设项目档案联动，确保土壤治理数据可追溯至建筑物全生命周期。</w:t>
      </w:r>
    </w:p>
    <w:p w14:paraId="2A0DF1E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向建设单位移交《土壤长期维护指南》，明确质保期后土壤保护要点（如绿化植被选择、禁止使用的改良剂等），为地块运营阶段的环境管理提供依据。</w:t>
      </w:r>
    </w:p>
    <w:p w14:paraId="74F1B854">
      <w:pPr>
        <w:widowControl/>
        <w:shd w:val="clear" w:color="auto" w:fill="FFFFFF"/>
        <w:spacing w:line="360" w:lineRule="auto"/>
        <w:jc w:val="left"/>
        <w:rPr>
          <w:rFonts w:hint="eastAsia" w:ascii="宋体" w:hAnsi="宋体" w:cs="宋体"/>
          <w:b/>
          <w:sz w:val="24"/>
          <w:szCs w:val="24"/>
          <w:highlight w:val="none"/>
        </w:rPr>
      </w:pPr>
      <w:r>
        <w:rPr>
          <w:rFonts w:hint="eastAsia" w:ascii="宋体" w:hAnsi="宋体" w:cs="宋体"/>
          <w:b/>
          <w:sz w:val="24"/>
          <w:szCs w:val="24"/>
          <w:highlight w:val="none"/>
        </w:rPr>
        <w:t>（十四）施工现场建筑垃圾源头减量的具体要求和建筑垃圾综合利用产品的使用要求</w:t>
      </w:r>
    </w:p>
    <w:p w14:paraId="29E7FA81">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1.工程治理单位应当编制建筑垃圾处理方案，采取污染防治措施，并在开工前报工程所在地县级人民政府建筑垃圾主管部门备案。建筑垃圾处理方案内容有调整的，应当及时报告接受备案的部门。建筑垃圾处理方案应当包括下列内容：</w:t>
      </w:r>
    </w:p>
    <w:p w14:paraId="375CF76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工程概况和治理单位基本信息；</w:t>
      </w:r>
    </w:p>
    <w:p w14:paraId="744793A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建筑垃圾产生量与种类；</w:t>
      </w:r>
    </w:p>
    <w:p w14:paraId="0A2D1485">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建筑垃圾源头减量、分类收集、综合利用、污染防治的措施和目标；</w:t>
      </w:r>
    </w:p>
    <w:p w14:paraId="6C98BE5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需要外运的建筑垃圾种类、数量与运输的时间、路线、方式和运输单位；</w:t>
      </w:r>
    </w:p>
    <w:p w14:paraId="1F9C7F89">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建筑垃圾回填、消纳、综合利用场所名称；</w:t>
      </w:r>
    </w:p>
    <w:p w14:paraId="50F3AA3D">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法律、法规规定的其他内容。</w:t>
      </w:r>
    </w:p>
    <w:p w14:paraId="40E4E13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3.建筑垃圾应当按照国家有关规定进行分类，实行分类收集、分类贮存、分类运输、分类处置。</w:t>
      </w:r>
    </w:p>
    <w:p w14:paraId="4943A2F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3.建设单位应当建立建筑垃圾分类收集、贮存以及台账管理等制度，督促治理单位开展建筑垃圾分类和合法装载，并及时向工程所在地县级人民政府建筑垃圾主管部门报送建筑垃圾处理方案。治理单位应当建立建筑垃圾管理台账，分类收集、贮存和及时清运施工过程中产生的建筑垃圾，采取有效措施防止混合已分类的建筑垃圾。工程治理单位应当将建筑垃圾的产生量与种类、清运时间、最终去向等信息在施工现场公示，接受社会监督。</w:t>
      </w:r>
    </w:p>
    <w:p w14:paraId="0BE6366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4.运输建筑垃圾应当遵守下列规定：</w:t>
      </w:r>
    </w:p>
    <w:p w14:paraId="1B8F32B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建立建筑垃圾运输管理台账；</w:t>
      </w:r>
    </w:p>
    <w:p w14:paraId="01A482C6">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不得将工程渣土、工程泥浆与其他建筑垃圾混合运输；</w:t>
      </w:r>
    </w:p>
    <w:p w14:paraId="59FB0FE0">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保持运输车辆、船舶等运输工具的行驶记录、卫星定位等电子装置正常使用；</w:t>
      </w:r>
    </w:p>
    <w:p w14:paraId="1219E8BB">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运输过程中保持运输工具整洁，采取密闭或者其他有效措施防止遗撒建筑垃圾，不得擅自倾倒、抛撒建筑垃圾；</w:t>
      </w:r>
    </w:p>
    <w:p w14:paraId="04AD2218">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按照建筑垃圾处理方案确定的时间、路线、方式、场所进行运输。建筑垃圾运输车辆、船舶应当符合相应的载运技术条件。建筑垃圾处置场所为陆域的，不得采用开底式船舶运输建筑垃圾。</w:t>
      </w:r>
    </w:p>
    <w:p w14:paraId="6C031E33">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5.工程泥浆应当在施工现场进行脱水固化处理。施工现场不具备条件的，应当采用罐装器具密闭运输至依法设置的建筑垃圾处置场所进行处置。水上工程中依法无需经脱水处理的除外。</w:t>
      </w:r>
    </w:p>
    <w:p w14:paraId="2783EF4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6.建筑垃圾应当按照下列方式，优先就地就近利用：</w:t>
      </w:r>
    </w:p>
    <w:p w14:paraId="01B5ED3A">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工程渣土及脱水后的工程泥浆优先用于土方平衡、矿坑修复、环境治理、烧结制品及回填等；</w:t>
      </w:r>
    </w:p>
    <w:p w14:paraId="0D7E4E62">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工程垃圾、拆除垃圾和装修垃圾优先用于生产再生骨料、再生砖、再生砌块、再生沥青混合料等建筑垃圾综合利用产品。具备现场综合利用条件的建设工程，应当进行建筑垃圾现场综合利用。</w:t>
      </w:r>
    </w:p>
    <w:p w14:paraId="31705DF4">
      <w:pPr>
        <w:widowControl/>
        <w:shd w:val="clear" w:color="auto" w:fill="FFFFFF"/>
        <w:spacing w:line="360" w:lineRule="auto"/>
        <w:ind w:firstLine="424" w:firstLineChars="177"/>
        <w:jc w:val="left"/>
        <w:rPr>
          <w:rFonts w:hint="eastAsia" w:ascii="宋体" w:hAnsi="宋体" w:cs="宋体"/>
          <w:bCs/>
          <w:sz w:val="24"/>
          <w:szCs w:val="24"/>
          <w:highlight w:val="none"/>
        </w:rPr>
      </w:pPr>
      <w:r>
        <w:rPr>
          <w:rFonts w:hint="eastAsia" w:ascii="宋体" w:hAnsi="宋体" w:cs="宋体"/>
          <w:bCs/>
          <w:sz w:val="24"/>
          <w:szCs w:val="24"/>
          <w:highlight w:val="none"/>
        </w:rPr>
        <w:t>7.建设单位和治理单位严格遵守并执行《广东省建筑垃圾管理条例》。</w:t>
      </w:r>
    </w:p>
    <w:p w14:paraId="3D032AF6">
      <w:pPr>
        <w:pStyle w:val="6"/>
        <w:rPr>
          <w:rFonts w:hint="eastAsia" w:ascii="宋体" w:hAnsi="宋体" w:cs="宋体"/>
          <w:bCs/>
          <w:sz w:val="24"/>
          <w:szCs w:val="24"/>
          <w:highlight w:val="none"/>
          <w:u w:val="single"/>
        </w:rPr>
      </w:pPr>
    </w:p>
    <w:p w14:paraId="12E2A3CE">
      <w:pPr>
        <w:pStyle w:val="9"/>
        <w:rPr>
          <w:rFonts w:hAnsi="宋体" w:cs="宋体"/>
          <w:highlight w:val="none"/>
        </w:rPr>
        <w:sectPr>
          <w:type w:val="continuous"/>
          <w:pgSz w:w="11905" w:h="16838"/>
          <w:pgMar w:top="1440" w:right="1803" w:bottom="1440" w:left="1803" w:header="850" w:footer="992" w:gutter="0"/>
          <w:cols w:space="0" w:num="1"/>
          <w:docGrid w:type="lines" w:linePitch="319" w:charSpace="0"/>
        </w:sectPr>
      </w:pPr>
    </w:p>
    <w:p w14:paraId="76BF392D">
      <w:pPr>
        <w:widowControl/>
        <w:textAlignment w:val="center"/>
        <w:rPr>
          <w:rFonts w:hint="eastAsia" w:ascii="宋体" w:hAnsi="宋体" w:cs="宋体"/>
          <w:b/>
          <w:sz w:val="43"/>
          <w:highlight w:val="none"/>
        </w:rPr>
      </w:pPr>
    </w:p>
    <w:p w14:paraId="5CE6498E">
      <w:pPr>
        <w:pStyle w:val="9"/>
        <w:rPr>
          <w:rFonts w:hAnsi="宋体" w:cs="宋体"/>
          <w:highlight w:val="none"/>
        </w:rPr>
      </w:pPr>
    </w:p>
    <w:p w14:paraId="3BA64472">
      <w:pPr>
        <w:pStyle w:val="9"/>
        <w:rPr>
          <w:rFonts w:hAnsi="宋体" w:cs="宋体"/>
          <w:highlight w:val="none"/>
        </w:rPr>
      </w:pPr>
    </w:p>
    <w:p w14:paraId="623510B1">
      <w:pPr>
        <w:spacing w:line="491" w:lineRule="exact"/>
        <w:jc w:val="center"/>
        <w:outlineLvl w:val="1"/>
        <w:rPr>
          <w:rFonts w:hint="eastAsia" w:ascii="宋体" w:hAnsi="宋体" w:cs="宋体"/>
          <w:b/>
          <w:sz w:val="43"/>
          <w:highlight w:val="none"/>
        </w:rPr>
      </w:pPr>
      <w:bookmarkStart w:id="463" w:name="_Toc102997644"/>
      <w:r>
        <w:rPr>
          <w:rFonts w:hint="eastAsia" w:ascii="宋体" w:hAnsi="宋体" w:cs="宋体"/>
          <w:b/>
          <w:sz w:val="43"/>
          <w:highlight w:val="none"/>
        </w:rPr>
        <w:t>第六章 投标文件格式</w:t>
      </w:r>
      <w:bookmarkEnd w:id="463"/>
    </w:p>
    <w:p w14:paraId="7691A222">
      <w:pPr>
        <w:spacing w:line="491" w:lineRule="exact"/>
        <w:jc w:val="center"/>
        <w:rPr>
          <w:rFonts w:hint="eastAsia" w:ascii="宋体" w:hAnsi="宋体" w:cs="宋体"/>
          <w:b/>
          <w:sz w:val="43"/>
          <w:highlight w:val="none"/>
        </w:rPr>
        <w:sectPr>
          <w:pgSz w:w="11905" w:h="16838"/>
          <w:pgMar w:top="1440" w:right="1803" w:bottom="1440" w:left="1803" w:header="850" w:footer="992" w:gutter="0"/>
          <w:cols w:space="0" w:num="1"/>
          <w:docGrid w:type="lines" w:linePitch="319" w:charSpace="0"/>
        </w:sectPr>
      </w:pPr>
    </w:p>
    <w:p w14:paraId="5E4203CC">
      <w:pPr>
        <w:spacing w:line="200" w:lineRule="exact"/>
        <w:rPr>
          <w:rFonts w:hint="eastAsia" w:ascii="宋体" w:hAnsi="宋体" w:cs="宋体"/>
          <w:highlight w:val="none"/>
        </w:rPr>
      </w:pPr>
    </w:p>
    <w:p w14:paraId="69F63E02">
      <w:pPr>
        <w:spacing w:line="0" w:lineRule="atLeast"/>
        <w:jc w:val="center"/>
        <w:rPr>
          <w:rFonts w:hint="eastAsia" w:ascii="宋体" w:hAnsi="宋体" w:cs="宋体"/>
          <w:sz w:val="18"/>
          <w:highlight w:val="none"/>
        </w:rPr>
        <w:sectPr>
          <w:type w:val="continuous"/>
          <w:pgSz w:w="11905" w:h="16838"/>
          <w:pgMar w:top="1440" w:right="1803" w:bottom="1440" w:left="1803" w:header="850" w:footer="992" w:gutter="0"/>
          <w:cols w:space="0" w:num="1"/>
          <w:docGrid w:type="lines" w:linePitch="319" w:charSpace="0"/>
        </w:sectPr>
      </w:pPr>
    </w:p>
    <w:p w14:paraId="33A5ECAA">
      <w:pPr>
        <w:spacing w:line="360" w:lineRule="auto"/>
        <w:rPr>
          <w:rFonts w:hint="eastAsia" w:ascii="宋体" w:hAnsi="宋体" w:cs="宋体"/>
          <w:highlight w:val="none"/>
        </w:rPr>
      </w:pPr>
    </w:p>
    <w:p w14:paraId="572716EF">
      <w:pPr>
        <w:spacing w:line="360" w:lineRule="auto"/>
        <w:rPr>
          <w:rFonts w:hint="eastAsia" w:ascii="宋体" w:hAnsi="宋体" w:cs="宋体"/>
          <w:highlight w:val="none"/>
        </w:rPr>
      </w:pPr>
    </w:p>
    <w:p w14:paraId="004D1120">
      <w:pPr>
        <w:spacing w:line="360" w:lineRule="auto"/>
        <w:rPr>
          <w:rFonts w:hint="eastAsia" w:ascii="宋体" w:hAnsi="宋体" w:cs="宋体"/>
          <w:highlight w:val="none"/>
        </w:rPr>
      </w:pPr>
    </w:p>
    <w:p w14:paraId="6B666585">
      <w:pPr>
        <w:spacing w:line="360" w:lineRule="auto"/>
        <w:rPr>
          <w:rFonts w:hint="eastAsia" w:ascii="宋体" w:hAnsi="宋体" w:cs="宋体"/>
          <w:highlight w:val="none"/>
        </w:rPr>
      </w:pPr>
    </w:p>
    <w:p w14:paraId="6832F32D">
      <w:pPr>
        <w:spacing w:line="360" w:lineRule="auto"/>
        <w:rPr>
          <w:rFonts w:hint="eastAsia" w:ascii="宋体" w:hAnsi="宋体" w:cs="宋体"/>
          <w:highlight w:val="none"/>
        </w:rPr>
      </w:pPr>
    </w:p>
    <w:p w14:paraId="45A33A62">
      <w:pPr>
        <w:spacing w:line="360" w:lineRule="auto"/>
        <w:jc w:val="center"/>
        <w:rPr>
          <w:rFonts w:hint="eastAsia" w:ascii="宋体" w:hAnsi="宋体" w:cs="宋体"/>
          <w:b/>
          <w:bCs/>
          <w:sz w:val="36"/>
          <w:szCs w:val="30"/>
          <w:highlight w:val="none"/>
        </w:rPr>
      </w:pPr>
      <w:r>
        <w:rPr>
          <w:rFonts w:hint="eastAsia" w:ascii="宋体" w:hAnsi="宋体" w:cs="宋体"/>
          <w:b/>
          <w:bCs/>
          <w:sz w:val="36"/>
          <w:szCs w:val="30"/>
          <w:highlight w:val="none"/>
        </w:rPr>
        <w:t>花果山产业小镇综合配套工程建设项目</w:t>
      </w:r>
    </w:p>
    <w:p w14:paraId="638BE744">
      <w:pPr>
        <w:spacing w:line="360" w:lineRule="auto"/>
        <w:jc w:val="center"/>
        <w:rPr>
          <w:rFonts w:hint="eastAsia" w:ascii="宋体" w:hAnsi="宋体" w:cs="宋体"/>
          <w:b/>
          <w:sz w:val="24"/>
          <w:highlight w:val="none"/>
        </w:rPr>
      </w:pPr>
      <w:r>
        <w:rPr>
          <w:rFonts w:hint="eastAsia" w:ascii="宋体" w:hAnsi="宋体" w:cs="宋体"/>
          <w:b/>
          <w:bCs/>
          <w:sz w:val="36"/>
          <w:szCs w:val="30"/>
          <w:highlight w:val="none"/>
        </w:rPr>
        <w:t>土壤污染修复技术服务</w:t>
      </w:r>
    </w:p>
    <w:p w14:paraId="3114EBBB">
      <w:pPr>
        <w:spacing w:line="360" w:lineRule="auto"/>
        <w:rPr>
          <w:rFonts w:hint="eastAsia" w:ascii="宋体" w:hAnsi="宋体" w:cs="宋体"/>
          <w:highlight w:val="none"/>
        </w:rPr>
      </w:pPr>
    </w:p>
    <w:p w14:paraId="5E319219">
      <w:pPr>
        <w:spacing w:line="360" w:lineRule="auto"/>
        <w:rPr>
          <w:rFonts w:hint="eastAsia" w:ascii="宋体" w:hAnsi="宋体" w:cs="宋体"/>
          <w:highlight w:val="none"/>
        </w:rPr>
      </w:pPr>
    </w:p>
    <w:p w14:paraId="63A9A381">
      <w:pPr>
        <w:spacing w:line="360" w:lineRule="auto"/>
        <w:rPr>
          <w:rFonts w:hint="eastAsia" w:ascii="宋体" w:hAnsi="宋体" w:cs="宋体"/>
          <w:highlight w:val="none"/>
        </w:rPr>
      </w:pPr>
    </w:p>
    <w:p w14:paraId="2111894D">
      <w:pPr>
        <w:spacing w:line="360" w:lineRule="auto"/>
        <w:rPr>
          <w:rFonts w:hint="eastAsia" w:ascii="宋体" w:hAnsi="宋体" w:cs="宋体"/>
          <w:highlight w:val="none"/>
        </w:rPr>
      </w:pPr>
    </w:p>
    <w:p w14:paraId="46E6D002">
      <w:pPr>
        <w:spacing w:line="360" w:lineRule="auto"/>
        <w:jc w:val="center"/>
        <w:rPr>
          <w:rFonts w:hint="eastAsia" w:ascii="宋体" w:hAnsi="宋体" w:cs="宋体"/>
          <w:sz w:val="44"/>
          <w:highlight w:val="none"/>
        </w:rPr>
      </w:pPr>
    </w:p>
    <w:p w14:paraId="01E1657D">
      <w:pPr>
        <w:spacing w:line="360" w:lineRule="auto"/>
        <w:jc w:val="center"/>
        <w:rPr>
          <w:rFonts w:hint="eastAsia" w:ascii="宋体" w:hAnsi="宋体" w:cs="宋体"/>
          <w:b/>
          <w:sz w:val="44"/>
          <w:highlight w:val="none"/>
        </w:rPr>
      </w:pPr>
      <w:r>
        <w:rPr>
          <w:rFonts w:hint="eastAsia" w:ascii="宋体" w:hAnsi="宋体" w:cs="宋体"/>
          <w:b/>
          <w:sz w:val="44"/>
          <w:highlight w:val="none"/>
        </w:rPr>
        <w:t>投 标 文 件</w:t>
      </w:r>
    </w:p>
    <w:p w14:paraId="5C5D1C8F">
      <w:pPr>
        <w:spacing w:line="200" w:lineRule="exact"/>
        <w:rPr>
          <w:rFonts w:hint="eastAsia" w:ascii="宋体" w:hAnsi="宋体" w:cs="宋体"/>
          <w:highlight w:val="none"/>
        </w:rPr>
      </w:pPr>
    </w:p>
    <w:p w14:paraId="030DF971">
      <w:pPr>
        <w:spacing w:line="200" w:lineRule="exact"/>
        <w:rPr>
          <w:rFonts w:hint="eastAsia" w:ascii="宋体" w:hAnsi="宋体" w:cs="宋体"/>
          <w:highlight w:val="none"/>
        </w:rPr>
      </w:pPr>
    </w:p>
    <w:p w14:paraId="504DE3C6">
      <w:pPr>
        <w:spacing w:line="200" w:lineRule="exact"/>
        <w:rPr>
          <w:rFonts w:hint="eastAsia" w:ascii="宋体" w:hAnsi="宋体" w:cs="宋体"/>
          <w:highlight w:val="none"/>
        </w:rPr>
      </w:pPr>
    </w:p>
    <w:p w14:paraId="5CC65E71">
      <w:pPr>
        <w:spacing w:line="200" w:lineRule="exact"/>
        <w:rPr>
          <w:rFonts w:hint="eastAsia" w:ascii="宋体" w:hAnsi="宋体" w:cs="宋体"/>
          <w:highlight w:val="none"/>
        </w:rPr>
      </w:pPr>
    </w:p>
    <w:p w14:paraId="06870202">
      <w:pPr>
        <w:spacing w:line="200" w:lineRule="exact"/>
        <w:rPr>
          <w:rFonts w:hint="eastAsia" w:ascii="宋体" w:hAnsi="宋体" w:cs="宋体"/>
          <w:highlight w:val="none"/>
        </w:rPr>
      </w:pPr>
    </w:p>
    <w:p w14:paraId="035D9DF8">
      <w:pPr>
        <w:spacing w:line="200" w:lineRule="exact"/>
        <w:rPr>
          <w:rFonts w:hint="eastAsia" w:ascii="宋体" w:hAnsi="宋体" w:cs="宋体"/>
          <w:highlight w:val="none"/>
        </w:rPr>
      </w:pPr>
    </w:p>
    <w:p w14:paraId="02084066">
      <w:pPr>
        <w:spacing w:line="200" w:lineRule="exact"/>
        <w:rPr>
          <w:rFonts w:hint="eastAsia" w:ascii="宋体" w:hAnsi="宋体" w:cs="宋体"/>
          <w:highlight w:val="none"/>
        </w:rPr>
      </w:pPr>
    </w:p>
    <w:p w14:paraId="4B770BAD">
      <w:pPr>
        <w:spacing w:line="200" w:lineRule="exact"/>
        <w:rPr>
          <w:rFonts w:hint="eastAsia" w:ascii="宋体" w:hAnsi="宋体" w:cs="宋体"/>
          <w:highlight w:val="none"/>
        </w:rPr>
      </w:pPr>
    </w:p>
    <w:p w14:paraId="40745107">
      <w:pPr>
        <w:spacing w:line="200" w:lineRule="exact"/>
        <w:rPr>
          <w:rFonts w:hint="eastAsia" w:ascii="宋体" w:hAnsi="宋体" w:cs="宋体"/>
          <w:highlight w:val="none"/>
        </w:rPr>
      </w:pPr>
    </w:p>
    <w:p w14:paraId="673A1698">
      <w:pPr>
        <w:spacing w:line="200" w:lineRule="exact"/>
        <w:rPr>
          <w:rFonts w:hint="eastAsia" w:ascii="宋体" w:hAnsi="宋体" w:cs="宋体"/>
          <w:highlight w:val="none"/>
        </w:rPr>
      </w:pPr>
    </w:p>
    <w:p w14:paraId="3C5C7258">
      <w:pPr>
        <w:spacing w:line="200" w:lineRule="exact"/>
        <w:rPr>
          <w:rFonts w:hint="eastAsia" w:ascii="宋体" w:hAnsi="宋体" w:cs="宋体"/>
          <w:highlight w:val="none"/>
        </w:rPr>
      </w:pPr>
    </w:p>
    <w:p w14:paraId="6CF22D82">
      <w:pPr>
        <w:spacing w:line="200" w:lineRule="exact"/>
        <w:rPr>
          <w:rFonts w:hint="eastAsia" w:ascii="宋体" w:hAnsi="宋体" w:cs="宋体"/>
          <w:highlight w:val="none"/>
        </w:rPr>
      </w:pPr>
    </w:p>
    <w:p w14:paraId="05D38590">
      <w:pPr>
        <w:spacing w:line="200" w:lineRule="exact"/>
        <w:rPr>
          <w:rFonts w:hint="eastAsia" w:ascii="宋体" w:hAnsi="宋体" w:cs="宋体"/>
          <w:highlight w:val="none"/>
        </w:rPr>
      </w:pPr>
    </w:p>
    <w:p w14:paraId="14F7F6AB">
      <w:pPr>
        <w:spacing w:line="200" w:lineRule="exact"/>
        <w:rPr>
          <w:rFonts w:hint="eastAsia" w:ascii="宋体" w:hAnsi="宋体" w:cs="宋体"/>
          <w:highlight w:val="none"/>
        </w:rPr>
      </w:pPr>
    </w:p>
    <w:p w14:paraId="73D69FB3">
      <w:pPr>
        <w:spacing w:line="200" w:lineRule="exact"/>
        <w:rPr>
          <w:rFonts w:hint="eastAsia" w:ascii="宋体" w:hAnsi="宋体" w:cs="宋体"/>
          <w:highlight w:val="none"/>
        </w:rPr>
      </w:pPr>
    </w:p>
    <w:p w14:paraId="1C55E83B">
      <w:pPr>
        <w:spacing w:line="200" w:lineRule="exact"/>
        <w:rPr>
          <w:rFonts w:hint="eastAsia" w:ascii="宋体" w:hAnsi="宋体" w:cs="宋体"/>
          <w:highlight w:val="none"/>
        </w:rPr>
      </w:pPr>
    </w:p>
    <w:p w14:paraId="19903904">
      <w:pPr>
        <w:spacing w:line="200" w:lineRule="exact"/>
        <w:rPr>
          <w:rFonts w:hint="eastAsia" w:ascii="宋体" w:hAnsi="宋体" w:cs="宋体"/>
          <w:highlight w:val="none"/>
        </w:rPr>
      </w:pPr>
    </w:p>
    <w:p w14:paraId="5CC10211">
      <w:pPr>
        <w:spacing w:line="200" w:lineRule="exact"/>
        <w:rPr>
          <w:rFonts w:hint="eastAsia" w:ascii="宋体" w:hAnsi="宋体" w:cs="宋体"/>
          <w:highlight w:val="none"/>
        </w:rPr>
      </w:pPr>
    </w:p>
    <w:p w14:paraId="08D5A705">
      <w:pPr>
        <w:spacing w:line="200" w:lineRule="exact"/>
        <w:rPr>
          <w:rFonts w:hint="eastAsia" w:ascii="宋体" w:hAnsi="宋体" w:cs="宋体"/>
          <w:highlight w:val="none"/>
        </w:rPr>
      </w:pPr>
    </w:p>
    <w:p w14:paraId="21F541A0">
      <w:pPr>
        <w:spacing w:line="200" w:lineRule="exact"/>
        <w:rPr>
          <w:rFonts w:hint="eastAsia" w:ascii="宋体" w:hAnsi="宋体" w:cs="宋体"/>
          <w:highlight w:val="none"/>
        </w:rPr>
      </w:pPr>
    </w:p>
    <w:p w14:paraId="5DFBDD72">
      <w:pPr>
        <w:spacing w:line="200" w:lineRule="exact"/>
        <w:rPr>
          <w:rFonts w:hint="eastAsia" w:ascii="宋体" w:hAnsi="宋体" w:cs="宋体"/>
          <w:highlight w:val="none"/>
        </w:rPr>
      </w:pPr>
    </w:p>
    <w:p w14:paraId="72A1CE09">
      <w:pPr>
        <w:tabs>
          <w:tab w:val="left" w:pos="7200"/>
        </w:tabs>
        <w:spacing w:line="308" w:lineRule="exact"/>
        <w:rPr>
          <w:rFonts w:hint="eastAsia" w:ascii="宋体" w:hAnsi="宋体" w:cs="宋体"/>
          <w:sz w:val="27"/>
          <w:highlight w:val="none"/>
        </w:rPr>
      </w:pPr>
      <w:r>
        <w:rPr>
          <w:rFonts w:hint="eastAsia" w:ascii="宋体" w:hAnsi="宋体" w:cs="宋体"/>
          <w:sz w:val="27"/>
          <w:highlight w:val="none"/>
        </w:rPr>
        <w:t>投标人：（盖单位章）</w:t>
      </w:r>
    </w:p>
    <w:p w14:paraId="2277C508">
      <w:pPr>
        <w:spacing w:line="20" w:lineRule="exact"/>
        <w:rPr>
          <w:rFonts w:hint="eastAsia" w:ascii="宋体" w:hAnsi="宋体" w:cs="宋体"/>
          <w:highlight w:val="none"/>
        </w:rPr>
      </w:pPr>
      <w:r>
        <w:rPr>
          <w:rFonts w:ascii="宋体" w:hAnsi="宋体" w:cs="宋体"/>
          <w:highlight w:val="none"/>
        </w:rPr>
        <mc:AlternateContent>
          <mc:Choice Requires="wps">
            <w:drawing>
              <wp:anchor distT="0" distB="0" distL="114300" distR="114300" simplePos="0" relativeHeight="251661312"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2932430" cy="0"/>
                        </a:xfrm>
                        <a:prstGeom prst="line">
                          <a:avLst/>
                        </a:prstGeom>
                        <a:noFill/>
                        <a:ln w="6095">
                          <a:solidFill>
                            <a:srgbClr val="000000"/>
                          </a:solidFill>
                          <a:round/>
                        </a:ln>
                        <a:effectLst/>
                      </wps:spPr>
                      <wps:bodyPr/>
                    </wps:wsp>
                  </a:graphicData>
                </a:graphic>
              </wp:anchor>
            </w:drawing>
          </mc:Choice>
          <mc:Fallback>
            <w:pict>
              <v:line id="_x0000_s1026" o:spid="_x0000_s1026" o:spt="20" style="position:absolute;left:0pt;margin-left:130.2pt;margin-top:-0.45pt;height:0pt;width:230.9pt;z-index:-251655168;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jLRc0wAA&#10;AAcBAAAPAAAAAAAAAAEAIAAAACIAAABkcnMvZG93bnJldi54bWxQSwECFAAUAAAACACHTuJAusjr&#10;qOoBAAC6AwAADgAAAAAAAAABACAAAAAiAQAAZHJzL2Uyb0RvYy54bWxQSwUGAAAAAAYABgBZAQAA&#10;fgUAAAAA&#10;">
                <v:fill on="f" focussize="0,0"/>
                <v:stroke weight="0.47992125984252pt" color="#000000" joinstyle="round"/>
                <v:imagedata o:title=""/>
                <o:lock v:ext="edit" aspectratio="f"/>
              </v:line>
            </w:pict>
          </mc:Fallback>
        </mc:AlternateContent>
      </w:r>
    </w:p>
    <w:p w14:paraId="7325412D">
      <w:pPr>
        <w:spacing w:line="205" w:lineRule="exact"/>
        <w:rPr>
          <w:rFonts w:hint="eastAsia" w:ascii="宋体" w:hAnsi="宋体" w:cs="宋体"/>
          <w:highlight w:val="none"/>
        </w:rPr>
      </w:pPr>
    </w:p>
    <w:p w14:paraId="7104EAEC">
      <w:pPr>
        <w:tabs>
          <w:tab w:val="left" w:pos="5840"/>
        </w:tabs>
        <w:spacing w:line="320" w:lineRule="exact"/>
        <w:rPr>
          <w:rFonts w:hint="eastAsia" w:ascii="宋体" w:hAnsi="宋体" w:cs="宋体"/>
          <w:sz w:val="28"/>
          <w:highlight w:val="none"/>
        </w:rPr>
      </w:pPr>
      <w:r>
        <w:rPr>
          <w:rFonts w:hint="eastAsia" w:ascii="宋体" w:hAnsi="宋体" w:cs="宋体"/>
          <w:sz w:val="28"/>
          <w:highlight w:val="none"/>
        </w:rPr>
        <w:t xml:space="preserve">法定代表人或其被授权人：（签字或盖章）      </w:t>
      </w:r>
    </w:p>
    <w:p w14:paraId="2140AFDF">
      <w:pPr>
        <w:spacing w:line="20" w:lineRule="exact"/>
        <w:rPr>
          <w:rFonts w:hint="eastAsia" w:ascii="宋体" w:hAnsi="宋体" w:cs="宋体"/>
          <w:highlight w:val="none"/>
        </w:rPr>
      </w:pPr>
      <w:r>
        <w:rPr>
          <w:rFonts w:ascii="宋体" w:hAnsi="宋体" w:cs="宋体"/>
          <w:highlight w:val="none"/>
        </w:rPr>
        <mc:AlternateContent>
          <mc:Choice Requires="wps">
            <w:drawing>
              <wp:anchor distT="0" distB="0" distL="114300" distR="114300" simplePos="0" relativeHeight="251662336" behindDoc="1" locked="0" layoutInCell="0" allowOverlap="1">
                <wp:simplePos x="0" y="0"/>
                <wp:positionH relativeFrom="column">
                  <wp:posOffset>3252470</wp:posOffset>
                </wp:positionH>
                <wp:positionV relativeFrom="paragraph">
                  <wp:posOffset>-5715</wp:posOffset>
                </wp:positionV>
                <wp:extent cx="466725" cy="0"/>
                <wp:effectExtent l="0" t="4445" r="0" b="508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096">
                          <a:solidFill>
                            <a:srgbClr val="000000"/>
                          </a:solidFill>
                          <a:round/>
                        </a:ln>
                        <a:effectLst/>
                      </wps:spPr>
                      <wps:bodyPr/>
                    </wps:wsp>
                  </a:graphicData>
                </a:graphic>
              </wp:anchor>
            </w:drawing>
          </mc:Choice>
          <mc:Fallback>
            <w:pict>
              <v:line id="_x0000_s1026" o:spid="_x0000_s1026" o:spt="20" style="position:absolute;left:0pt;margin-left:256.1pt;margin-top:-0.45pt;height:0pt;width:36.75pt;z-index:-251654144;mso-width-relative:page;mso-height-relative:page;" filled="f" stroked="t" coordsize="21600,21600" o:allowincell="f" o:gfxdata="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U5IKLW&#10;AAAABwEAAA8AAAAAAAAAAQAgAAAAIgAAAGRycy9kb3ducmV2LnhtbFBLAQIUABQAAAAIAIdO4kBl&#10;1nNG6QEAALkDAAAOAAAAAAAAAAEAIAAAACUBAABkcnMvZTJvRG9jLnhtbFBLBQYAAAAABgAGAFkB&#10;AACABQAAAAA=&#10;">
                <v:fill on="f" focussize="0,0"/>
                <v:stroke weight="0.48pt" color="#000000" joinstyle="round"/>
                <v:imagedata o:title=""/>
                <o:lock v:ext="edit" aspectratio="f"/>
              </v:line>
            </w:pict>
          </mc:Fallback>
        </mc:AlternateContent>
      </w:r>
    </w:p>
    <w:p w14:paraId="754AC536">
      <w:pPr>
        <w:spacing w:line="200" w:lineRule="exact"/>
        <w:rPr>
          <w:rFonts w:hint="eastAsia" w:ascii="宋体" w:hAnsi="宋体" w:cs="宋体"/>
          <w:highlight w:val="none"/>
        </w:rPr>
      </w:pPr>
    </w:p>
    <w:p w14:paraId="2D6D97D1">
      <w:pPr>
        <w:tabs>
          <w:tab w:val="left" w:pos="4880"/>
          <w:tab w:val="left" w:pos="5900"/>
        </w:tabs>
        <w:spacing w:line="320" w:lineRule="exact"/>
        <w:ind w:firstLine="1120" w:firstLineChars="400"/>
        <w:rPr>
          <w:rFonts w:hint="eastAsia" w:ascii="宋体" w:hAnsi="宋体" w:cs="宋体"/>
          <w:highlight w:val="none"/>
        </w:rPr>
      </w:pPr>
      <w:r>
        <w:rPr>
          <w:rFonts w:hint="eastAsia" w:ascii="宋体" w:hAnsi="宋体" w:cs="宋体"/>
          <w:sz w:val="28"/>
          <w:highlight w:val="none"/>
        </w:rPr>
        <w:t>年   月   日</w:t>
      </w:r>
    </w:p>
    <w:p w14:paraId="2B7F1E62">
      <w:pPr>
        <w:spacing w:line="225" w:lineRule="exact"/>
        <w:rPr>
          <w:rFonts w:hint="eastAsia" w:ascii="宋体" w:hAnsi="宋体" w:cs="宋体"/>
          <w:highlight w:val="none"/>
        </w:rPr>
      </w:pPr>
    </w:p>
    <w:p w14:paraId="1A96B8E4">
      <w:pPr>
        <w:spacing w:line="0" w:lineRule="atLeast"/>
        <w:jc w:val="center"/>
        <w:rPr>
          <w:rFonts w:hint="eastAsia" w:ascii="宋体" w:hAnsi="宋体" w:cs="宋体"/>
          <w:sz w:val="18"/>
          <w:highlight w:val="none"/>
        </w:rPr>
        <w:sectPr>
          <w:pgSz w:w="11905" w:h="16838"/>
          <w:pgMar w:top="1440" w:right="1803" w:bottom="1440" w:left="1803" w:header="850" w:footer="992" w:gutter="0"/>
          <w:cols w:space="0" w:num="1"/>
          <w:docGrid w:type="lines" w:linePitch="319" w:charSpace="0"/>
        </w:sectPr>
      </w:pPr>
    </w:p>
    <w:p w14:paraId="6CF52933">
      <w:pPr>
        <w:spacing w:line="1" w:lineRule="exact"/>
        <w:rPr>
          <w:rFonts w:hint="eastAsia" w:ascii="宋体" w:hAnsi="宋体" w:cs="宋体"/>
          <w:highlight w:val="none"/>
        </w:rPr>
      </w:pPr>
    </w:p>
    <w:p w14:paraId="55D0F07C">
      <w:pPr>
        <w:spacing w:line="366" w:lineRule="exact"/>
        <w:jc w:val="center"/>
        <w:rPr>
          <w:rFonts w:hint="eastAsia" w:ascii="宋体" w:hAnsi="宋体" w:cs="宋体"/>
          <w:b/>
          <w:sz w:val="36"/>
          <w:highlight w:val="none"/>
        </w:rPr>
      </w:pPr>
      <w:r>
        <w:rPr>
          <w:rFonts w:hint="eastAsia" w:ascii="宋体" w:hAnsi="宋体" w:cs="宋体"/>
          <w:b/>
          <w:sz w:val="36"/>
          <w:highlight w:val="none"/>
        </w:rPr>
        <w:t>目 录</w:t>
      </w:r>
    </w:p>
    <w:p w14:paraId="7AB47E0F">
      <w:pPr>
        <w:spacing w:line="360" w:lineRule="auto"/>
        <w:rPr>
          <w:rFonts w:hint="eastAsia" w:ascii="宋体" w:hAnsi="宋体" w:cs="宋体"/>
          <w:sz w:val="24"/>
          <w:highlight w:val="none"/>
        </w:rPr>
      </w:pPr>
      <w:bookmarkStart w:id="464" w:name="_Toc352691655"/>
      <w:bookmarkStart w:id="465" w:name="_Toc7039"/>
      <w:bookmarkStart w:id="466" w:name="_Toc369531691"/>
    </w:p>
    <w:p w14:paraId="45E2B2C1">
      <w:pPr>
        <w:spacing w:line="360" w:lineRule="auto"/>
        <w:rPr>
          <w:rFonts w:hint="eastAsia" w:ascii="宋体" w:hAnsi="宋体" w:cs="宋体"/>
          <w:sz w:val="24"/>
          <w:highlight w:val="none"/>
        </w:rPr>
      </w:pPr>
      <w:r>
        <w:rPr>
          <w:rFonts w:hint="eastAsia" w:ascii="宋体" w:hAnsi="宋体" w:cs="宋体"/>
          <w:sz w:val="24"/>
          <w:highlight w:val="none"/>
        </w:rPr>
        <w:t>一、投标函及其附录</w:t>
      </w:r>
    </w:p>
    <w:p w14:paraId="795F2FCC">
      <w:pPr>
        <w:spacing w:line="360" w:lineRule="auto"/>
        <w:rPr>
          <w:rFonts w:hint="eastAsia" w:ascii="宋体" w:hAnsi="宋体" w:cs="宋体"/>
          <w:sz w:val="24"/>
          <w:highlight w:val="none"/>
        </w:rPr>
      </w:pPr>
      <w:r>
        <w:rPr>
          <w:rFonts w:hint="eastAsia" w:ascii="宋体" w:hAnsi="宋体" w:cs="宋体"/>
          <w:sz w:val="24"/>
          <w:highlight w:val="none"/>
        </w:rPr>
        <w:t>二、法定代表人身份证明</w:t>
      </w:r>
    </w:p>
    <w:p w14:paraId="47825738">
      <w:pPr>
        <w:spacing w:line="360" w:lineRule="auto"/>
        <w:rPr>
          <w:rFonts w:hint="eastAsia" w:ascii="宋体" w:hAnsi="宋体" w:cs="宋体"/>
          <w:sz w:val="24"/>
          <w:highlight w:val="none"/>
        </w:rPr>
      </w:pPr>
      <w:r>
        <w:rPr>
          <w:rFonts w:hint="eastAsia" w:ascii="宋体" w:hAnsi="宋体" w:cs="宋体"/>
          <w:sz w:val="24"/>
          <w:highlight w:val="none"/>
        </w:rPr>
        <w:t>三、授权委托书（适用于有委托代理人的情况）</w:t>
      </w:r>
    </w:p>
    <w:p w14:paraId="5F9C94D6">
      <w:pPr>
        <w:spacing w:line="360" w:lineRule="auto"/>
        <w:rPr>
          <w:rFonts w:hint="eastAsia" w:ascii="宋体" w:hAnsi="宋体" w:cs="宋体"/>
          <w:sz w:val="24"/>
          <w:highlight w:val="none"/>
        </w:rPr>
      </w:pPr>
      <w:r>
        <w:rPr>
          <w:rFonts w:hint="eastAsia" w:ascii="宋体" w:hAnsi="宋体" w:cs="宋体"/>
          <w:sz w:val="24"/>
          <w:highlight w:val="none"/>
        </w:rPr>
        <w:t>四、投标报价表</w:t>
      </w:r>
    </w:p>
    <w:p w14:paraId="4AB8B728">
      <w:pPr>
        <w:spacing w:line="360" w:lineRule="auto"/>
        <w:rPr>
          <w:rFonts w:hint="eastAsia" w:ascii="宋体" w:hAnsi="宋体" w:cs="宋体"/>
          <w:sz w:val="24"/>
          <w:highlight w:val="none"/>
        </w:rPr>
      </w:pPr>
      <w:r>
        <w:rPr>
          <w:rFonts w:hint="eastAsia" w:ascii="宋体" w:hAnsi="宋体" w:cs="宋体"/>
          <w:sz w:val="24"/>
          <w:highlight w:val="none"/>
        </w:rPr>
        <w:t>五、资格审查资料</w:t>
      </w:r>
    </w:p>
    <w:p w14:paraId="6F2F1650">
      <w:pPr>
        <w:spacing w:line="360" w:lineRule="auto"/>
        <w:rPr>
          <w:rFonts w:hint="eastAsia" w:ascii="宋体" w:hAnsi="宋体" w:cs="宋体"/>
          <w:sz w:val="24"/>
          <w:highlight w:val="none"/>
        </w:rPr>
      </w:pPr>
      <w:r>
        <w:rPr>
          <w:rFonts w:hint="eastAsia" w:ascii="宋体" w:hAnsi="宋体" w:cs="宋体"/>
          <w:sz w:val="24"/>
          <w:highlight w:val="none"/>
        </w:rPr>
        <w:t>六、商务部分资料</w:t>
      </w:r>
    </w:p>
    <w:p w14:paraId="6F9DE517">
      <w:pPr>
        <w:spacing w:line="360" w:lineRule="auto"/>
        <w:rPr>
          <w:rFonts w:hint="eastAsia" w:ascii="宋体" w:hAnsi="宋体" w:cs="宋体"/>
          <w:sz w:val="24"/>
          <w:highlight w:val="none"/>
        </w:rPr>
      </w:pPr>
      <w:r>
        <w:rPr>
          <w:rFonts w:hint="eastAsia" w:ascii="宋体" w:hAnsi="宋体" w:cs="宋体"/>
          <w:sz w:val="24"/>
          <w:highlight w:val="none"/>
        </w:rPr>
        <w:t>七、技术部分资料</w:t>
      </w:r>
    </w:p>
    <w:p w14:paraId="5D52F2D6">
      <w:pPr>
        <w:widowControl/>
        <w:spacing w:line="360" w:lineRule="auto"/>
        <w:jc w:val="left"/>
        <w:rPr>
          <w:rFonts w:hint="eastAsia" w:ascii="宋体" w:hAnsi="宋体" w:cs="宋体"/>
          <w:sz w:val="20"/>
          <w:highlight w:val="none"/>
        </w:rPr>
      </w:pPr>
      <w:r>
        <w:rPr>
          <w:rFonts w:hint="eastAsia" w:ascii="宋体" w:hAnsi="宋体" w:cs="宋体"/>
          <w:sz w:val="24"/>
          <w:highlight w:val="none"/>
        </w:rPr>
        <w:t>八、其他资料（投标人认为需提交的其他资料）</w:t>
      </w:r>
      <w:r>
        <w:rPr>
          <w:rFonts w:hint="eastAsia" w:ascii="宋体" w:hAnsi="宋体" w:cs="宋体"/>
          <w:sz w:val="20"/>
          <w:highlight w:val="none"/>
        </w:rPr>
        <w:br w:type="page"/>
      </w:r>
    </w:p>
    <w:bookmarkEnd w:id="464"/>
    <w:bookmarkEnd w:id="465"/>
    <w:bookmarkEnd w:id="466"/>
    <w:p w14:paraId="75AEF026">
      <w:pPr>
        <w:pStyle w:val="2"/>
        <w:spacing w:line="360" w:lineRule="auto"/>
        <w:rPr>
          <w:rFonts w:hint="eastAsia" w:ascii="宋体" w:hAnsi="宋体" w:eastAsia="宋体" w:cs="宋体"/>
          <w:sz w:val="30"/>
          <w:szCs w:val="30"/>
          <w:highlight w:val="none"/>
        </w:rPr>
      </w:pPr>
      <w:bookmarkStart w:id="467" w:name="_Toc102997645"/>
      <w:bookmarkStart w:id="468" w:name="_Toc529196600"/>
      <w:bookmarkStart w:id="469" w:name="_Toc530470642"/>
      <w:bookmarkStart w:id="470" w:name="_Toc535938751"/>
      <w:r>
        <w:rPr>
          <w:rFonts w:hint="eastAsia" w:ascii="宋体" w:hAnsi="宋体" w:eastAsia="宋体" w:cs="宋体"/>
          <w:sz w:val="30"/>
          <w:szCs w:val="30"/>
          <w:highlight w:val="none"/>
        </w:rPr>
        <w:t>一、投标</w:t>
      </w:r>
      <w:bookmarkStart w:id="471" w:name="_Toc352691656"/>
      <w:bookmarkStart w:id="472" w:name="_Toc369531692"/>
      <w:bookmarkStart w:id="473" w:name="_Toc6931"/>
      <w:r>
        <w:rPr>
          <w:rFonts w:hint="eastAsia" w:ascii="宋体" w:hAnsi="宋体" w:eastAsia="宋体" w:cs="宋体"/>
          <w:sz w:val="30"/>
          <w:szCs w:val="30"/>
          <w:highlight w:val="none"/>
        </w:rPr>
        <w:t>函及其附录</w:t>
      </w:r>
      <w:bookmarkEnd w:id="467"/>
      <w:bookmarkEnd w:id="468"/>
      <w:bookmarkEnd w:id="469"/>
      <w:bookmarkEnd w:id="470"/>
    </w:p>
    <w:bookmarkEnd w:id="471"/>
    <w:bookmarkEnd w:id="472"/>
    <w:bookmarkEnd w:id="473"/>
    <w:p w14:paraId="0D26FADA">
      <w:pPr>
        <w:spacing w:line="360" w:lineRule="auto"/>
        <w:jc w:val="center"/>
        <w:rPr>
          <w:rFonts w:hint="eastAsia" w:ascii="宋体" w:hAnsi="宋体" w:cs="宋体"/>
          <w:b/>
          <w:sz w:val="32"/>
          <w:szCs w:val="32"/>
          <w:highlight w:val="none"/>
        </w:rPr>
      </w:pPr>
      <w:bookmarkStart w:id="474" w:name="_Toc529196601"/>
      <w:bookmarkStart w:id="475" w:name="_Toc530470643"/>
      <w:bookmarkStart w:id="476" w:name="_Toc482188651"/>
      <w:bookmarkStart w:id="477" w:name="_Toc370676426"/>
      <w:bookmarkStart w:id="478" w:name="_Toc385943065"/>
      <w:bookmarkStart w:id="479" w:name="_Toc359594235"/>
      <w:bookmarkStart w:id="480" w:name="_Toc391394111"/>
      <w:bookmarkStart w:id="481" w:name="_Toc535938752"/>
      <w:r>
        <w:rPr>
          <w:rFonts w:hint="eastAsia" w:ascii="宋体" w:hAnsi="宋体" w:cs="宋体"/>
          <w:b/>
          <w:sz w:val="32"/>
          <w:szCs w:val="32"/>
          <w:highlight w:val="none"/>
        </w:rPr>
        <w:t>投标函及其附录</w:t>
      </w:r>
    </w:p>
    <w:p w14:paraId="49B2E1CA">
      <w:pPr>
        <w:adjustRightInd w:val="0"/>
        <w:snapToGrid w:val="0"/>
        <w:spacing w:line="360" w:lineRule="auto"/>
        <w:rPr>
          <w:rFonts w:hint="eastAsia" w:ascii="宋体" w:hAnsi="宋体" w:cs="宋体"/>
          <w:sz w:val="24"/>
          <w:szCs w:val="24"/>
          <w:highlight w:val="none"/>
          <w:u w:val="single"/>
        </w:rPr>
      </w:pPr>
      <w:r>
        <w:rPr>
          <w:rFonts w:hint="eastAsia" w:ascii="宋体" w:hAnsi="宋体" w:cs="宋体"/>
          <w:sz w:val="24"/>
          <w:szCs w:val="24"/>
          <w:highlight w:val="none"/>
        </w:rPr>
        <w:t>致：</w:t>
      </w:r>
      <w:r>
        <w:rPr>
          <w:rFonts w:hint="eastAsia" w:ascii="宋体" w:hAnsi="宋体" w:cs="宋体"/>
          <w:sz w:val="24"/>
          <w:szCs w:val="24"/>
          <w:highlight w:val="none"/>
          <w:u w:val="single"/>
        </w:rPr>
        <w:t>广州市越秀区代建项目管理中心</w:t>
      </w:r>
    </w:p>
    <w:p w14:paraId="01519815">
      <w:pPr>
        <w:tabs>
          <w:tab w:val="left" w:pos="0"/>
          <w:tab w:val="left" w:pos="180"/>
        </w:tabs>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sz w:val="24"/>
          <w:szCs w:val="21"/>
          <w:highlight w:val="none"/>
        </w:rPr>
        <w:t>经考察现场并研究贵单位提供的有关资料后，我单位愿以：总报价¥</w:t>
      </w:r>
      <w:r>
        <w:rPr>
          <w:rFonts w:hint="eastAsia" w:ascii="宋体" w:hAnsi="宋体" w:cs="宋体"/>
          <w:sz w:val="24"/>
          <w:szCs w:val="21"/>
          <w:highlight w:val="none"/>
          <w:u w:val="single"/>
        </w:rPr>
        <w:t xml:space="preserve">   </w:t>
      </w:r>
      <w:r>
        <w:rPr>
          <w:rFonts w:hint="eastAsia" w:ascii="宋体" w:hAnsi="宋体" w:cs="宋体"/>
          <w:sz w:val="24"/>
          <w:szCs w:val="21"/>
          <w:highlight w:val="none"/>
        </w:rPr>
        <w:t>元（大写：</w:t>
      </w:r>
      <w:r>
        <w:rPr>
          <w:rFonts w:hint="eastAsia" w:ascii="宋体" w:hAnsi="宋体" w:cs="宋体"/>
          <w:sz w:val="24"/>
          <w:szCs w:val="21"/>
          <w:highlight w:val="none"/>
          <w:u w:val="single"/>
        </w:rPr>
        <w:t xml:space="preserve">    </w:t>
      </w:r>
      <w:r>
        <w:rPr>
          <w:rFonts w:hint="eastAsia" w:ascii="宋体" w:hAnsi="宋体" w:cs="宋体"/>
          <w:sz w:val="24"/>
          <w:szCs w:val="21"/>
          <w:highlight w:val="none"/>
        </w:rPr>
        <w:t>），并按招标文件和合同规定的服务期限，完成</w:t>
      </w:r>
      <w:r>
        <w:rPr>
          <w:rFonts w:hint="eastAsia" w:ascii="宋体" w:hAnsi="宋体" w:cs="宋体"/>
          <w:sz w:val="24"/>
          <w:szCs w:val="21"/>
          <w:highlight w:val="none"/>
          <w:u w:val="single"/>
        </w:rPr>
        <w:t xml:space="preserve">      </w:t>
      </w:r>
      <w:r>
        <w:rPr>
          <w:rFonts w:hint="eastAsia" w:ascii="宋体" w:hAnsi="宋体" w:cs="宋体"/>
          <w:sz w:val="24"/>
          <w:szCs w:val="21"/>
          <w:highlight w:val="none"/>
          <w:u w:val="single"/>
          <w:lang w:eastAsia="zh-CN"/>
        </w:rPr>
        <w:t>（</w:t>
      </w:r>
      <w:r>
        <w:rPr>
          <w:rFonts w:hint="eastAsia" w:ascii="宋体" w:hAnsi="宋体" w:cs="宋体"/>
          <w:sz w:val="24"/>
          <w:szCs w:val="21"/>
          <w:highlight w:val="none"/>
          <w:u w:val="single"/>
        </w:rPr>
        <w:t>项目名称</w:t>
      </w:r>
      <w:r>
        <w:rPr>
          <w:rFonts w:hint="eastAsia" w:ascii="宋体" w:hAnsi="宋体" w:cs="宋体"/>
          <w:sz w:val="24"/>
          <w:szCs w:val="21"/>
          <w:highlight w:val="none"/>
          <w:u w:val="single"/>
          <w:lang w:eastAsia="zh-CN"/>
        </w:rPr>
        <w:t>）</w:t>
      </w:r>
      <w:r>
        <w:rPr>
          <w:rFonts w:hint="eastAsia" w:ascii="宋体" w:hAnsi="宋体" w:cs="宋体"/>
          <w:sz w:val="24"/>
          <w:szCs w:val="21"/>
          <w:highlight w:val="none"/>
          <w:u w:val="single"/>
        </w:rPr>
        <w:t xml:space="preserve">  </w:t>
      </w:r>
      <w:r>
        <w:rPr>
          <w:rFonts w:hint="eastAsia" w:ascii="宋体" w:hAnsi="宋体" w:cs="宋体"/>
          <w:sz w:val="24"/>
          <w:szCs w:val="21"/>
          <w:highlight w:val="none"/>
        </w:rPr>
        <w:t>的全部工作内容。</w:t>
      </w:r>
    </w:p>
    <w:p w14:paraId="39B256F5">
      <w:pPr>
        <w:tabs>
          <w:tab w:val="left" w:pos="0"/>
          <w:tab w:val="left" w:pos="180"/>
        </w:tabs>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kern w:val="0"/>
          <w:sz w:val="24"/>
          <w:szCs w:val="21"/>
          <w:highlight w:val="none"/>
        </w:rPr>
        <w:t>我方完全愿意接受本项目招标文件中的合同条款，如我方中标，我们将在招标人要求的时间内签订技术服务合同。</w:t>
      </w:r>
    </w:p>
    <w:p w14:paraId="4E539617">
      <w:pPr>
        <w:tabs>
          <w:tab w:val="left" w:pos="0"/>
          <w:tab w:val="left" w:pos="180"/>
        </w:tabs>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sz w:val="24"/>
          <w:szCs w:val="21"/>
          <w:highlight w:val="none"/>
        </w:rPr>
        <w:t>我单位承诺，如果我单位中标，我单位保证在接到委托人开工指令后，按承诺工期完成并交付合同规定的全部工作内容；若委托人在工程实施过程中根据项目实际需要提出增加相关服务工作的指令，我单位将无条件按委托人要求开展相关工作。</w:t>
      </w:r>
    </w:p>
    <w:p w14:paraId="1B42220B">
      <w:pPr>
        <w:tabs>
          <w:tab w:val="left" w:pos="0"/>
          <w:tab w:val="left" w:pos="180"/>
        </w:tabs>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sz w:val="24"/>
          <w:szCs w:val="21"/>
          <w:highlight w:val="none"/>
        </w:rPr>
        <w:t>我单位承诺，如果我单位中标，我单位将按本投标文件的承诺为上述工作投入足够的设备、仪器、软件以及项目管理人员和技术人员等，并按要求驻场服务（如需）。</w:t>
      </w:r>
    </w:p>
    <w:p w14:paraId="442A907A">
      <w:pPr>
        <w:tabs>
          <w:tab w:val="left" w:pos="0"/>
          <w:tab w:val="left" w:pos="180"/>
        </w:tabs>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sz w:val="24"/>
          <w:szCs w:val="21"/>
          <w:highlight w:val="none"/>
        </w:rPr>
        <w:t>我单位同意在规定的投标有效期内严格遵守本投标书，本投标书对我单位始终有约束力，且随时接受中标。</w:t>
      </w:r>
    </w:p>
    <w:p w14:paraId="53164A87">
      <w:pPr>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sz w:val="24"/>
          <w:szCs w:val="21"/>
          <w:highlight w:val="none"/>
        </w:rPr>
        <w:t>我单位理解，贵单位不一定接受最低标价的投标或贵单位可能接受其他任何单位中标，同时也理解贵单位不负担我单位的任何投标费用。</w:t>
      </w:r>
    </w:p>
    <w:p w14:paraId="2C6DFD18">
      <w:pPr>
        <w:adjustRightInd w:val="0"/>
        <w:snapToGrid w:val="0"/>
        <w:spacing w:line="360" w:lineRule="auto"/>
        <w:ind w:firstLine="566" w:firstLineChars="236"/>
        <w:rPr>
          <w:rFonts w:hint="eastAsia" w:ascii="宋体" w:hAnsi="宋体" w:cs="宋体"/>
          <w:sz w:val="24"/>
          <w:szCs w:val="21"/>
          <w:highlight w:val="none"/>
        </w:rPr>
      </w:pPr>
      <w:r>
        <w:rPr>
          <w:rFonts w:hint="eastAsia" w:ascii="宋体" w:hAnsi="宋体" w:cs="宋体"/>
          <w:sz w:val="24"/>
          <w:szCs w:val="21"/>
          <w:highlight w:val="none"/>
        </w:rPr>
        <w:t>我单位承诺，不存在第二章“投标人须知”第1.4.3项规定的任何一种情形。</w:t>
      </w:r>
    </w:p>
    <w:p w14:paraId="322BC125">
      <w:pPr>
        <w:spacing w:line="360" w:lineRule="auto"/>
        <w:rPr>
          <w:rFonts w:hint="eastAsia" w:ascii="宋体" w:hAnsi="宋体" w:cs="宋体"/>
          <w:b/>
          <w:sz w:val="24"/>
          <w:highlight w:val="none"/>
        </w:rPr>
      </w:pPr>
    </w:p>
    <w:p w14:paraId="70725528">
      <w:pPr>
        <w:spacing w:line="360" w:lineRule="auto"/>
        <w:rPr>
          <w:rFonts w:hint="eastAsia" w:ascii="宋体" w:hAnsi="宋体" w:cs="宋体"/>
          <w:b/>
          <w:sz w:val="24"/>
          <w:highlight w:val="none"/>
        </w:rPr>
      </w:pPr>
      <w:r>
        <w:rPr>
          <w:rFonts w:hint="eastAsia" w:ascii="宋体" w:hAnsi="宋体" w:cs="宋体"/>
          <w:b/>
          <w:sz w:val="24"/>
          <w:highlight w:val="none"/>
        </w:rPr>
        <w:t>投标函附录：</w:t>
      </w:r>
    </w:p>
    <w:tbl>
      <w:tblPr>
        <w:tblStyle w:val="19"/>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7"/>
        <w:gridCol w:w="5283"/>
      </w:tblGrid>
      <w:tr w14:paraId="7E10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7" w:type="dxa"/>
            <w:vAlign w:val="center"/>
          </w:tcPr>
          <w:p w14:paraId="69B818C4">
            <w:pPr>
              <w:spacing w:line="360" w:lineRule="auto"/>
              <w:jc w:val="center"/>
              <w:rPr>
                <w:rFonts w:hint="eastAsia" w:ascii="宋体" w:hAnsi="宋体" w:cs="宋体"/>
                <w:b/>
                <w:sz w:val="24"/>
                <w:highlight w:val="none"/>
              </w:rPr>
            </w:pPr>
            <w:r>
              <w:rPr>
                <w:rFonts w:hint="eastAsia" w:ascii="宋体" w:hAnsi="宋体" w:cs="宋体"/>
                <w:b/>
                <w:sz w:val="24"/>
                <w:highlight w:val="none"/>
              </w:rPr>
              <w:t>项    目</w:t>
            </w:r>
          </w:p>
        </w:tc>
        <w:tc>
          <w:tcPr>
            <w:tcW w:w="5283" w:type="dxa"/>
            <w:vAlign w:val="center"/>
          </w:tcPr>
          <w:p w14:paraId="6CD54D5E">
            <w:pPr>
              <w:spacing w:line="360" w:lineRule="auto"/>
              <w:jc w:val="center"/>
              <w:rPr>
                <w:rFonts w:hint="eastAsia" w:ascii="宋体" w:hAnsi="宋体" w:cs="宋体"/>
                <w:b/>
                <w:sz w:val="24"/>
                <w:highlight w:val="none"/>
              </w:rPr>
            </w:pPr>
            <w:r>
              <w:rPr>
                <w:rFonts w:hint="eastAsia" w:ascii="宋体" w:hAnsi="宋体" w:cs="宋体"/>
                <w:b/>
                <w:sz w:val="24"/>
                <w:highlight w:val="none"/>
              </w:rPr>
              <w:t>内    容</w:t>
            </w:r>
          </w:p>
        </w:tc>
      </w:tr>
      <w:tr w14:paraId="3DB6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7" w:type="dxa"/>
            <w:vAlign w:val="center"/>
          </w:tcPr>
          <w:p w14:paraId="4950B298">
            <w:pPr>
              <w:spacing w:line="360" w:lineRule="auto"/>
              <w:jc w:val="center"/>
              <w:rPr>
                <w:rFonts w:hint="eastAsia" w:ascii="宋体" w:hAnsi="宋体" w:cs="宋体"/>
                <w:sz w:val="24"/>
                <w:highlight w:val="none"/>
              </w:rPr>
            </w:pPr>
            <w:r>
              <w:rPr>
                <w:rFonts w:hint="eastAsia" w:ascii="宋体" w:hAnsi="宋体" w:cs="宋体"/>
                <w:sz w:val="24"/>
                <w:highlight w:val="none"/>
              </w:rPr>
              <w:t>服务期限</w:t>
            </w:r>
          </w:p>
        </w:tc>
        <w:tc>
          <w:tcPr>
            <w:tcW w:w="5283" w:type="dxa"/>
            <w:vAlign w:val="center"/>
          </w:tcPr>
          <w:p w14:paraId="2354BD6B">
            <w:pPr>
              <w:spacing w:line="360" w:lineRule="auto"/>
              <w:jc w:val="center"/>
              <w:rPr>
                <w:rFonts w:hint="eastAsia" w:ascii="宋体" w:hAnsi="宋体" w:cs="宋体"/>
                <w:sz w:val="24"/>
                <w:highlight w:val="none"/>
              </w:rPr>
            </w:pPr>
            <w:r>
              <w:rPr>
                <w:rFonts w:hint="eastAsia" w:ascii="宋体" w:hAnsi="宋体" w:cs="宋体"/>
                <w:sz w:val="24"/>
                <w:highlight w:val="none"/>
              </w:rPr>
              <w:t>按招标文件要求</w:t>
            </w:r>
          </w:p>
        </w:tc>
      </w:tr>
      <w:tr w14:paraId="4BDC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7" w:type="dxa"/>
            <w:vAlign w:val="center"/>
          </w:tcPr>
          <w:p w14:paraId="1D4BF603">
            <w:pPr>
              <w:spacing w:line="360" w:lineRule="auto"/>
              <w:jc w:val="center"/>
              <w:rPr>
                <w:rFonts w:hint="eastAsia" w:ascii="宋体" w:hAnsi="宋体" w:cs="宋体"/>
                <w:sz w:val="24"/>
                <w:highlight w:val="none"/>
              </w:rPr>
            </w:pPr>
            <w:r>
              <w:rPr>
                <w:rFonts w:hint="eastAsia" w:ascii="宋体" w:hAnsi="宋体" w:cs="宋体"/>
                <w:sz w:val="24"/>
                <w:highlight w:val="none"/>
              </w:rPr>
              <w:t>质量标准</w:t>
            </w:r>
          </w:p>
        </w:tc>
        <w:tc>
          <w:tcPr>
            <w:tcW w:w="5283" w:type="dxa"/>
            <w:vAlign w:val="center"/>
          </w:tcPr>
          <w:p w14:paraId="2087632D">
            <w:pPr>
              <w:spacing w:line="360" w:lineRule="auto"/>
              <w:jc w:val="center"/>
              <w:rPr>
                <w:rFonts w:hint="eastAsia" w:ascii="宋体" w:hAnsi="宋体" w:cs="宋体"/>
                <w:sz w:val="24"/>
                <w:highlight w:val="none"/>
              </w:rPr>
            </w:pPr>
            <w:r>
              <w:rPr>
                <w:rFonts w:hint="eastAsia" w:ascii="宋体" w:hAnsi="宋体" w:cs="宋体"/>
                <w:sz w:val="24"/>
                <w:highlight w:val="none"/>
              </w:rPr>
              <w:t>按招标文件要求</w:t>
            </w:r>
          </w:p>
        </w:tc>
      </w:tr>
      <w:tr w14:paraId="6427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7" w:type="dxa"/>
            <w:vAlign w:val="center"/>
          </w:tcPr>
          <w:p w14:paraId="7416740E">
            <w:pPr>
              <w:spacing w:line="360" w:lineRule="auto"/>
              <w:jc w:val="center"/>
              <w:rPr>
                <w:rFonts w:hint="eastAsia" w:ascii="宋体" w:hAnsi="宋体" w:cs="宋体"/>
                <w:sz w:val="24"/>
                <w:highlight w:val="none"/>
              </w:rPr>
            </w:pPr>
            <w:r>
              <w:rPr>
                <w:rFonts w:hint="eastAsia" w:ascii="宋体" w:hAnsi="宋体" w:cs="宋体"/>
                <w:sz w:val="24"/>
                <w:highlight w:val="none"/>
              </w:rPr>
              <w:t>投标有效期</w:t>
            </w:r>
          </w:p>
        </w:tc>
        <w:tc>
          <w:tcPr>
            <w:tcW w:w="5283" w:type="dxa"/>
            <w:vAlign w:val="center"/>
          </w:tcPr>
          <w:p w14:paraId="0A9C013C">
            <w:pPr>
              <w:spacing w:line="360" w:lineRule="auto"/>
              <w:jc w:val="center"/>
              <w:rPr>
                <w:rFonts w:hint="eastAsia" w:ascii="宋体" w:hAnsi="宋体" w:cs="宋体"/>
                <w:sz w:val="24"/>
                <w:highlight w:val="none"/>
              </w:rPr>
            </w:pPr>
            <w:r>
              <w:rPr>
                <w:rFonts w:hint="eastAsia" w:ascii="宋体" w:hAnsi="宋体" w:cs="宋体"/>
                <w:sz w:val="24"/>
                <w:highlight w:val="none"/>
              </w:rPr>
              <w:t>按招标文件要求</w:t>
            </w:r>
          </w:p>
        </w:tc>
      </w:tr>
      <w:tr w14:paraId="7581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97" w:type="dxa"/>
            <w:vMerge w:val="restart"/>
            <w:tcBorders>
              <w:top w:val="single" w:color="auto" w:sz="4" w:space="0"/>
              <w:left w:val="single" w:color="auto" w:sz="4" w:space="0"/>
              <w:right w:val="single" w:color="auto" w:sz="4" w:space="0"/>
            </w:tcBorders>
            <w:vAlign w:val="center"/>
          </w:tcPr>
          <w:p w14:paraId="39414CF7">
            <w:pPr>
              <w:spacing w:line="360" w:lineRule="auto"/>
              <w:jc w:val="center"/>
              <w:rPr>
                <w:rFonts w:hint="eastAsia" w:ascii="宋体" w:hAnsi="宋体" w:cs="宋体"/>
                <w:sz w:val="24"/>
                <w:highlight w:val="none"/>
              </w:rPr>
            </w:pPr>
            <w:r>
              <w:rPr>
                <w:rFonts w:hint="eastAsia" w:ascii="宋体" w:hAnsi="宋体" w:cs="宋体"/>
                <w:sz w:val="24"/>
                <w:highlight w:val="none"/>
              </w:rPr>
              <w:t>项目负责人</w:t>
            </w:r>
          </w:p>
        </w:tc>
        <w:tc>
          <w:tcPr>
            <w:tcW w:w="5283" w:type="dxa"/>
            <w:tcBorders>
              <w:top w:val="single" w:color="auto" w:sz="4" w:space="0"/>
              <w:left w:val="single" w:color="auto" w:sz="4" w:space="0"/>
              <w:bottom w:val="single" w:color="auto" w:sz="4" w:space="0"/>
              <w:right w:val="single" w:color="auto" w:sz="4" w:space="0"/>
            </w:tcBorders>
            <w:vAlign w:val="center"/>
          </w:tcPr>
          <w:p w14:paraId="7252573B">
            <w:pPr>
              <w:spacing w:line="360" w:lineRule="auto"/>
              <w:rPr>
                <w:rFonts w:hint="eastAsia" w:ascii="宋体" w:hAnsi="宋体" w:cs="宋体"/>
                <w:sz w:val="24"/>
                <w:highlight w:val="none"/>
              </w:rPr>
            </w:pPr>
            <w:r>
              <w:rPr>
                <w:rFonts w:hint="eastAsia" w:ascii="宋体" w:hAnsi="宋体" w:cs="宋体"/>
                <w:sz w:val="24"/>
                <w:highlight w:val="none"/>
              </w:rPr>
              <w:t>姓名：</w:t>
            </w:r>
          </w:p>
        </w:tc>
      </w:tr>
      <w:tr w14:paraId="290B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97" w:type="dxa"/>
            <w:vMerge w:val="continue"/>
            <w:tcBorders>
              <w:left w:val="single" w:color="auto" w:sz="4" w:space="0"/>
              <w:right w:val="single" w:color="auto" w:sz="4" w:space="0"/>
            </w:tcBorders>
            <w:vAlign w:val="center"/>
          </w:tcPr>
          <w:p w14:paraId="1C646DE3">
            <w:pPr>
              <w:spacing w:line="360" w:lineRule="auto"/>
              <w:jc w:val="center"/>
              <w:rPr>
                <w:rFonts w:hint="eastAsia" w:ascii="宋体" w:hAnsi="宋体" w:cs="宋体"/>
                <w:sz w:val="24"/>
                <w:highlight w:val="none"/>
              </w:rPr>
            </w:pPr>
          </w:p>
        </w:tc>
        <w:tc>
          <w:tcPr>
            <w:tcW w:w="5283" w:type="dxa"/>
            <w:tcBorders>
              <w:top w:val="single" w:color="auto" w:sz="4" w:space="0"/>
              <w:left w:val="single" w:color="auto" w:sz="4" w:space="0"/>
              <w:bottom w:val="single" w:color="auto" w:sz="4" w:space="0"/>
              <w:right w:val="single" w:color="auto" w:sz="4" w:space="0"/>
            </w:tcBorders>
            <w:vAlign w:val="center"/>
          </w:tcPr>
          <w:p w14:paraId="56BAC38E">
            <w:pPr>
              <w:spacing w:line="360" w:lineRule="auto"/>
              <w:rPr>
                <w:rFonts w:hint="eastAsia" w:ascii="宋体" w:hAnsi="宋体" w:cs="宋体"/>
                <w:sz w:val="24"/>
                <w:highlight w:val="none"/>
              </w:rPr>
            </w:pPr>
            <w:r>
              <w:rPr>
                <w:rFonts w:hint="eastAsia" w:ascii="宋体" w:hAnsi="宋体" w:cs="宋体"/>
                <w:sz w:val="24"/>
                <w:szCs w:val="24"/>
                <w:highlight w:val="none"/>
              </w:rPr>
              <w:t>注册证书编号：</w:t>
            </w:r>
          </w:p>
        </w:tc>
      </w:tr>
      <w:tr w14:paraId="724D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97" w:type="dxa"/>
            <w:vMerge w:val="continue"/>
            <w:tcBorders>
              <w:left w:val="single" w:color="auto" w:sz="4" w:space="0"/>
              <w:bottom w:val="single" w:color="auto" w:sz="4" w:space="0"/>
              <w:right w:val="single" w:color="auto" w:sz="4" w:space="0"/>
            </w:tcBorders>
            <w:vAlign w:val="center"/>
          </w:tcPr>
          <w:p w14:paraId="202C3A68">
            <w:pPr>
              <w:spacing w:line="360" w:lineRule="auto"/>
              <w:jc w:val="center"/>
              <w:rPr>
                <w:rFonts w:hint="eastAsia" w:ascii="宋体" w:hAnsi="宋体" w:cs="宋体"/>
                <w:sz w:val="24"/>
                <w:highlight w:val="none"/>
              </w:rPr>
            </w:pPr>
          </w:p>
        </w:tc>
        <w:tc>
          <w:tcPr>
            <w:tcW w:w="5283" w:type="dxa"/>
            <w:tcBorders>
              <w:top w:val="single" w:color="auto" w:sz="4" w:space="0"/>
              <w:left w:val="single" w:color="auto" w:sz="4" w:space="0"/>
              <w:bottom w:val="single" w:color="auto" w:sz="4" w:space="0"/>
              <w:right w:val="single" w:color="auto" w:sz="4" w:space="0"/>
            </w:tcBorders>
            <w:vAlign w:val="center"/>
          </w:tcPr>
          <w:p w14:paraId="5A6ECD67">
            <w:pPr>
              <w:spacing w:line="360" w:lineRule="auto"/>
              <w:rPr>
                <w:rFonts w:hint="eastAsia" w:ascii="宋体" w:hAnsi="宋体" w:cs="宋体"/>
                <w:sz w:val="24"/>
                <w:highlight w:val="none"/>
              </w:rPr>
            </w:pPr>
            <w:r>
              <w:rPr>
                <w:rFonts w:hint="eastAsia" w:ascii="宋体" w:hAnsi="宋体" w:cs="宋体"/>
                <w:sz w:val="24"/>
                <w:highlight w:val="none"/>
              </w:rPr>
              <w:t>身份证号码：</w:t>
            </w:r>
          </w:p>
        </w:tc>
      </w:tr>
    </w:tbl>
    <w:p w14:paraId="479A9B20">
      <w:pPr>
        <w:widowControl/>
        <w:jc w:val="left"/>
        <w:rPr>
          <w:rFonts w:hint="eastAsia" w:ascii="宋体" w:hAnsi="宋体" w:cs="宋体"/>
          <w:szCs w:val="20"/>
          <w:highlight w:val="none"/>
        </w:rPr>
      </w:pPr>
    </w:p>
    <w:bookmarkEnd w:id="474"/>
    <w:bookmarkEnd w:id="475"/>
    <w:bookmarkEnd w:id="476"/>
    <w:bookmarkEnd w:id="477"/>
    <w:bookmarkEnd w:id="478"/>
    <w:bookmarkEnd w:id="479"/>
    <w:bookmarkEnd w:id="480"/>
    <w:bookmarkEnd w:id="481"/>
    <w:p w14:paraId="2BCAC99B">
      <w:pPr>
        <w:rPr>
          <w:rFonts w:hint="eastAsia" w:ascii="宋体" w:hAnsi="宋体" w:cs="宋体"/>
          <w:sz w:val="24"/>
          <w:szCs w:val="24"/>
          <w:highlight w:val="none"/>
        </w:rPr>
      </w:pPr>
      <w:bookmarkStart w:id="482" w:name="_Toc529196602"/>
      <w:bookmarkStart w:id="483" w:name="_Toc530470645"/>
      <w:bookmarkStart w:id="484" w:name="_Toc482188652"/>
      <w:bookmarkStart w:id="485" w:name="_Toc370676427"/>
      <w:bookmarkStart w:id="486" w:name="_Toc359594236"/>
      <w:bookmarkStart w:id="487" w:name="_Toc391394112"/>
      <w:bookmarkStart w:id="488" w:name="_Toc535938753"/>
      <w:bookmarkStart w:id="489" w:name="_Toc385943066"/>
      <w:bookmarkStart w:id="490" w:name="_Toc247527827"/>
      <w:bookmarkStart w:id="491" w:name="_Toc17960"/>
      <w:bookmarkStart w:id="492" w:name="_Toc300835209"/>
      <w:bookmarkStart w:id="493" w:name="_Toc152042576"/>
      <w:bookmarkStart w:id="494" w:name="_Toc144974856"/>
      <w:bookmarkStart w:id="495" w:name="_Toc361508752"/>
      <w:bookmarkStart w:id="496" w:name="_Toc352691661"/>
      <w:bookmarkStart w:id="497" w:name="_Toc152045787"/>
      <w:bookmarkStart w:id="498" w:name="_Toc369531697"/>
      <w:bookmarkStart w:id="499" w:name="_Toc247514246"/>
      <w:bookmarkStart w:id="500" w:name="_Toc384308375"/>
    </w:p>
    <w:p w14:paraId="73AC8E15">
      <w:pPr>
        <w:spacing w:line="360" w:lineRule="auto"/>
        <w:rPr>
          <w:rFonts w:hint="eastAsia" w:ascii="宋体" w:hAnsi="宋体" w:cs="宋体"/>
          <w:sz w:val="24"/>
          <w:highlight w:val="none"/>
        </w:rPr>
      </w:pPr>
      <w:r>
        <w:rPr>
          <w:rFonts w:hint="eastAsia" w:ascii="宋体" w:hAnsi="宋体" w:cs="宋体"/>
          <w:sz w:val="24"/>
          <w:highlight w:val="none"/>
        </w:rPr>
        <w:t>投标人（</w:t>
      </w:r>
      <w:r>
        <w:rPr>
          <w:rFonts w:hint="eastAsia" w:ascii="宋体" w:hAnsi="宋体" w:cs="宋体"/>
          <w:sz w:val="24"/>
          <w:highlight w:val="none"/>
          <w:lang w:val="en-US" w:eastAsia="zh-CN"/>
        </w:rPr>
        <w:t>盖</w:t>
      </w:r>
      <w:r>
        <w:rPr>
          <w:rFonts w:hint="eastAsia" w:ascii="宋体" w:hAnsi="宋体" w:cs="宋体"/>
          <w:sz w:val="24"/>
          <w:highlight w:val="none"/>
        </w:rPr>
        <w:t>章）：</w:t>
      </w:r>
    </w:p>
    <w:p w14:paraId="1EE8BFD6">
      <w:pPr>
        <w:spacing w:line="360" w:lineRule="auto"/>
        <w:rPr>
          <w:rFonts w:hint="eastAsia" w:ascii="宋体" w:hAnsi="宋体" w:cs="宋体"/>
          <w:sz w:val="24"/>
          <w:highlight w:val="none"/>
          <w:u w:val="single"/>
        </w:rPr>
      </w:pPr>
      <w:r>
        <w:rPr>
          <w:rFonts w:hint="eastAsia" w:ascii="宋体" w:hAnsi="宋体" w:cs="宋体"/>
          <w:spacing w:val="18"/>
          <w:sz w:val="24"/>
          <w:szCs w:val="24"/>
          <w:highlight w:val="none"/>
        </w:rPr>
        <w:t>法定代表人(或被授权人)签字或盖章</w:t>
      </w:r>
      <w:r>
        <w:rPr>
          <w:rFonts w:hint="eastAsia" w:ascii="宋体" w:hAnsi="宋体" w:cs="宋体"/>
          <w:sz w:val="24"/>
          <w:highlight w:val="none"/>
        </w:rPr>
        <w:t>：</w:t>
      </w:r>
    </w:p>
    <w:p w14:paraId="2C8728B9">
      <w:pPr>
        <w:spacing w:line="360" w:lineRule="auto"/>
        <w:jc w:val="left"/>
        <w:rPr>
          <w:rFonts w:hint="eastAsia" w:ascii="宋体" w:hAnsi="宋体" w:cs="宋体"/>
          <w:szCs w:val="21"/>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年   月   日</w:t>
      </w:r>
    </w:p>
    <w:p w14:paraId="081A9DF8">
      <w:pPr>
        <w:pStyle w:val="3"/>
        <w:spacing w:line="480" w:lineRule="auto"/>
        <w:rPr>
          <w:rFonts w:hint="eastAsia" w:ascii="宋体" w:hAnsi="宋体" w:cs="宋体"/>
          <w:sz w:val="30"/>
          <w:szCs w:val="30"/>
          <w:highlight w:val="none"/>
        </w:rPr>
      </w:pPr>
      <w:r>
        <w:rPr>
          <w:rFonts w:hint="eastAsia" w:ascii="宋体" w:hAnsi="宋体" w:cs="宋体"/>
          <w:highlight w:val="none"/>
        </w:rPr>
        <w:br w:type="page"/>
      </w:r>
      <w:bookmarkEnd w:id="482"/>
      <w:bookmarkEnd w:id="483"/>
      <w:bookmarkEnd w:id="484"/>
      <w:bookmarkEnd w:id="485"/>
      <w:bookmarkEnd w:id="486"/>
      <w:bookmarkEnd w:id="487"/>
      <w:bookmarkEnd w:id="488"/>
      <w:bookmarkEnd w:id="489"/>
      <w:bookmarkStart w:id="501" w:name="_Toc530470646"/>
      <w:bookmarkStart w:id="502" w:name="_Toc529196603"/>
      <w:bookmarkStart w:id="503" w:name="_Toc535938754"/>
      <w:bookmarkStart w:id="504" w:name="_Toc102997646"/>
      <w:r>
        <w:rPr>
          <w:rFonts w:hint="eastAsia" w:ascii="宋体" w:hAnsi="宋体" w:cs="宋体"/>
          <w:sz w:val="30"/>
          <w:szCs w:val="30"/>
          <w:highlight w:val="none"/>
        </w:rPr>
        <w:t>二</w:t>
      </w:r>
      <w:bookmarkEnd w:id="490"/>
      <w:bookmarkEnd w:id="491"/>
      <w:bookmarkEnd w:id="492"/>
      <w:bookmarkEnd w:id="493"/>
      <w:bookmarkEnd w:id="494"/>
      <w:bookmarkEnd w:id="495"/>
      <w:bookmarkEnd w:id="496"/>
      <w:bookmarkEnd w:id="497"/>
      <w:bookmarkEnd w:id="498"/>
      <w:bookmarkEnd w:id="499"/>
      <w:bookmarkEnd w:id="500"/>
      <w:r>
        <w:rPr>
          <w:rFonts w:hint="eastAsia" w:ascii="宋体" w:hAnsi="宋体" w:cs="宋体"/>
          <w:sz w:val="30"/>
          <w:szCs w:val="30"/>
          <w:highlight w:val="none"/>
        </w:rPr>
        <w:t>、法定代表人身份证明（格式可自定）</w:t>
      </w:r>
      <w:bookmarkEnd w:id="501"/>
      <w:bookmarkEnd w:id="502"/>
      <w:bookmarkEnd w:id="503"/>
      <w:bookmarkEnd w:id="504"/>
    </w:p>
    <w:p w14:paraId="0623D1D3">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法定代表人身份证明</w:t>
      </w:r>
    </w:p>
    <w:p w14:paraId="53AD634B">
      <w:pPr>
        <w:spacing w:line="440" w:lineRule="exact"/>
        <w:rPr>
          <w:rFonts w:hint="eastAsia" w:ascii="宋体" w:hAnsi="宋体" w:cs="宋体"/>
          <w:b/>
          <w:bCs/>
          <w:sz w:val="24"/>
          <w:highlight w:val="none"/>
        </w:rPr>
      </w:pPr>
      <w:r>
        <w:rPr>
          <w:rFonts w:hint="eastAsia" w:ascii="宋体" w:hAnsi="宋体" w:cs="宋体"/>
          <w:sz w:val="24"/>
          <w:highlight w:val="none"/>
        </w:rPr>
        <w:t>投标人名称：</w:t>
      </w:r>
      <w:r>
        <w:rPr>
          <w:rFonts w:hint="eastAsia" w:ascii="宋体" w:hAnsi="宋体" w:cs="宋体"/>
          <w:sz w:val="24"/>
          <w:highlight w:val="none"/>
          <w:u w:val="single"/>
        </w:rPr>
        <w:t xml:space="preserve">      </w:t>
      </w:r>
    </w:p>
    <w:p w14:paraId="5DDCBCC4">
      <w:pPr>
        <w:spacing w:line="440" w:lineRule="exact"/>
        <w:rPr>
          <w:rFonts w:hint="eastAsia" w:ascii="宋体" w:hAnsi="宋体" w:cs="宋体"/>
          <w:sz w:val="24"/>
          <w:highlight w:val="none"/>
        </w:rPr>
      </w:pPr>
      <w:r>
        <w:rPr>
          <w:rFonts w:hint="eastAsia" w:ascii="宋体" w:hAnsi="宋体" w:cs="宋体"/>
          <w:sz w:val="24"/>
          <w:highlight w:val="none"/>
        </w:rPr>
        <w:t>姓名：</w:t>
      </w:r>
      <w:r>
        <w:rPr>
          <w:rFonts w:hint="eastAsia" w:ascii="宋体" w:hAnsi="宋体" w:cs="宋体"/>
          <w:sz w:val="24"/>
          <w:highlight w:val="none"/>
          <w:u w:val="single"/>
        </w:rPr>
        <w:t xml:space="preserve">       </w:t>
      </w:r>
      <w:r>
        <w:rPr>
          <w:rFonts w:hint="eastAsia" w:ascii="宋体" w:hAnsi="宋体" w:cs="宋体"/>
          <w:sz w:val="24"/>
          <w:highlight w:val="none"/>
        </w:rPr>
        <w:t>性别：</w:t>
      </w:r>
      <w:bookmarkStart w:id="505" w:name="_Toc369531698"/>
      <w:bookmarkStart w:id="506" w:name="_Toc27897"/>
      <w:bookmarkStart w:id="507" w:name="_Toc352691662"/>
      <w:r>
        <w:rPr>
          <w:rFonts w:hint="eastAsia" w:ascii="宋体" w:hAnsi="宋体" w:cs="宋体"/>
          <w:sz w:val="24"/>
          <w:highlight w:val="none"/>
          <w:u w:val="single"/>
        </w:rPr>
        <w:t xml:space="preserve">      </w:t>
      </w:r>
      <w:r>
        <w:rPr>
          <w:rFonts w:hint="eastAsia" w:ascii="宋体" w:hAnsi="宋体" w:cs="宋体"/>
          <w:sz w:val="24"/>
          <w:highlight w:val="none"/>
        </w:rPr>
        <w:t>年</w:t>
      </w:r>
      <w:bookmarkEnd w:id="505"/>
      <w:bookmarkEnd w:id="506"/>
      <w:bookmarkEnd w:id="507"/>
      <w:r>
        <w:rPr>
          <w:rFonts w:hint="eastAsia" w:ascii="宋体" w:hAnsi="宋体" w:cs="宋体"/>
          <w:sz w:val="24"/>
          <w:highlight w:val="none"/>
        </w:rPr>
        <w:t>龄</w:t>
      </w:r>
      <w:bookmarkStart w:id="508" w:name="_Toc144974858"/>
      <w:bookmarkStart w:id="509" w:name="_Toc369531699"/>
      <w:bookmarkStart w:id="510" w:name="_Toc152042578"/>
      <w:bookmarkStart w:id="511" w:name="_Toc152045789"/>
      <w:bookmarkStart w:id="512" w:name="_Toc361508754"/>
      <w:bookmarkStart w:id="513" w:name="_Toc300835211"/>
      <w:bookmarkStart w:id="514" w:name="_Toc247527829"/>
      <w:bookmarkStart w:id="515" w:name="_Toc352691663"/>
      <w:bookmarkStart w:id="516" w:name="_Toc247514248"/>
      <w:bookmarkStart w:id="517" w:name="_Toc384308377"/>
      <w:bookmarkStart w:id="518" w:name="_Toc15573"/>
      <w:r>
        <w:rPr>
          <w:rFonts w:hint="eastAsia" w:ascii="宋体" w:hAnsi="宋体" w:cs="宋体"/>
          <w:sz w:val="24"/>
          <w:highlight w:val="none"/>
        </w:rPr>
        <w:t>：</w:t>
      </w:r>
      <w:bookmarkEnd w:id="508"/>
      <w:bookmarkEnd w:id="509"/>
      <w:bookmarkEnd w:id="510"/>
      <w:bookmarkEnd w:id="511"/>
      <w:bookmarkEnd w:id="512"/>
      <w:bookmarkEnd w:id="513"/>
      <w:bookmarkEnd w:id="514"/>
      <w:bookmarkEnd w:id="515"/>
      <w:bookmarkEnd w:id="516"/>
      <w:bookmarkEnd w:id="517"/>
      <w:bookmarkEnd w:id="518"/>
      <w:r>
        <w:rPr>
          <w:rFonts w:hint="eastAsia" w:ascii="宋体" w:hAnsi="宋体" w:cs="宋体"/>
          <w:sz w:val="24"/>
          <w:highlight w:val="none"/>
          <w:u w:val="single"/>
        </w:rPr>
        <w:t xml:space="preserve">      </w:t>
      </w:r>
      <w:r>
        <w:rPr>
          <w:rFonts w:hint="eastAsia" w:ascii="宋体" w:hAnsi="宋体" w:cs="宋体"/>
          <w:sz w:val="24"/>
          <w:highlight w:val="none"/>
        </w:rPr>
        <w:t>职务：</w:t>
      </w:r>
    </w:p>
    <w:p w14:paraId="282A1B35">
      <w:pPr>
        <w:spacing w:line="440" w:lineRule="exact"/>
        <w:ind w:firstLine="720" w:firstLineChars="300"/>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系</w:t>
      </w:r>
      <w:r>
        <w:rPr>
          <w:rFonts w:hint="eastAsia" w:ascii="宋体" w:hAnsi="宋体" w:cs="宋体"/>
          <w:sz w:val="24"/>
          <w:highlight w:val="none"/>
          <w:u w:val="single"/>
        </w:rPr>
        <w:t xml:space="preserve">（投标人名称）      </w:t>
      </w:r>
      <w:r>
        <w:rPr>
          <w:rFonts w:hint="eastAsia" w:ascii="宋体" w:hAnsi="宋体" w:cs="宋体"/>
          <w:sz w:val="24"/>
          <w:highlight w:val="none"/>
        </w:rPr>
        <w:t>的法定代表人。</w:t>
      </w:r>
    </w:p>
    <w:p w14:paraId="76EB510C">
      <w:pPr>
        <w:spacing w:line="440" w:lineRule="exact"/>
        <w:rPr>
          <w:rFonts w:hint="eastAsia" w:ascii="宋体" w:hAnsi="宋体" w:cs="宋体"/>
          <w:sz w:val="24"/>
          <w:highlight w:val="none"/>
        </w:rPr>
      </w:pPr>
      <w:r>
        <w:rPr>
          <w:rFonts w:hint="eastAsia" w:ascii="宋体" w:hAnsi="宋体" w:cs="宋体"/>
          <w:sz w:val="24"/>
          <w:highlight w:val="none"/>
        </w:rPr>
        <w:t>特此证明。</w:t>
      </w:r>
    </w:p>
    <w:p w14:paraId="16979216">
      <w:pPr>
        <w:spacing w:line="440" w:lineRule="exact"/>
        <w:rPr>
          <w:rFonts w:hint="eastAsia" w:ascii="宋体" w:hAnsi="宋体" w:cs="宋体"/>
          <w:sz w:val="24"/>
          <w:highlight w:val="none"/>
        </w:rPr>
      </w:pPr>
    </w:p>
    <w:p w14:paraId="1C68622A">
      <w:pPr>
        <w:spacing w:line="440" w:lineRule="exact"/>
        <w:rPr>
          <w:rFonts w:hint="eastAsia" w:ascii="宋体" w:hAnsi="宋体" w:cs="宋体"/>
          <w:sz w:val="24"/>
          <w:highlight w:val="none"/>
        </w:rPr>
      </w:pPr>
      <w:r>
        <w:rPr>
          <w:rFonts w:hint="eastAsia" w:ascii="宋体" w:hAnsi="宋体" w:cs="宋体"/>
          <w:sz w:val="24"/>
          <w:highlight w:val="none"/>
        </w:rPr>
        <w:t>附：法定代表人身份证扫描件。</w:t>
      </w:r>
    </w:p>
    <w:p w14:paraId="5D3B9481">
      <w:pPr>
        <w:spacing w:line="440" w:lineRule="exact"/>
        <w:rPr>
          <w:rFonts w:hint="eastAsia" w:ascii="宋体" w:hAnsi="宋体" w:cs="宋体"/>
          <w:sz w:val="24"/>
          <w:highlight w:val="none"/>
        </w:rPr>
      </w:pPr>
    </w:p>
    <w:p w14:paraId="7C44C5C1">
      <w:pPr>
        <w:spacing w:line="440" w:lineRule="exact"/>
        <w:rPr>
          <w:rFonts w:hint="eastAsia" w:ascii="宋体" w:hAnsi="宋体" w:cs="宋体"/>
          <w:sz w:val="24"/>
          <w:highlight w:val="none"/>
        </w:rPr>
      </w:pPr>
      <w:r>
        <w:rPr>
          <w:rFonts w:hint="eastAsia" w:ascii="宋体" w:hAnsi="宋体" w:cs="宋体"/>
          <w:sz w:val="24"/>
          <w:highlight w:val="none"/>
        </w:rPr>
        <w:t>注：本身份证明需由投标人加盖单位章。</w:t>
      </w:r>
    </w:p>
    <w:p w14:paraId="100317EE">
      <w:pPr>
        <w:spacing w:line="440" w:lineRule="exact"/>
        <w:rPr>
          <w:rFonts w:hint="eastAsia" w:ascii="宋体" w:hAnsi="宋体" w:cs="宋体"/>
          <w:sz w:val="24"/>
          <w:highlight w:val="none"/>
        </w:rPr>
      </w:pPr>
    </w:p>
    <w:p w14:paraId="3D27BAB2">
      <w:pPr>
        <w:spacing w:line="440" w:lineRule="exact"/>
        <w:rPr>
          <w:rFonts w:hint="eastAsia" w:ascii="宋体" w:hAnsi="宋体" w:cs="宋体"/>
          <w:sz w:val="24"/>
          <w:highlight w:val="none"/>
        </w:rPr>
      </w:pPr>
    </w:p>
    <w:p w14:paraId="4236229A">
      <w:pPr>
        <w:spacing w:line="440" w:lineRule="exact"/>
        <w:jc w:val="center"/>
        <w:rPr>
          <w:rFonts w:hint="eastAsia" w:ascii="宋体" w:hAnsi="宋体" w:cs="宋体"/>
          <w:sz w:val="24"/>
          <w:highlight w:val="none"/>
        </w:rPr>
      </w:pPr>
      <w:r>
        <w:rPr>
          <w:rFonts w:hint="eastAsia" w:ascii="宋体" w:hAnsi="宋体" w:cs="宋体"/>
          <w:sz w:val="24"/>
          <w:highlight w:val="none"/>
        </w:rPr>
        <w:t xml:space="preserve">                              投标人：（盖单位章）</w:t>
      </w:r>
    </w:p>
    <w:p w14:paraId="0241A82A">
      <w:pPr>
        <w:spacing w:line="440" w:lineRule="exact"/>
        <w:rPr>
          <w:rFonts w:hint="eastAsia" w:ascii="宋体" w:hAnsi="宋体" w:cs="宋体"/>
          <w:sz w:val="24"/>
          <w:highlight w:val="none"/>
        </w:rPr>
      </w:pPr>
    </w:p>
    <w:p w14:paraId="24EF4F94">
      <w:pPr>
        <w:spacing w:line="440" w:lineRule="exact"/>
        <w:ind w:firstLine="4560" w:firstLineChars="1900"/>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2D4B578">
      <w:pPr>
        <w:spacing w:line="440" w:lineRule="exact"/>
        <w:rPr>
          <w:rFonts w:hint="eastAsia" w:ascii="宋体" w:hAnsi="宋体" w:cs="宋体"/>
          <w:sz w:val="24"/>
          <w:highlight w:val="none"/>
        </w:rPr>
      </w:pPr>
    </w:p>
    <w:p w14:paraId="07BEB7D5">
      <w:pPr>
        <w:spacing w:line="360" w:lineRule="auto"/>
        <w:jc w:val="left"/>
        <w:rPr>
          <w:rFonts w:hint="eastAsia" w:ascii="宋体" w:hAnsi="宋体" w:cs="宋体"/>
          <w:sz w:val="30"/>
          <w:szCs w:val="30"/>
          <w:highlight w:val="none"/>
        </w:rPr>
      </w:pPr>
      <w:bookmarkStart w:id="519" w:name="_Toc530470647"/>
      <w:bookmarkStart w:id="520" w:name="_Toc529196604"/>
      <w:r>
        <w:rPr>
          <w:rFonts w:hint="eastAsia" w:ascii="宋体" w:hAnsi="宋体" w:cs="宋体"/>
          <w:b/>
          <w:bCs/>
          <w:sz w:val="20"/>
          <w:highlight w:val="none"/>
        </w:rPr>
        <w:br w:type="page"/>
      </w:r>
      <w:bookmarkEnd w:id="519"/>
      <w:bookmarkEnd w:id="520"/>
      <w:bookmarkStart w:id="521" w:name="_Toc535938755"/>
      <w:bookmarkEnd w:id="521"/>
      <w:r>
        <w:rPr>
          <w:rFonts w:hint="eastAsia" w:ascii="宋体" w:hAnsi="宋体" w:cs="宋体"/>
          <w:sz w:val="30"/>
          <w:szCs w:val="30"/>
          <w:highlight w:val="none"/>
        </w:rPr>
        <w:t>三、授权委托书（格式可自定）</w:t>
      </w:r>
    </w:p>
    <w:p w14:paraId="0512E678">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授权委托书</w:t>
      </w:r>
    </w:p>
    <w:p w14:paraId="1D945DC3">
      <w:pPr>
        <w:topLinePunct/>
        <w:spacing w:line="440" w:lineRule="exact"/>
        <w:ind w:firstLine="424" w:firstLineChars="177"/>
        <w:rPr>
          <w:rFonts w:hint="eastAsia" w:ascii="宋体" w:hAnsi="宋体" w:cs="宋体"/>
          <w:sz w:val="24"/>
          <w:highlight w:val="none"/>
        </w:rPr>
      </w:pPr>
      <w:r>
        <w:rPr>
          <w:rFonts w:hint="eastAsia" w:ascii="宋体" w:hAnsi="宋体" w:cs="宋体"/>
          <w:sz w:val="24"/>
          <w:highlight w:val="none"/>
        </w:rPr>
        <w:t>本人</w:t>
      </w:r>
      <w:r>
        <w:rPr>
          <w:rFonts w:hint="eastAsia" w:ascii="宋体" w:hAnsi="宋体" w:cs="宋体"/>
          <w:sz w:val="24"/>
          <w:highlight w:val="none"/>
          <w:u w:val="single"/>
        </w:rPr>
        <w:t>（姓名）</w:t>
      </w:r>
      <w:r>
        <w:rPr>
          <w:rFonts w:hint="eastAsia" w:ascii="宋体" w:hAnsi="宋体" w:cs="宋体"/>
          <w:sz w:val="24"/>
          <w:highlight w:val="none"/>
        </w:rPr>
        <w:t>系</w:t>
      </w:r>
      <w:r>
        <w:rPr>
          <w:rFonts w:hint="eastAsia" w:ascii="宋体" w:hAnsi="宋体" w:cs="宋体"/>
          <w:sz w:val="24"/>
          <w:highlight w:val="none"/>
          <w:u w:val="single"/>
        </w:rPr>
        <w:t xml:space="preserve">（投标人名称）   </w:t>
      </w:r>
      <w:r>
        <w:rPr>
          <w:rFonts w:hint="eastAsia" w:ascii="宋体" w:hAnsi="宋体" w:cs="宋体"/>
          <w:sz w:val="24"/>
          <w:highlight w:val="none"/>
        </w:rPr>
        <w:t>的法定代表人，现委托</w:t>
      </w:r>
      <w:r>
        <w:rPr>
          <w:rFonts w:hint="eastAsia" w:ascii="宋体" w:hAnsi="宋体" w:cs="宋体"/>
          <w:sz w:val="24"/>
          <w:highlight w:val="none"/>
          <w:u w:val="single"/>
        </w:rPr>
        <w:t>（姓名）</w:t>
      </w:r>
      <w:r>
        <w:rPr>
          <w:rFonts w:hint="eastAsia" w:ascii="宋体" w:hAnsi="宋体" w:cs="宋体"/>
          <w:sz w:val="24"/>
          <w:highlight w:val="none"/>
        </w:rPr>
        <w:t>为我方代理人。代理人根据授权，以我方名义签署、澄清确认、递交、撤回、修改招标项目投标文件、签订合同和处理有关事宜，其法律后果由我方承担。</w:t>
      </w:r>
    </w:p>
    <w:p w14:paraId="53E255F6">
      <w:pPr>
        <w:spacing w:line="440" w:lineRule="exact"/>
        <w:ind w:firstLine="283" w:firstLineChars="118"/>
        <w:rPr>
          <w:rFonts w:hint="eastAsia" w:ascii="宋体" w:hAnsi="宋体" w:cs="宋体"/>
          <w:sz w:val="24"/>
          <w:highlight w:val="none"/>
        </w:rPr>
      </w:pPr>
      <w:r>
        <w:rPr>
          <w:rFonts w:hint="eastAsia" w:ascii="宋体" w:hAnsi="宋体" w:cs="宋体"/>
          <w:sz w:val="24"/>
          <w:highlight w:val="none"/>
        </w:rPr>
        <w:t>委托期限：</w:t>
      </w:r>
      <w:r>
        <w:rPr>
          <w:rFonts w:hint="eastAsia" w:ascii="宋体" w:hAnsi="宋体" w:cs="宋体"/>
          <w:sz w:val="24"/>
          <w:highlight w:val="none"/>
          <w:u w:val="single"/>
        </w:rPr>
        <w:t xml:space="preserve">                  </w:t>
      </w:r>
      <w:r>
        <w:rPr>
          <w:rFonts w:hint="eastAsia" w:ascii="宋体" w:hAnsi="宋体" w:cs="宋体"/>
          <w:sz w:val="24"/>
          <w:highlight w:val="none"/>
        </w:rPr>
        <w:t>。</w:t>
      </w:r>
    </w:p>
    <w:p w14:paraId="6D780B2A">
      <w:pPr>
        <w:spacing w:line="440" w:lineRule="exact"/>
        <w:rPr>
          <w:rFonts w:hint="eastAsia" w:ascii="宋体" w:hAnsi="宋体" w:cs="宋体"/>
          <w:sz w:val="24"/>
          <w:highlight w:val="none"/>
        </w:rPr>
      </w:pPr>
      <w:r>
        <w:rPr>
          <w:rFonts w:hint="eastAsia" w:ascii="宋体" w:hAnsi="宋体" w:cs="宋体"/>
          <w:sz w:val="24"/>
          <w:highlight w:val="none"/>
        </w:rPr>
        <w:t>代理人无转委托权。</w:t>
      </w:r>
    </w:p>
    <w:p w14:paraId="7EBD32A2">
      <w:pPr>
        <w:spacing w:line="440" w:lineRule="exact"/>
        <w:rPr>
          <w:rFonts w:hint="eastAsia" w:ascii="宋体" w:hAnsi="宋体" w:cs="宋体"/>
          <w:sz w:val="24"/>
          <w:highlight w:val="none"/>
        </w:rPr>
      </w:pPr>
    </w:p>
    <w:p w14:paraId="191F1FDA">
      <w:pPr>
        <w:spacing w:line="440" w:lineRule="exact"/>
        <w:rPr>
          <w:rFonts w:hint="eastAsia" w:ascii="宋体" w:hAnsi="宋体" w:cs="宋体"/>
          <w:sz w:val="24"/>
          <w:highlight w:val="none"/>
        </w:rPr>
      </w:pPr>
      <w:r>
        <w:rPr>
          <w:rFonts w:hint="eastAsia" w:ascii="宋体" w:hAnsi="宋体" w:cs="宋体"/>
          <w:sz w:val="24"/>
          <w:highlight w:val="none"/>
        </w:rPr>
        <w:t>附：法定代表人身份证扫描件及委托代理人身份证扫描件</w:t>
      </w:r>
    </w:p>
    <w:p w14:paraId="43E81701">
      <w:pPr>
        <w:spacing w:line="440" w:lineRule="exact"/>
        <w:rPr>
          <w:rFonts w:hint="eastAsia" w:ascii="宋体" w:hAnsi="宋体" w:cs="宋体"/>
          <w:sz w:val="24"/>
          <w:highlight w:val="none"/>
        </w:rPr>
      </w:pPr>
    </w:p>
    <w:p w14:paraId="5673AADF">
      <w:pPr>
        <w:spacing w:line="440" w:lineRule="exact"/>
        <w:rPr>
          <w:rFonts w:hint="eastAsia" w:ascii="宋体" w:hAnsi="宋体" w:cs="宋体"/>
          <w:sz w:val="24"/>
          <w:highlight w:val="none"/>
        </w:rPr>
      </w:pPr>
      <w:r>
        <w:rPr>
          <w:rFonts w:hint="eastAsia" w:ascii="宋体" w:hAnsi="宋体" w:cs="宋体"/>
          <w:sz w:val="24"/>
          <w:highlight w:val="none"/>
        </w:rPr>
        <w:t>注：本授权委托书需由投标人加盖单位章并由其法定代表人和委托代理人签字或盖章。</w:t>
      </w:r>
    </w:p>
    <w:p w14:paraId="6A8BD333">
      <w:pPr>
        <w:spacing w:line="440" w:lineRule="exact"/>
        <w:rPr>
          <w:rFonts w:hint="eastAsia" w:ascii="宋体" w:hAnsi="宋体" w:cs="宋体"/>
          <w:sz w:val="24"/>
          <w:highlight w:val="none"/>
        </w:rPr>
      </w:pPr>
    </w:p>
    <w:p w14:paraId="0F82B63D">
      <w:pPr>
        <w:spacing w:line="440" w:lineRule="exact"/>
        <w:rPr>
          <w:rFonts w:hint="eastAsia" w:ascii="宋体" w:hAnsi="宋体" w:cs="宋体"/>
          <w:sz w:val="24"/>
          <w:highlight w:val="none"/>
        </w:rPr>
      </w:pPr>
      <w:r>
        <w:rPr>
          <w:rFonts w:hint="eastAsia" w:ascii="宋体" w:hAnsi="宋体" w:cs="宋体"/>
          <w:sz w:val="24"/>
          <w:highlight w:val="none"/>
        </w:rPr>
        <w:t>投  标  人：</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rPr>
        <w:t>（盖单位章）</w:t>
      </w:r>
    </w:p>
    <w:p w14:paraId="1030D4D9">
      <w:pPr>
        <w:spacing w:line="440" w:lineRule="exact"/>
        <w:rPr>
          <w:rFonts w:hint="eastAsia" w:ascii="宋体" w:hAnsi="宋体" w:cs="宋体"/>
          <w:sz w:val="24"/>
          <w:highlight w:val="none"/>
        </w:rPr>
      </w:pPr>
    </w:p>
    <w:p w14:paraId="53D82D81">
      <w:pPr>
        <w:spacing w:line="440" w:lineRule="exact"/>
        <w:rPr>
          <w:rFonts w:hint="eastAsia" w:ascii="宋体" w:hAnsi="宋体" w:cs="宋体"/>
          <w:sz w:val="24"/>
          <w:highlight w:val="none"/>
        </w:rPr>
      </w:pPr>
      <w:r>
        <w:rPr>
          <w:rFonts w:hint="eastAsia" w:ascii="宋体" w:hAnsi="宋体" w:cs="宋体"/>
          <w:sz w:val="24"/>
          <w:highlight w:val="none"/>
        </w:rPr>
        <w:t>法定代表人：</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rPr>
        <w:t>（签字或盖章）</w:t>
      </w:r>
    </w:p>
    <w:p w14:paraId="3704A3A9">
      <w:pPr>
        <w:spacing w:line="440" w:lineRule="exact"/>
        <w:rPr>
          <w:rFonts w:hint="eastAsia" w:ascii="宋体" w:hAnsi="宋体" w:cs="宋体"/>
          <w:sz w:val="24"/>
          <w:highlight w:val="none"/>
        </w:rPr>
      </w:pPr>
    </w:p>
    <w:p w14:paraId="330BBE3E">
      <w:pPr>
        <w:spacing w:line="440" w:lineRule="exact"/>
        <w:rPr>
          <w:rFonts w:hint="eastAsia" w:ascii="宋体" w:hAnsi="宋体" w:cs="宋体"/>
          <w:sz w:val="24"/>
          <w:highlight w:val="none"/>
        </w:rPr>
      </w:pPr>
      <w:r>
        <w:rPr>
          <w:rFonts w:hint="eastAsia" w:ascii="宋体" w:hAnsi="宋体" w:cs="宋体"/>
          <w:sz w:val="24"/>
          <w:highlight w:val="none"/>
        </w:rPr>
        <w:t>身份证号码：</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p>
    <w:p w14:paraId="0A1E55D5">
      <w:pPr>
        <w:spacing w:line="440" w:lineRule="exact"/>
        <w:rPr>
          <w:rFonts w:hint="eastAsia" w:ascii="宋体" w:hAnsi="宋体" w:cs="宋体"/>
          <w:sz w:val="24"/>
          <w:highlight w:val="none"/>
        </w:rPr>
      </w:pPr>
    </w:p>
    <w:p w14:paraId="2D9D9058">
      <w:pPr>
        <w:spacing w:line="440" w:lineRule="exact"/>
        <w:rPr>
          <w:rFonts w:hint="eastAsia" w:ascii="宋体" w:hAnsi="宋体" w:cs="宋体"/>
          <w:sz w:val="24"/>
          <w:highlight w:val="none"/>
        </w:rPr>
      </w:pPr>
      <w:r>
        <w:rPr>
          <w:rFonts w:hint="eastAsia" w:ascii="宋体" w:hAnsi="宋体" w:cs="宋体"/>
          <w:sz w:val="24"/>
          <w:highlight w:val="none"/>
        </w:rPr>
        <w:t>委托代理人：</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rPr>
        <w:t>（签字或盖章）</w:t>
      </w:r>
    </w:p>
    <w:p w14:paraId="44472BF6">
      <w:pPr>
        <w:spacing w:line="440" w:lineRule="exact"/>
        <w:rPr>
          <w:rFonts w:hint="eastAsia" w:ascii="宋体" w:hAnsi="宋体" w:cs="宋体"/>
          <w:sz w:val="24"/>
          <w:highlight w:val="none"/>
        </w:rPr>
      </w:pPr>
    </w:p>
    <w:p w14:paraId="22DE5F5E">
      <w:pPr>
        <w:spacing w:line="440" w:lineRule="exact"/>
        <w:rPr>
          <w:rFonts w:hint="eastAsia" w:ascii="宋体" w:hAnsi="宋体" w:cs="宋体"/>
          <w:highlight w:val="none"/>
        </w:rPr>
      </w:pPr>
      <w:r>
        <w:rPr>
          <w:rFonts w:hint="eastAsia" w:ascii="宋体" w:hAnsi="宋体" w:cs="宋体"/>
          <w:sz w:val="24"/>
          <w:highlight w:val="none"/>
        </w:rPr>
        <w:t>身份证号码：</w:t>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r>
        <w:rPr>
          <w:rFonts w:hint="eastAsia" w:ascii="宋体" w:hAnsi="宋体" w:cs="宋体"/>
          <w:sz w:val="24"/>
          <w:highlight w:val="none"/>
          <w:u w:val="single"/>
        </w:rPr>
        <w:tab/>
      </w:r>
    </w:p>
    <w:p w14:paraId="35875673">
      <w:pPr>
        <w:spacing w:line="440" w:lineRule="exact"/>
        <w:rPr>
          <w:rFonts w:hint="eastAsia" w:ascii="宋体" w:hAnsi="宋体" w:cs="宋体"/>
          <w:highlight w:val="none"/>
        </w:rPr>
      </w:pPr>
    </w:p>
    <w:p w14:paraId="1850CB9E">
      <w:pPr>
        <w:spacing w:line="440" w:lineRule="exact"/>
        <w:jc w:val="right"/>
        <w:rPr>
          <w:rFonts w:hint="eastAsia" w:ascii="宋体" w:hAnsi="宋体" w:cs="宋体"/>
          <w:highlight w:val="none"/>
        </w:rPr>
      </w:pPr>
      <w:r>
        <w:rPr>
          <w:rFonts w:hint="eastAsia" w:ascii="宋体" w:hAnsi="宋体" w:cs="宋体"/>
          <w:sz w:val="24"/>
          <w:highlight w:val="none"/>
          <w:u w:val="single"/>
        </w:rPr>
        <w:t xml:space="preserve">      </w:t>
      </w:r>
      <w:r>
        <w:rPr>
          <w:rFonts w:hint="eastAsia" w:ascii="宋体" w:hAnsi="宋体" w:cs="宋体"/>
          <w:highlight w:val="none"/>
        </w:rPr>
        <w:t>年</w:t>
      </w:r>
      <w:r>
        <w:rPr>
          <w:rFonts w:hint="eastAsia" w:ascii="宋体" w:hAnsi="宋体" w:cs="宋体"/>
          <w:sz w:val="24"/>
          <w:highlight w:val="none"/>
          <w:u w:val="single"/>
        </w:rPr>
        <w:t xml:space="preserve">      </w:t>
      </w:r>
      <w:r>
        <w:rPr>
          <w:rFonts w:hint="eastAsia" w:ascii="宋体" w:hAnsi="宋体" w:cs="宋体"/>
          <w:highlight w:val="none"/>
        </w:rPr>
        <w:t>月</w:t>
      </w:r>
      <w:r>
        <w:rPr>
          <w:rFonts w:hint="eastAsia" w:ascii="宋体" w:hAnsi="宋体" w:cs="宋体"/>
          <w:sz w:val="24"/>
          <w:highlight w:val="none"/>
          <w:u w:val="single"/>
        </w:rPr>
        <w:t xml:space="preserve">      </w:t>
      </w:r>
      <w:r>
        <w:rPr>
          <w:rFonts w:hint="eastAsia" w:ascii="宋体" w:hAnsi="宋体" w:cs="宋体"/>
          <w:highlight w:val="none"/>
        </w:rPr>
        <w:t>日</w:t>
      </w:r>
    </w:p>
    <w:p w14:paraId="691BC214">
      <w:pPr>
        <w:spacing w:line="440" w:lineRule="exact"/>
        <w:jc w:val="right"/>
        <w:rPr>
          <w:rFonts w:hint="eastAsia" w:ascii="宋体" w:hAnsi="宋体" w:cs="宋体"/>
          <w:highlight w:val="none"/>
        </w:rPr>
      </w:pPr>
    </w:p>
    <w:p w14:paraId="27E2B0FE">
      <w:pPr>
        <w:pStyle w:val="2"/>
        <w:adjustRightInd w:val="0"/>
        <w:snapToGrid w:val="0"/>
        <w:spacing w:before="0" w:after="0" w:line="360" w:lineRule="auto"/>
        <w:rPr>
          <w:rFonts w:hint="eastAsia" w:ascii="宋体" w:hAnsi="宋体" w:eastAsia="宋体" w:cs="宋体"/>
          <w:sz w:val="30"/>
          <w:szCs w:val="30"/>
          <w:highlight w:val="none"/>
        </w:rPr>
      </w:pPr>
      <w:r>
        <w:rPr>
          <w:rFonts w:hint="eastAsia" w:ascii="宋体" w:hAnsi="宋体" w:eastAsia="宋体" w:cs="宋体"/>
          <w:highlight w:val="none"/>
        </w:rPr>
        <w:br w:type="page"/>
      </w:r>
      <w:bookmarkStart w:id="522" w:name="_Toc529196605"/>
      <w:bookmarkEnd w:id="522"/>
      <w:bookmarkStart w:id="523" w:name="_Toc530470648"/>
      <w:bookmarkEnd w:id="523"/>
      <w:bookmarkStart w:id="524" w:name="_Toc535938756"/>
      <w:bookmarkEnd w:id="524"/>
      <w:bookmarkStart w:id="525" w:name="_Toc535938757"/>
      <w:bookmarkStart w:id="526" w:name="_Toc530470649"/>
      <w:bookmarkStart w:id="527" w:name="_Toc529196606"/>
      <w:bookmarkStart w:id="528" w:name="_Toc102997647"/>
      <w:r>
        <w:rPr>
          <w:rFonts w:hint="eastAsia" w:ascii="宋体" w:hAnsi="宋体" w:eastAsia="宋体" w:cs="宋体"/>
          <w:sz w:val="30"/>
          <w:szCs w:val="30"/>
          <w:highlight w:val="none"/>
        </w:rPr>
        <w:t>三、</w:t>
      </w:r>
      <w:bookmarkEnd w:id="525"/>
      <w:bookmarkEnd w:id="526"/>
      <w:bookmarkEnd w:id="527"/>
      <w:r>
        <w:rPr>
          <w:rFonts w:hint="eastAsia" w:ascii="宋体" w:hAnsi="宋体" w:eastAsia="宋体" w:cs="宋体"/>
          <w:sz w:val="30"/>
          <w:szCs w:val="30"/>
          <w:highlight w:val="none"/>
        </w:rPr>
        <w:t>投标报价表</w:t>
      </w:r>
      <w:bookmarkEnd w:id="528"/>
    </w:p>
    <w:p w14:paraId="2E08CEB9">
      <w:pPr>
        <w:spacing w:line="360" w:lineRule="auto"/>
        <w:jc w:val="center"/>
        <w:rPr>
          <w:rFonts w:hint="eastAsia" w:ascii="宋体" w:hAnsi="宋体" w:cs="宋体"/>
          <w:b/>
          <w:sz w:val="28"/>
          <w:szCs w:val="28"/>
          <w:highlight w:val="none"/>
        </w:rPr>
      </w:pPr>
      <w:bookmarkStart w:id="529" w:name="_Toc361508760"/>
      <w:r>
        <w:rPr>
          <w:rFonts w:hint="eastAsia" w:ascii="宋体" w:hAnsi="宋体" w:cs="宋体"/>
          <w:b/>
          <w:sz w:val="28"/>
          <w:szCs w:val="28"/>
          <w:highlight w:val="none"/>
        </w:rPr>
        <w:t>（一）投标报价汇总表</w:t>
      </w:r>
    </w:p>
    <w:p w14:paraId="5358C217">
      <w:pPr>
        <w:spacing w:line="360" w:lineRule="auto"/>
        <w:rPr>
          <w:rFonts w:hint="eastAsia" w:ascii="宋体" w:hAnsi="宋体" w:cs="宋体"/>
          <w:sz w:val="24"/>
          <w:szCs w:val="24"/>
          <w:highlight w:val="none"/>
          <w:u w:val="single"/>
        </w:rPr>
      </w:pPr>
      <w:r>
        <w:rPr>
          <w:rFonts w:hint="eastAsia" w:ascii="宋体" w:hAnsi="宋体" w:cs="宋体"/>
          <w:sz w:val="24"/>
          <w:szCs w:val="24"/>
          <w:highlight w:val="none"/>
        </w:rPr>
        <w:t>项目名称：</w:t>
      </w:r>
      <w:r>
        <w:rPr>
          <w:rFonts w:hint="eastAsia" w:ascii="宋体" w:hAnsi="宋体" w:cs="宋体"/>
          <w:sz w:val="24"/>
          <w:szCs w:val="24"/>
          <w:highlight w:val="none"/>
          <w:u w:val="single"/>
        </w:rPr>
        <w:t>花果山产业小镇综合配套工程建设项目土壤污染修复技术服务</w:t>
      </w:r>
    </w:p>
    <w:tbl>
      <w:tblPr>
        <w:tblStyle w:val="19"/>
        <w:tblW w:w="84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3450"/>
        <w:gridCol w:w="2544"/>
      </w:tblGrid>
      <w:tr w14:paraId="21DF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exact"/>
        </w:trPr>
        <w:tc>
          <w:tcPr>
            <w:tcW w:w="2472" w:type="dxa"/>
            <w:vAlign w:val="center"/>
          </w:tcPr>
          <w:p w14:paraId="6D2B4741">
            <w:pPr>
              <w:tabs>
                <w:tab w:val="left" w:pos="1620"/>
                <w:tab w:val="left" w:pos="1800"/>
                <w:tab w:val="left" w:pos="2520"/>
              </w:tabs>
              <w:snapToGrid w:val="0"/>
              <w:spacing w:before="159" w:beforeLines="50" w:after="120"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投标总报价金额</w:t>
            </w:r>
          </w:p>
        </w:tc>
        <w:tc>
          <w:tcPr>
            <w:tcW w:w="3450" w:type="dxa"/>
            <w:vAlign w:val="center"/>
          </w:tcPr>
          <w:p w14:paraId="713B2E69">
            <w:pPr>
              <w:pStyle w:val="33"/>
              <w:rPr>
                <w:rFonts w:hint="eastAsia"/>
                <w:b w:val="0"/>
                <w:bCs w:val="0"/>
                <w:sz w:val="24"/>
                <w:szCs w:val="24"/>
                <w:highlight w:val="none"/>
              </w:rPr>
            </w:pPr>
            <w:r>
              <w:rPr>
                <w:rFonts w:hint="eastAsia"/>
                <w:b w:val="0"/>
                <w:bCs w:val="0"/>
                <w:sz w:val="24"/>
                <w:szCs w:val="24"/>
                <w:highlight w:val="none"/>
              </w:rPr>
              <w:t>大写：人民币</w:t>
            </w:r>
            <w:r>
              <w:rPr>
                <w:rFonts w:hint="eastAsia" w:ascii="Arial" w:hAnsi="Arial" w:cs="Arial"/>
                <w:b w:val="0"/>
                <w:bCs w:val="0"/>
                <w:sz w:val="24"/>
                <w:szCs w:val="24"/>
                <w:highlight w:val="none"/>
                <w:u w:val="single"/>
              </w:rPr>
              <w:t xml:space="preserve">            </w:t>
            </w:r>
          </w:p>
          <w:p w14:paraId="6C94CE28">
            <w:pPr>
              <w:tabs>
                <w:tab w:val="left" w:pos="1620"/>
                <w:tab w:val="left" w:pos="1800"/>
                <w:tab w:val="left" w:pos="2520"/>
              </w:tabs>
              <w:snapToGrid w:val="0"/>
              <w:spacing w:before="159" w:beforeLines="50" w:after="120" w:line="360" w:lineRule="auto"/>
              <w:rPr>
                <w:rFonts w:hint="eastAsia" w:ascii="宋体" w:hAnsi="宋体" w:cs="宋体"/>
                <w:b/>
                <w:sz w:val="24"/>
                <w:szCs w:val="24"/>
                <w:highlight w:val="none"/>
              </w:rPr>
            </w:pPr>
            <w:r>
              <w:rPr>
                <w:rFonts w:hint="eastAsia"/>
                <w:sz w:val="24"/>
                <w:szCs w:val="24"/>
                <w:highlight w:val="none"/>
              </w:rPr>
              <w:t>小写：</w:t>
            </w:r>
            <w:r>
              <w:rPr>
                <w:rFonts w:ascii="Arial" w:hAnsi="Arial" w:cs="Arial"/>
                <w:sz w:val="24"/>
                <w:szCs w:val="24"/>
                <w:highlight w:val="none"/>
              </w:rPr>
              <w:t>¥</w:t>
            </w:r>
            <w:r>
              <w:rPr>
                <w:rFonts w:hint="eastAsia" w:ascii="Arial" w:hAnsi="Arial" w:cs="Arial"/>
                <w:sz w:val="24"/>
                <w:szCs w:val="24"/>
                <w:highlight w:val="none"/>
                <w:u w:val="single"/>
              </w:rPr>
              <w:t xml:space="preserve">               </w:t>
            </w:r>
            <w:r>
              <w:rPr>
                <w:rFonts w:hint="eastAsia"/>
                <w:sz w:val="24"/>
                <w:szCs w:val="24"/>
                <w:highlight w:val="none"/>
              </w:rPr>
              <w:t>元。</w:t>
            </w:r>
          </w:p>
        </w:tc>
        <w:tc>
          <w:tcPr>
            <w:tcW w:w="2544" w:type="dxa"/>
            <w:vAlign w:val="center"/>
          </w:tcPr>
          <w:p w14:paraId="2678E1F5">
            <w:pPr>
              <w:pStyle w:val="8"/>
              <w:tabs>
                <w:tab w:val="left" w:pos="1620"/>
                <w:tab w:val="left" w:pos="1800"/>
                <w:tab w:val="left" w:pos="2320"/>
              </w:tabs>
              <w:snapToGrid w:val="0"/>
              <w:spacing w:before="159" w:beforeLines="50" w:after="156" w:line="360" w:lineRule="auto"/>
              <w:ind w:left="0" w:leftChars="0" w:right="8" w:rightChars="0" w:firstLine="0"/>
              <w:jc w:val="center"/>
              <w:rPr>
                <w:rFonts w:hint="eastAsia" w:ascii="宋体" w:hAnsi="宋体" w:cs="宋体"/>
                <w:b/>
                <w:szCs w:val="24"/>
                <w:highlight w:val="none"/>
              </w:rPr>
            </w:pPr>
          </w:p>
        </w:tc>
      </w:tr>
      <w:tr w14:paraId="39D1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466" w:type="dxa"/>
            <w:gridSpan w:val="3"/>
            <w:vAlign w:val="center"/>
          </w:tcPr>
          <w:p w14:paraId="4F8D7237">
            <w:pPr>
              <w:widowControl/>
              <w:tabs>
                <w:tab w:val="left" w:pos="1620"/>
                <w:tab w:val="left" w:pos="1800"/>
                <w:tab w:val="left" w:pos="2520"/>
              </w:tabs>
              <w:jc w:val="center"/>
              <w:textAlignment w:val="center"/>
              <w:rPr>
                <w:rFonts w:hint="eastAsia" w:ascii="宋体" w:hAnsi="宋体" w:cs="宋体"/>
                <w:sz w:val="24"/>
                <w:szCs w:val="24"/>
                <w:highlight w:val="none"/>
              </w:rPr>
            </w:pPr>
            <w:r>
              <w:rPr>
                <w:rFonts w:hint="eastAsia" w:ascii="宋体" w:hAnsi="宋体" w:cs="宋体"/>
                <w:b/>
                <w:sz w:val="24"/>
                <w:szCs w:val="24"/>
                <w:highlight w:val="none"/>
              </w:rPr>
              <w:t>备注：</w:t>
            </w:r>
            <w:r>
              <w:rPr>
                <w:rFonts w:hint="eastAsia" w:ascii="宋体" w:hAnsi="宋体" w:cs="宋体"/>
                <w:sz w:val="24"/>
                <w:szCs w:val="24"/>
                <w:highlight w:val="none"/>
              </w:rPr>
              <w:t>投标总报价不得超过最高投标限价。</w:t>
            </w:r>
          </w:p>
        </w:tc>
      </w:tr>
    </w:tbl>
    <w:p w14:paraId="4D184604">
      <w:pPr>
        <w:ind w:right="107" w:rightChars="51"/>
        <w:rPr>
          <w:rFonts w:hint="eastAsia" w:ascii="宋体" w:hAnsi="宋体" w:cs="宋体"/>
          <w:sz w:val="24"/>
          <w:szCs w:val="24"/>
          <w:highlight w:val="none"/>
        </w:rPr>
      </w:pPr>
    </w:p>
    <w:p w14:paraId="350E0F3A">
      <w:pPr>
        <w:ind w:right="107" w:rightChars="51"/>
        <w:rPr>
          <w:highlight w:val="none"/>
        </w:rPr>
      </w:pPr>
      <w:r>
        <w:rPr>
          <w:rFonts w:hint="eastAsia" w:ascii="宋体" w:hAnsi="宋体" w:cs="宋体"/>
          <w:sz w:val="24"/>
          <w:szCs w:val="24"/>
          <w:highlight w:val="none"/>
        </w:rPr>
        <w:t>说明：1、</w:t>
      </w:r>
      <w:r>
        <w:rPr>
          <w:rFonts w:hint="eastAsia" w:asciiTheme="minorEastAsia" w:hAnsiTheme="minorEastAsia" w:eastAsiaTheme="minorEastAsia" w:cstheme="minorEastAsia"/>
          <w:kern w:val="0"/>
          <w:sz w:val="24"/>
          <w:szCs w:val="24"/>
          <w:highlight w:val="none"/>
        </w:rPr>
        <w:t>投标人须严格按照招标人给定的《污染土壤修复技术服务项目报价明细表》进行填报综合单价及投标总报价，</w:t>
      </w:r>
      <w:r>
        <w:rPr>
          <w:rFonts w:hint="eastAsia" w:ascii="宋体" w:hAnsi="宋体" w:cs="宋体" w:eastAsiaTheme="minorEastAsia"/>
          <w:sz w:val="24"/>
          <w:szCs w:val="24"/>
          <w:highlight w:val="none"/>
        </w:rPr>
        <w:t>投标报价</w:t>
      </w:r>
      <w:r>
        <w:rPr>
          <w:rFonts w:hint="eastAsia" w:ascii="宋体" w:hAnsi="宋体" w:cs="宋体"/>
          <w:sz w:val="24"/>
          <w:szCs w:val="24"/>
          <w:highlight w:val="none"/>
        </w:rPr>
        <w:t>不得超过最高投标限价</w:t>
      </w:r>
      <w:r>
        <w:rPr>
          <w:rFonts w:hint="eastAsia" w:asciiTheme="minorEastAsia" w:hAnsiTheme="minorEastAsia" w:eastAsiaTheme="minorEastAsia" w:cstheme="minorEastAsia"/>
          <w:kern w:val="0"/>
          <w:sz w:val="24"/>
          <w:szCs w:val="24"/>
          <w:highlight w:val="none"/>
        </w:rPr>
        <w:t>（单价限价及总价限价）</w:t>
      </w:r>
      <w:r>
        <w:rPr>
          <w:rFonts w:hint="eastAsia" w:ascii="宋体" w:hAnsi="宋体" w:cs="宋体"/>
          <w:sz w:val="24"/>
          <w:szCs w:val="24"/>
          <w:highlight w:val="none"/>
        </w:rPr>
        <w:t>。</w:t>
      </w:r>
    </w:p>
    <w:p w14:paraId="04439C8B">
      <w:pPr>
        <w:numPr>
          <w:ilvl w:val="0"/>
          <w:numId w:val="3"/>
        </w:numPr>
        <w:adjustRightInd w:val="0"/>
        <w:snapToGrid w:val="0"/>
        <w:spacing w:before="159" w:beforeLines="50"/>
        <w:rPr>
          <w:rFonts w:hint="eastAsia" w:ascii="宋体" w:hAnsi="宋体" w:cs="宋体"/>
          <w:sz w:val="24"/>
          <w:szCs w:val="24"/>
          <w:highlight w:val="none"/>
          <w:u w:val="single"/>
        </w:rPr>
      </w:pPr>
      <w:r>
        <w:rPr>
          <w:rFonts w:hint="eastAsia" w:ascii="宋体" w:hAnsi="宋体" w:cs="宋体"/>
          <w:sz w:val="24"/>
          <w:szCs w:val="24"/>
          <w:highlight w:val="none"/>
        </w:rPr>
        <w:t>结算方式：按合同约定执行。</w:t>
      </w:r>
    </w:p>
    <w:p w14:paraId="25060C0F">
      <w:pPr>
        <w:numPr>
          <w:ilvl w:val="255"/>
          <w:numId w:val="0"/>
        </w:numPr>
        <w:spacing w:line="360" w:lineRule="auto"/>
        <w:ind w:right="960"/>
        <w:jc w:val="left"/>
        <w:rPr>
          <w:rFonts w:hint="eastAsia" w:ascii="宋体" w:hAnsi="宋体" w:cs="宋体"/>
          <w:sz w:val="24"/>
          <w:szCs w:val="24"/>
          <w:highlight w:val="none"/>
        </w:rPr>
      </w:pPr>
    </w:p>
    <w:p w14:paraId="4D3898D6">
      <w:pPr>
        <w:numPr>
          <w:ilvl w:val="255"/>
          <w:numId w:val="0"/>
        </w:numPr>
        <w:spacing w:line="360" w:lineRule="auto"/>
        <w:ind w:right="960"/>
        <w:jc w:val="left"/>
        <w:rPr>
          <w:rFonts w:hint="eastAsia" w:ascii="宋体" w:hAnsi="宋体" w:cs="宋体"/>
          <w:sz w:val="24"/>
          <w:szCs w:val="24"/>
          <w:highlight w:val="none"/>
        </w:rPr>
      </w:pPr>
      <w:r>
        <w:rPr>
          <w:rFonts w:hint="eastAsia" w:ascii="宋体" w:hAnsi="宋体" w:cs="宋体"/>
          <w:sz w:val="24"/>
          <w:szCs w:val="24"/>
          <w:highlight w:val="none"/>
        </w:rPr>
        <w:t>投标人（盖章）：</w:t>
      </w:r>
    </w:p>
    <w:p w14:paraId="5E22EB9C">
      <w:pPr>
        <w:spacing w:line="360" w:lineRule="auto"/>
        <w:jc w:val="left"/>
        <w:rPr>
          <w:rFonts w:hint="eastAsia" w:ascii="宋体" w:hAnsi="宋体" w:cs="宋体"/>
          <w:sz w:val="24"/>
          <w:szCs w:val="24"/>
          <w:highlight w:val="none"/>
        </w:rPr>
      </w:pPr>
      <w:r>
        <w:rPr>
          <w:rFonts w:hint="eastAsia" w:ascii="宋体" w:hAnsi="宋体" w:cs="宋体"/>
          <w:spacing w:val="18"/>
          <w:sz w:val="24"/>
          <w:szCs w:val="24"/>
          <w:highlight w:val="none"/>
        </w:rPr>
        <w:t>法定代表人(或被授权人)签字或盖章</w:t>
      </w:r>
      <w:r>
        <w:rPr>
          <w:rFonts w:hint="eastAsia" w:ascii="宋体" w:hAnsi="宋体" w:cs="宋体"/>
          <w:sz w:val="24"/>
          <w:szCs w:val="24"/>
          <w:highlight w:val="none"/>
        </w:rPr>
        <w:t>：</w:t>
      </w:r>
    </w:p>
    <w:p w14:paraId="48E0C39B">
      <w:pPr>
        <w:spacing w:line="360" w:lineRule="auto"/>
        <w:ind w:right="960" w:firstLine="480"/>
        <w:jc w:val="left"/>
        <w:rPr>
          <w:rFonts w:hint="eastAsia" w:ascii="宋体" w:hAnsi="宋体" w:cs="宋体"/>
          <w:sz w:val="24"/>
          <w:szCs w:val="24"/>
          <w:highlight w:val="none"/>
        </w:rPr>
      </w:pPr>
      <w:r>
        <w:rPr>
          <w:rFonts w:hint="eastAsia" w:ascii="宋体" w:hAnsi="宋体" w:cs="宋体"/>
          <w:sz w:val="24"/>
          <w:szCs w:val="24"/>
          <w:highlight w:val="none"/>
        </w:rPr>
        <w:t>年  月  日</w:t>
      </w:r>
    </w:p>
    <w:p w14:paraId="24CDE28F">
      <w:pPr>
        <w:pStyle w:val="6"/>
        <w:rPr>
          <w:highlight w:val="none"/>
        </w:rPr>
      </w:pPr>
    </w:p>
    <w:p w14:paraId="400A64DD">
      <w:pPr>
        <w:pStyle w:val="6"/>
        <w:rPr>
          <w:highlight w:val="none"/>
        </w:rPr>
      </w:pPr>
    </w:p>
    <w:p w14:paraId="48C35FF4">
      <w:pPr>
        <w:pStyle w:val="6"/>
        <w:rPr>
          <w:highlight w:val="none"/>
        </w:rPr>
      </w:pPr>
    </w:p>
    <w:p w14:paraId="25BD79B9">
      <w:pPr>
        <w:pStyle w:val="6"/>
        <w:rPr>
          <w:highlight w:val="none"/>
        </w:rPr>
      </w:pPr>
    </w:p>
    <w:p w14:paraId="0ADC0B06">
      <w:pPr>
        <w:pStyle w:val="6"/>
        <w:rPr>
          <w:highlight w:val="none"/>
        </w:rPr>
      </w:pPr>
    </w:p>
    <w:p w14:paraId="6CB52609">
      <w:pPr>
        <w:pStyle w:val="6"/>
        <w:rPr>
          <w:highlight w:val="none"/>
        </w:rPr>
      </w:pPr>
    </w:p>
    <w:p w14:paraId="48EAA50E">
      <w:pPr>
        <w:pStyle w:val="6"/>
        <w:rPr>
          <w:highlight w:val="none"/>
        </w:rPr>
        <w:sectPr>
          <w:footerReference r:id="rId9" w:type="default"/>
          <w:pgSz w:w="11905" w:h="16838"/>
          <w:pgMar w:top="1440" w:right="1803" w:bottom="1440" w:left="1803" w:header="850" w:footer="992" w:gutter="0"/>
          <w:cols w:space="0" w:num="1"/>
          <w:docGrid w:type="lines" w:linePitch="319" w:charSpace="0"/>
        </w:sectPr>
      </w:pPr>
    </w:p>
    <w:p w14:paraId="7F8DE730">
      <w:pPr>
        <w:pStyle w:val="42"/>
        <w:jc w:val="center"/>
        <w:outlineLvl w:val="0"/>
        <w:rPr>
          <w:rFonts w:hint="eastAsia" w:asciiTheme="minorEastAsia" w:hAnsiTheme="minorEastAsia" w:eastAsiaTheme="minorEastAsia" w:cstheme="minorEastAsia"/>
          <w:b/>
          <w:kern w:val="0"/>
          <w:sz w:val="32"/>
          <w:szCs w:val="32"/>
          <w:highlight w:val="none"/>
        </w:rPr>
      </w:pPr>
      <w:r>
        <w:rPr>
          <w:rFonts w:hint="eastAsia" w:asciiTheme="minorEastAsia" w:hAnsiTheme="minorEastAsia" w:eastAsiaTheme="minorEastAsia" w:cstheme="minorEastAsia"/>
          <w:b/>
          <w:kern w:val="0"/>
          <w:sz w:val="32"/>
          <w:szCs w:val="32"/>
          <w:highlight w:val="none"/>
        </w:rPr>
        <w:t>（二）《土壤污染修复技术服务项目报价明细表》</w:t>
      </w:r>
    </w:p>
    <w:p w14:paraId="168EE732">
      <w:pPr>
        <w:tabs>
          <w:tab w:val="left" w:pos="720"/>
        </w:tabs>
        <w:ind w:firstLine="422" w:firstLineChars="200"/>
        <w:rPr>
          <w:rFonts w:hint="eastAsia" w:asciiTheme="minorEastAsia" w:hAnsiTheme="minorEastAsia" w:eastAsiaTheme="minorEastAsia" w:cstheme="minorEastAsia"/>
          <w:b/>
          <w:kern w:val="0"/>
          <w:szCs w:val="21"/>
          <w:highlight w:val="none"/>
        </w:rPr>
      </w:pPr>
    </w:p>
    <w:p w14:paraId="580FEFC5">
      <w:pPr>
        <w:tabs>
          <w:tab w:val="left" w:pos="720"/>
        </w:tabs>
        <w:ind w:firstLine="422" w:firstLineChars="200"/>
        <w:jc w:val="center"/>
        <w:rPr>
          <w:rFonts w:hint="eastAsia" w:asciiTheme="minorEastAsia" w:hAnsiTheme="minorEastAsia" w:eastAsiaTheme="minorEastAsia" w:cstheme="minorEastAsia"/>
          <w:b/>
          <w:kern w:val="0"/>
          <w:szCs w:val="21"/>
          <w:highlight w:val="none"/>
        </w:rPr>
      </w:pPr>
      <w:r>
        <w:rPr>
          <w:rFonts w:hint="eastAsia" w:asciiTheme="minorEastAsia" w:hAnsiTheme="minorEastAsia" w:eastAsiaTheme="minorEastAsia" w:cstheme="minorEastAsia"/>
          <w:b/>
          <w:kern w:val="0"/>
          <w:szCs w:val="21"/>
          <w:highlight w:val="none"/>
        </w:rPr>
        <w:t>（详见《土壤污染修复技术服务工程量清单》）</w:t>
      </w:r>
    </w:p>
    <w:p w14:paraId="4A5BC056">
      <w:pPr>
        <w:tabs>
          <w:tab w:val="left" w:pos="720"/>
        </w:tabs>
        <w:ind w:firstLine="422" w:firstLineChars="200"/>
        <w:rPr>
          <w:rFonts w:hint="eastAsia" w:asciiTheme="minorEastAsia" w:hAnsiTheme="minorEastAsia" w:eastAsiaTheme="minorEastAsia" w:cstheme="minorEastAsia"/>
          <w:b/>
          <w:kern w:val="0"/>
          <w:szCs w:val="21"/>
          <w:highlight w:val="none"/>
        </w:rPr>
      </w:pPr>
    </w:p>
    <w:p w14:paraId="405D2459">
      <w:pPr>
        <w:tabs>
          <w:tab w:val="left" w:pos="720"/>
        </w:tabs>
        <w:ind w:firstLine="422" w:firstLineChars="200"/>
        <w:rPr>
          <w:rFonts w:hint="eastAsia" w:asciiTheme="minorEastAsia" w:hAnsiTheme="minorEastAsia" w:eastAsiaTheme="minorEastAsia" w:cstheme="minorEastAsia"/>
          <w:b/>
          <w:kern w:val="0"/>
          <w:szCs w:val="21"/>
          <w:highlight w:val="none"/>
        </w:rPr>
      </w:pPr>
    </w:p>
    <w:p w14:paraId="024EB83A">
      <w:pPr>
        <w:tabs>
          <w:tab w:val="left" w:pos="720"/>
        </w:tabs>
        <w:ind w:firstLine="422" w:firstLineChars="200"/>
        <w:rPr>
          <w:rFonts w:hint="eastAsia" w:asciiTheme="minorEastAsia" w:hAnsiTheme="minorEastAsia" w:eastAsiaTheme="minorEastAsia" w:cstheme="minorEastAsia"/>
          <w:b/>
          <w:kern w:val="0"/>
          <w:szCs w:val="21"/>
          <w:highlight w:val="none"/>
        </w:rPr>
      </w:pPr>
    </w:p>
    <w:p w14:paraId="59E5367B">
      <w:pPr>
        <w:tabs>
          <w:tab w:val="left" w:pos="720"/>
        </w:tabs>
        <w:ind w:firstLine="422" w:firstLineChars="200"/>
        <w:rPr>
          <w:rFonts w:hint="eastAsia" w:asciiTheme="minorEastAsia" w:hAnsiTheme="minorEastAsia" w:eastAsiaTheme="minorEastAsia" w:cstheme="minorEastAsia"/>
          <w:b/>
          <w:kern w:val="0"/>
          <w:szCs w:val="21"/>
          <w:highlight w:val="none"/>
        </w:rPr>
      </w:pPr>
    </w:p>
    <w:p w14:paraId="2888D417">
      <w:pPr>
        <w:tabs>
          <w:tab w:val="left" w:pos="720"/>
        </w:tabs>
        <w:ind w:firstLine="422" w:firstLineChars="200"/>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kern w:val="0"/>
          <w:szCs w:val="21"/>
          <w:highlight w:val="none"/>
        </w:rPr>
        <w:t>报价要求：</w:t>
      </w:r>
    </w:p>
    <w:p w14:paraId="272F4824">
      <w:pPr>
        <w:pStyle w:val="44"/>
        <w:tabs>
          <w:tab w:val="clear" w:pos="420"/>
        </w:tabs>
        <w:spacing w:line="240" w:lineRule="auto"/>
        <w:ind w:left="0" w:firstLine="420" w:firstLineChars="200"/>
        <w:rPr>
          <w:rFonts w:asciiTheme="minorEastAsia" w:hAnsiTheme="minorEastAsia" w:eastAsiaTheme="minorEastAsia" w:cstheme="minorEastAsia"/>
          <w:kern w:val="0"/>
          <w:sz w:val="21"/>
          <w:szCs w:val="21"/>
          <w:highlight w:val="none"/>
        </w:rPr>
      </w:pPr>
      <w:r>
        <w:rPr>
          <w:rFonts w:asciiTheme="minorEastAsia" w:hAnsiTheme="minorEastAsia" w:eastAsiaTheme="minorEastAsia" w:cstheme="minorEastAsia"/>
          <w:kern w:val="0"/>
          <w:sz w:val="21"/>
          <w:szCs w:val="21"/>
          <w:highlight w:val="none"/>
        </w:rPr>
        <w:t>1.★投标人必须按照</w:t>
      </w:r>
      <w:r>
        <w:rPr>
          <w:rFonts w:asciiTheme="minorEastAsia" w:hAnsiTheme="minorEastAsia" w:eastAsiaTheme="minorEastAsia" w:cstheme="minorEastAsia"/>
          <w:b/>
          <w:kern w:val="0"/>
          <w:sz w:val="21"/>
          <w:szCs w:val="21"/>
          <w:highlight w:val="none"/>
        </w:rPr>
        <w:t>《土壤污染修复服务项目报价明细表》</w:t>
      </w:r>
      <w:r>
        <w:rPr>
          <w:rFonts w:asciiTheme="minorEastAsia" w:hAnsiTheme="minorEastAsia" w:eastAsiaTheme="minorEastAsia" w:cstheme="minorEastAsia"/>
          <w:kern w:val="0"/>
          <w:sz w:val="21"/>
          <w:szCs w:val="21"/>
          <w:highlight w:val="none"/>
        </w:rPr>
        <w:t>格式、内容及本报价要求进行报价和填写报价书。如未按要求进行报价，则做无效投标处理。</w:t>
      </w:r>
    </w:p>
    <w:p w14:paraId="5B8213E4">
      <w:pPr>
        <w:pStyle w:val="44"/>
        <w:tabs>
          <w:tab w:val="clear" w:pos="420"/>
        </w:tabs>
        <w:spacing w:line="240" w:lineRule="auto"/>
        <w:ind w:left="0" w:firstLine="420" w:firstLineChars="200"/>
        <w:rPr>
          <w:rFonts w:asciiTheme="minorEastAsia" w:hAnsiTheme="minorEastAsia" w:eastAsiaTheme="minorEastAsia" w:cstheme="minorEastAsia"/>
          <w:kern w:val="0"/>
          <w:sz w:val="21"/>
          <w:szCs w:val="21"/>
          <w:highlight w:val="none"/>
        </w:rPr>
      </w:pPr>
      <w:r>
        <w:rPr>
          <w:rFonts w:asciiTheme="minorEastAsia" w:hAnsiTheme="minorEastAsia" w:eastAsiaTheme="minorEastAsia" w:cstheme="minorEastAsia"/>
          <w:kern w:val="0"/>
          <w:sz w:val="21"/>
          <w:szCs w:val="21"/>
          <w:highlight w:val="none"/>
        </w:rPr>
        <w:t>2.★投标人需按照《</w:t>
      </w:r>
      <w:r>
        <w:rPr>
          <w:rFonts w:asciiTheme="minorEastAsia" w:hAnsiTheme="minorEastAsia" w:eastAsiaTheme="minorEastAsia" w:cstheme="minorEastAsia"/>
          <w:b/>
          <w:kern w:val="0"/>
          <w:sz w:val="21"/>
          <w:szCs w:val="21"/>
          <w:highlight w:val="none"/>
        </w:rPr>
        <w:t>土壤污染修复服务项目报价明细表</w:t>
      </w:r>
      <w:r>
        <w:rPr>
          <w:rFonts w:asciiTheme="minorEastAsia" w:hAnsiTheme="minorEastAsia" w:eastAsiaTheme="minorEastAsia" w:cstheme="minorEastAsia"/>
          <w:kern w:val="0"/>
          <w:sz w:val="21"/>
          <w:szCs w:val="21"/>
          <w:highlight w:val="none"/>
        </w:rPr>
        <w:t>》内工作内容进行报价，除此以外，投标人不得增加新的报价项目和新的报价内容，否则视为不响应招标文件要求，将做无效投标处理。</w:t>
      </w:r>
    </w:p>
    <w:p w14:paraId="1C838841">
      <w:pPr>
        <w:pStyle w:val="44"/>
        <w:tabs>
          <w:tab w:val="clear" w:pos="420"/>
        </w:tabs>
        <w:spacing w:line="240" w:lineRule="auto"/>
        <w:ind w:left="0" w:firstLine="420" w:firstLineChars="200"/>
        <w:rPr>
          <w:rFonts w:asciiTheme="minorEastAsia" w:hAnsiTheme="minorEastAsia" w:eastAsiaTheme="minorEastAsia" w:cstheme="minorEastAsia"/>
          <w:kern w:val="0"/>
          <w:sz w:val="21"/>
          <w:szCs w:val="21"/>
          <w:highlight w:val="none"/>
        </w:rPr>
      </w:pPr>
      <w:r>
        <w:rPr>
          <w:rFonts w:asciiTheme="minorEastAsia" w:hAnsiTheme="minorEastAsia" w:eastAsiaTheme="minorEastAsia" w:cstheme="minorEastAsia"/>
          <w:kern w:val="0"/>
          <w:sz w:val="21"/>
          <w:szCs w:val="21"/>
          <w:highlight w:val="none"/>
        </w:rPr>
        <w:t>3.本项目结算方式为：按经招标人审核确认的投标人实际完成工作量（指报价书中已有项目的数量）乘以投标人所报的综合单价计算，其中报价明细表中第三项税金按实际开票产生税金计算。除此以外，其它任何费用不得计入结算价款。</w:t>
      </w:r>
    </w:p>
    <w:p w14:paraId="40AAE3F4">
      <w:pPr>
        <w:rPr>
          <w:rFonts w:hint="eastAsia" w:asciiTheme="minorEastAsia" w:hAnsiTheme="minorEastAsia" w:eastAsiaTheme="minorEastAsia" w:cstheme="minorEastAsia"/>
          <w:b/>
          <w:kern w:val="0"/>
          <w:szCs w:val="21"/>
          <w:highlight w:val="none"/>
        </w:rPr>
      </w:pPr>
    </w:p>
    <w:p w14:paraId="71116957">
      <w:pPr>
        <w:pStyle w:val="6"/>
        <w:rPr>
          <w:highlight w:val="none"/>
        </w:rPr>
      </w:pPr>
    </w:p>
    <w:p w14:paraId="7E3BC358">
      <w:pPr>
        <w:pStyle w:val="6"/>
        <w:rPr>
          <w:highlight w:val="none"/>
        </w:rPr>
      </w:pPr>
    </w:p>
    <w:p w14:paraId="6C59D905">
      <w:pPr>
        <w:pStyle w:val="6"/>
        <w:rPr>
          <w:highlight w:val="none"/>
        </w:rPr>
      </w:pPr>
    </w:p>
    <w:p w14:paraId="48E8249E">
      <w:pPr>
        <w:pStyle w:val="6"/>
        <w:rPr>
          <w:highlight w:val="none"/>
        </w:rPr>
      </w:pPr>
    </w:p>
    <w:p w14:paraId="53525F0B">
      <w:pPr>
        <w:pStyle w:val="6"/>
        <w:rPr>
          <w:highlight w:val="none"/>
        </w:rPr>
        <w:sectPr>
          <w:pgSz w:w="16838" w:h="11905" w:orient="landscape"/>
          <w:pgMar w:top="1803" w:right="1440" w:bottom="1803" w:left="1440" w:header="850" w:footer="992" w:gutter="0"/>
          <w:cols w:space="0" w:num="1"/>
          <w:docGrid w:type="lines" w:linePitch="319" w:charSpace="0"/>
        </w:sectPr>
      </w:pPr>
    </w:p>
    <w:p w14:paraId="361CA8DF">
      <w:pPr>
        <w:pStyle w:val="2"/>
        <w:spacing w:line="600" w:lineRule="auto"/>
        <w:rPr>
          <w:rFonts w:hint="eastAsia" w:ascii="宋体" w:hAnsi="宋体" w:eastAsia="宋体" w:cs="宋体"/>
          <w:sz w:val="30"/>
          <w:szCs w:val="30"/>
          <w:highlight w:val="none"/>
        </w:rPr>
      </w:pPr>
      <w:bookmarkStart w:id="530" w:name="_Toc102997650"/>
      <w:r>
        <w:rPr>
          <w:rFonts w:hint="eastAsia" w:ascii="宋体" w:hAnsi="宋体" w:eastAsia="宋体" w:cs="宋体"/>
          <w:sz w:val="24"/>
          <w:highlight w:val="none"/>
        </w:rPr>
        <w:t>四</w:t>
      </w:r>
      <w:r>
        <w:rPr>
          <w:rFonts w:hint="eastAsia" w:ascii="宋体" w:hAnsi="宋体" w:eastAsia="宋体" w:cs="宋体"/>
          <w:sz w:val="30"/>
          <w:szCs w:val="30"/>
          <w:highlight w:val="none"/>
        </w:rPr>
        <w:t>、资格审查资料</w:t>
      </w:r>
      <w:bookmarkEnd w:id="530"/>
    </w:p>
    <w:p w14:paraId="243CE1C6">
      <w:pPr>
        <w:spacing w:line="360" w:lineRule="auto"/>
        <w:rPr>
          <w:rFonts w:hint="eastAsia" w:ascii="宋体" w:hAnsi="宋体" w:cs="宋体"/>
          <w:sz w:val="28"/>
          <w:szCs w:val="28"/>
          <w:highlight w:val="none"/>
        </w:rPr>
      </w:pPr>
      <w:bookmarkStart w:id="531" w:name="_Toc536042816"/>
      <w:bookmarkStart w:id="532" w:name="_Toc2154383"/>
      <w:r>
        <w:rPr>
          <w:rFonts w:hint="eastAsia" w:ascii="宋体" w:hAnsi="宋体" w:cs="宋体"/>
          <w:sz w:val="28"/>
          <w:szCs w:val="28"/>
          <w:highlight w:val="none"/>
        </w:rPr>
        <w:t>（一）</w:t>
      </w:r>
      <w:bookmarkEnd w:id="531"/>
      <w:bookmarkEnd w:id="532"/>
      <w:bookmarkStart w:id="533" w:name="_Toc2154384"/>
      <w:bookmarkStart w:id="534" w:name="_Toc536042817"/>
      <w:r>
        <w:rPr>
          <w:rFonts w:hint="eastAsia" w:ascii="宋体" w:hAnsi="宋体" w:cs="宋体"/>
          <w:sz w:val="28"/>
          <w:szCs w:val="28"/>
          <w:highlight w:val="none"/>
        </w:rPr>
        <w:t>事业单位登记管理部门核发的有效的事业单位法人证书或工商行政管理部门核发的有效的企业法人营业执照；</w:t>
      </w:r>
    </w:p>
    <w:p w14:paraId="7CE65CE1">
      <w:pPr>
        <w:spacing w:line="360" w:lineRule="auto"/>
        <w:rPr>
          <w:rFonts w:hint="eastAsia" w:ascii="宋体" w:hAnsi="宋体" w:cs="宋体"/>
          <w:sz w:val="28"/>
          <w:szCs w:val="28"/>
          <w:highlight w:val="none"/>
        </w:rPr>
      </w:pPr>
      <w:r>
        <w:rPr>
          <w:rFonts w:hint="eastAsia" w:ascii="宋体" w:hAnsi="宋体" w:cs="宋体"/>
          <w:sz w:val="28"/>
          <w:szCs w:val="28"/>
          <w:highlight w:val="none"/>
        </w:rPr>
        <w:t>（二）企业资质证书资质证书</w:t>
      </w:r>
    </w:p>
    <w:p w14:paraId="5D9874CF">
      <w:pPr>
        <w:spacing w:line="360" w:lineRule="auto"/>
        <w:rPr>
          <w:rFonts w:hint="eastAsia" w:ascii="宋体" w:hAnsi="宋体" w:cs="宋体"/>
          <w:sz w:val="28"/>
          <w:szCs w:val="28"/>
          <w:highlight w:val="none"/>
        </w:rPr>
      </w:pPr>
      <w:r>
        <w:rPr>
          <w:rFonts w:hint="eastAsia" w:ascii="宋体" w:hAnsi="宋体" w:cs="宋体"/>
          <w:sz w:val="28"/>
          <w:szCs w:val="28"/>
          <w:highlight w:val="none"/>
        </w:rPr>
        <w:t>（三）企业安全生产许可证；</w:t>
      </w:r>
    </w:p>
    <w:p w14:paraId="5C7F2B6F">
      <w:pPr>
        <w:spacing w:line="360" w:lineRule="auto"/>
        <w:rPr>
          <w:rFonts w:hint="eastAsia" w:ascii="宋体" w:hAnsi="宋体" w:cs="宋体"/>
          <w:sz w:val="28"/>
          <w:szCs w:val="28"/>
          <w:highlight w:val="none"/>
        </w:rPr>
      </w:pPr>
      <w:r>
        <w:rPr>
          <w:rFonts w:hint="eastAsia" w:ascii="宋体" w:hAnsi="宋体" w:cs="宋体"/>
          <w:sz w:val="28"/>
          <w:szCs w:val="28"/>
          <w:highlight w:val="none"/>
        </w:rPr>
        <w:t>（四）项目负责人的建造师注册证书，有效期内的安全生产考核合格证（B类）或建筑施工企业项目负责人安全生产考核合格证书；</w:t>
      </w:r>
    </w:p>
    <w:p w14:paraId="260AAFB9">
      <w:pPr>
        <w:spacing w:line="360" w:lineRule="auto"/>
        <w:rPr>
          <w:rFonts w:hint="eastAsia" w:ascii="宋体" w:hAnsi="宋体" w:cs="宋体"/>
          <w:sz w:val="28"/>
          <w:szCs w:val="28"/>
          <w:highlight w:val="none"/>
        </w:rPr>
      </w:pPr>
      <w:r>
        <w:rPr>
          <w:rFonts w:hint="eastAsia" w:ascii="宋体" w:hAnsi="宋体" w:cs="宋体"/>
          <w:sz w:val="28"/>
          <w:szCs w:val="28"/>
          <w:highlight w:val="none"/>
        </w:rPr>
        <w:t>（五）技术负责人的职称证书；</w:t>
      </w:r>
    </w:p>
    <w:p w14:paraId="69CFAB2A">
      <w:pPr>
        <w:spacing w:line="360" w:lineRule="auto"/>
        <w:rPr>
          <w:rFonts w:hint="eastAsia" w:ascii="宋体" w:hAnsi="宋体" w:cs="宋体"/>
          <w:sz w:val="28"/>
          <w:szCs w:val="28"/>
          <w:highlight w:val="none"/>
        </w:rPr>
      </w:pPr>
      <w:r>
        <w:rPr>
          <w:rFonts w:hint="eastAsia" w:ascii="宋体" w:hAnsi="宋体" w:cs="宋体"/>
          <w:sz w:val="28"/>
          <w:szCs w:val="28"/>
          <w:highlight w:val="none"/>
        </w:rPr>
        <w:t>（六）专职安全员在有效期内安全生产考核合格证（C类）或建筑施工企业专职安全生产管理人员安全生产考核合格证书（C3类）；</w:t>
      </w:r>
    </w:p>
    <w:p w14:paraId="4F131365">
      <w:pPr>
        <w:spacing w:line="360" w:lineRule="auto"/>
        <w:rPr>
          <w:rFonts w:hint="eastAsia" w:ascii="宋体" w:hAnsi="宋体" w:cs="宋体"/>
          <w:sz w:val="28"/>
          <w:szCs w:val="28"/>
          <w:highlight w:val="none"/>
        </w:rPr>
      </w:pPr>
      <w:r>
        <w:rPr>
          <w:rFonts w:hint="eastAsia" w:ascii="宋体" w:hAnsi="宋体" w:cs="宋体"/>
          <w:sz w:val="28"/>
          <w:szCs w:val="28"/>
          <w:highlight w:val="none"/>
        </w:rPr>
        <w:t>（七）投标人声明（按招标公告附件一提供）；</w:t>
      </w:r>
    </w:p>
    <w:p w14:paraId="28AAB673">
      <w:pPr>
        <w:spacing w:line="360" w:lineRule="auto"/>
        <w:rPr>
          <w:rFonts w:hint="eastAsia" w:ascii="宋体" w:hAnsi="宋体" w:cs="宋体"/>
          <w:sz w:val="28"/>
          <w:szCs w:val="28"/>
          <w:highlight w:val="none"/>
        </w:rPr>
      </w:pPr>
      <w:r>
        <w:rPr>
          <w:rFonts w:hint="eastAsia" w:ascii="宋体" w:hAnsi="宋体" w:cs="宋体"/>
          <w:sz w:val="28"/>
          <w:szCs w:val="28"/>
          <w:highlight w:val="none"/>
        </w:rPr>
        <w:t>（八）法定代表人证明书，如投标文件为委托代理人签署应同时附上法定代表人证明书和法定代表人授权书；</w:t>
      </w:r>
    </w:p>
    <w:p w14:paraId="77718BDA">
      <w:pPr>
        <w:spacing w:line="360" w:lineRule="auto"/>
        <w:rPr>
          <w:rFonts w:hint="eastAsia" w:ascii="宋体" w:hAnsi="宋体" w:cs="宋体"/>
          <w:sz w:val="28"/>
          <w:szCs w:val="28"/>
          <w:highlight w:val="none"/>
        </w:rPr>
      </w:pPr>
      <w:r>
        <w:rPr>
          <w:rFonts w:hint="eastAsia" w:ascii="宋体" w:hAnsi="宋体" w:cs="宋体"/>
          <w:sz w:val="28"/>
          <w:szCs w:val="28"/>
          <w:highlight w:val="none"/>
        </w:rPr>
        <w:t>（九）根据招标公告和招标文件要求，投标人认为需提供的其他材料。</w:t>
      </w:r>
    </w:p>
    <w:p w14:paraId="569A31B5">
      <w:pPr>
        <w:rPr>
          <w:rFonts w:hint="eastAsia" w:ascii="宋体" w:hAnsi="宋体" w:cs="宋体"/>
          <w:highlight w:val="none"/>
        </w:rPr>
      </w:pPr>
      <w:r>
        <w:rPr>
          <w:rFonts w:hint="eastAsia" w:ascii="宋体" w:hAnsi="宋体" w:cs="宋体"/>
          <w:b/>
          <w:sz w:val="28"/>
          <w:szCs w:val="28"/>
          <w:highlight w:val="none"/>
        </w:rPr>
        <w:br w:type="page"/>
      </w:r>
      <w:bookmarkEnd w:id="533"/>
      <w:bookmarkEnd w:id="534"/>
    </w:p>
    <w:p w14:paraId="1EFCFC4D">
      <w:pPr>
        <w:spacing w:before="20" w:line="415" w:lineRule="auto"/>
        <w:outlineLvl w:val="2"/>
        <w:rPr>
          <w:rFonts w:hint="eastAsia" w:ascii="宋体" w:hAnsi="宋体" w:cs="宋体"/>
          <w:b/>
          <w:bCs/>
          <w:sz w:val="28"/>
          <w:szCs w:val="28"/>
          <w:highlight w:val="none"/>
        </w:rPr>
      </w:pPr>
      <w:bookmarkStart w:id="535" w:name="_Toc102997651"/>
      <w:r>
        <w:rPr>
          <w:rFonts w:hint="eastAsia" w:ascii="宋体" w:hAnsi="宋体" w:cs="宋体"/>
          <w:sz w:val="30"/>
          <w:szCs w:val="30"/>
          <w:highlight w:val="none"/>
        </w:rPr>
        <w:t>五、</w:t>
      </w:r>
      <w:r>
        <w:rPr>
          <w:rFonts w:hint="eastAsia" w:ascii="宋体" w:hAnsi="宋体" w:cs="宋体"/>
          <w:b/>
          <w:bCs/>
          <w:sz w:val="28"/>
          <w:szCs w:val="28"/>
          <w:highlight w:val="none"/>
        </w:rPr>
        <w:t>商务部分资料</w:t>
      </w:r>
      <w:bookmarkEnd w:id="535"/>
    </w:p>
    <w:p w14:paraId="6A7C60C9">
      <w:pPr>
        <w:spacing w:before="20" w:line="415" w:lineRule="auto"/>
        <w:outlineLvl w:val="2"/>
        <w:rPr>
          <w:rFonts w:hint="eastAsia" w:ascii="宋体" w:hAnsi="宋体" w:cs="宋体"/>
          <w:b/>
          <w:bCs/>
          <w:sz w:val="28"/>
          <w:szCs w:val="28"/>
          <w:highlight w:val="none"/>
        </w:rPr>
      </w:pPr>
      <w:bookmarkStart w:id="536" w:name="_Toc102997653"/>
      <w:r>
        <w:rPr>
          <w:rFonts w:hint="eastAsia" w:ascii="宋体" w:hAnsi="宋体" w:cs="宋体"/>
          <w:b/>
          <w:bCs/>
          <w:sz w:val="28"/>
          <w:szCs w:val="28"/>
          <w:highlight w:val="none"/>
        </w:rPr>
        <w:t>（一）企业简介</w:t>
      </w:r>
    </w:p>
    <w:bookmarkEnd w:id="536"/>
    <w:p w14:paraId="0C20F6AF">
      <w:pPr>
        <w:rPr>
          <w:rFonts w:hint="eastAsia" w:ascii="宋体" w:hAnsi="宋体" w:cs="宋体"/>
          <w:b/>
          <w:bCs/>
          <w:sz w:val="28"/>
          <w:szCs w:val="28"/>
          <w:highlight w:val="none"/>
        </w:rPr>
      </w:pPr>
      <w:bookmarkStart w:id="537" w:name="_Toc102997654"/>
      <w:r>
        <w:rPr>
          <w:rFonts w:hint="eastAsia" w:ascii="宋体" w:hAnsi="宋体" w:cs="宋体"/>
          <w:b/>
          <w:bCs/>
          <w:sz w:val="28"/>
          <w:szCs w:val="28"/>
          <w:highlight w:val="none"/>
        </w:rPr>
        <w:br w:type="page"/>
      </w:r>
    </w:p>
    <w:p w14:paraId="42ADE6F2">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（二）近年完成的类似项目情况表（格式可自定）</w:t>
      </w:r>
      <w:bookmarkEnd w:id="537"/>
    </w:p>
    <w:tbl>
      <w:tblPr>
        <w:tblStyle w:val="19"/>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092"/>
      </w:tblGrid>
      <w:tr w14:paraId="6AC7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115E559C">
            <w:pPr>
              <w:topLinePunct/>
              <w:spacing w:line="440" w:lineRule="exact"/>
              <w:jc w:val="center"/>
              <w:rPr>
                <w:rFonts w:hint="eastAsia" w:ascii="宋体" w:hAnsi="宋体" w:cs="宋体"/>
                <w:highlight w:val="none"/>
              </w:rPr>
            </w:pPr>
            <w:r>
              <w:rPr>
                <w:rFonts w:hint="eastAsia" w:ascii="宋体" w:hAnsi="宋体" w:cs="宋体"/>
                <w:highlight w:val="none"/>
              </w:rPr>
              <w:t>项目名称</w:t>
            </w:r>
          </w:p>
        </w:tc>
        <w:tc>
          <w:tcPr>
            <w:tcW w:w="6092" w:type="dxa"/>
            <w:tcBorders>
              <w:top w:val="single" w:color="auto" w:sz="4" w:space="0"/>
              <w:left w:val="single" w:color="auto" w:sz="4" w:space="0"/>
              <w:bottom w:val="single" w:color="auto" w:sz="4" w:space="0"/>
              <w:right w:val="single" w:color="auto" w:sz="4" w:space="0"/>
            </w:tcBorders>
          </w:tcPr>
          <w:p w14:paraId="3C3740FC">
            <w:pPr>
              <w:topLinePunct/>
              <w:spacing w:line="440" w:lineRule="exact"/>
              <w:rPr>
                <w:rFonts w:hint="eastAsia" w:ascii="宋体" w:hAnsi="宋体" w:cs="宋体"/>
                <w:highlight w:val="none"/>
              </w:rPr>
            </w:pPr>
          </w:p>
        </w:tc>
      </w:tr>
      <w:tr w14:paraId="0783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765FD369">
            <w:pPr>
              <w:topLinePunct/>
              <w:spacing w:line="440" w:lineRule="exact"/>
              <w:jc w:val="center"/>
              <w:rPr>
                <w:rFonts w:hint="eastAsia" w:ascii="宋体" w:hAnsi="宋体" w:cs="宋体"/>
                <w:highlight w:val="none"/>
              </w:rPr>
            </w:pPr>
            <w:r>
              <w:rPr>
                <w:rFonts w:hint="eastAsia" w:ascii="宋体" w:hAnsi="宋体" w:cs="宋体"/>
                <w:highlight w:val="none"/>
              </w:rPr>
              <w:t>项目所在地</w:t>
            </w:r>
          </w:p>
        </w:tc>
        <w:tc>
          <w:tcPr>
            <w:tcW w:w="6092" w:type="dxa"/>
            <w:tcBorders>
              <w:top w:val="single" w:color="auto" w:sz="4" w:space="0"/>
              <w:left w:val="single" w:color="auto" w:sz="4" w:space="0"/>
              <w:bottom w:val="single" w:color="auto" w:sz="4" w:space="0"/>
              <w:right w:val="single" w:color="auto" w:sz="4" w:space="0"/>
            </w:tcBorders>
          </w:tcPr>
          <w:p w14:paraId="3BF4F9A1">
            <w:pPr>
              <w:topLinePunct/>
              <w:spacing w:line="440" w:lineRule="exact"/>
              <w:rPr>
                <w:rFonts w:hint="eastAsia" w:ascii="宋体" w:hAnsi="宋体" w:cs="宋体"/>
                <w:highlight w:val="none"/>
              </w:rPr>
            </w:pPr>
          </w:p>
        </w:tc>
      </w:tr>
      <w:tr w14:paraId="7D1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7898FC8D">
            <w:pPr>
              <w:topLinePunct/>
              <w:spacing w:line="440" w:lineRule="exact"/>
              <w:jc w:val="center"/>
              <w:rPr>
                <w:rFonts w:hint="eastAsia" w:ascii="宋体" w:hAnsi="宋体" w:cs="宋体"/>
                <w:highlight w:val="none"/>
              </w:rPr>
            </w:pPr>
            <w:r>
              <w:rPr>
                <w:rFonts w:hint="eastAsia" w:ascii="宋体" w:hAnsi="宋体" w:cs="宋体"/>
                <w:highlight w:val="none"/>
              </w:rPr>
              <w:t>委托人名称</w:t>
            </w:r>
          </w:p>
        </w:tc>
        <w:tc>
          <w:tcPr>
            <w:tcW w:w="6092" w:type="dxa"/>
            <w:tcBorders>
              <w:top w:val="single" w:color="auto" w:sz="4" w:space="0"/>
              <w:left w:val="single" w:color="auto" w:sz="4" w:space="0"/>
              <w:bottom w:val="single" w:color="auto" w:sz="4" w:space="0"/>
              <w:right w:val="single" w:color="auto" w:sz="4" w:space="0"/>
            </w:tcBorders>
          </w:tcPr>
          <w:p w14:paraId="238B9B90">
            <w:pPr>
              <w:topLinePunct/>
              <w:spacing w:line="440" w:lineRule="exact"/>
              <w:rPr>
                <w:rFonts w:hint="eastAsia" w:ascii="宋体" w:hAnsi="宋体" w:cs="宋体"/>
                <w:highlight w:val="none"/>
              </w:rPr>
            </w:pPr>
          </w:p>
        </w:tc>
      </w:tr>
      <w:tr w14:paraId="2712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77BA28D8">
            <w:pPr>
              <w:topLinePunct/>
              <w:spacing w:line="440" w:lineRule="exact"/>
              <w:jc w:val="center"/>
              <w:rPr>
                <w:rFonts w:hint="eastAsia" w:ascii="宋体" w:hAnsi="宋体" w:cs="宋体"/>
                <w:highlight w:val="none"/>
              </w:rPr>
            </w:pPr>
            <w:r>
              <w:rPr>
                <w:rFonts w:hint="eastAsia" w:ascii="宋体" w:hAnsi="宋体" w:cs="宋体"/>
                <w:highlight w:val="none"/>
              </w:rPr>
              <w:t>委托人地址</w:t>
            </w:r>
          </w:p>
        </w:tc>
        <w:tc>
          <w:tcPr>
            <w:tcW w:w="6092" w:type="dxa"/>
            <w:tcBorders>
              <w:top w:val="single" w:color="auto" w:sz="4" w:space="0"/>
              <w:left w:val="single" w:color="auto" w:sz="4" w:space="0"/>
              <w:bottom w:val="single" w:color="auto" w:sz="4" w:space="0"/>
              <w:right w:val="single" w:color="auto" w:sz="4" w:space="0"/>
            </w:tcBorders>
          </w:tcPr>
          <w:p w14:paraId="782BB056">
            <w:pPr>
              <w:topLinePunct/>
              <w:spacing w:line="440" w:lineRule="exact"/>
              <w:rPr>
                <w:rFonts w:hint="eastAsia" w:ascii="宋体" w:hAnsi="宋体" w:cs="宋体"/>
                <w:highlight w:val="none"/>
              </w:rPr>
            </w:pPr>
          </w:p>
        </w:tc>
      </w:tr>
      <w:tr w14:paraId="5958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470588EB">
            <w:pPr>
              <w:topLinePunct/>
              <w:spacing w:line="440" w:lineRule="exact"/>
              <w:jc w:val="center"/>
              <w:rPr>
                <w:rFonts w:hint="eastAsia" w:ascii="宋体" w:hAnsi="宋体" w:cs="宋体"/>
                <w:highlight w:val="none"/>
              </w:rPr>
            </w:pPr>
            <w:r>
              <w:rPr>
                <w:rFonts w:hint="eastAsia" w:ascii="宋体" w:hAnsi="宋体" w:cs="宋体"/>
                <w:highlight w:val="none"/>
              </w:rPr>
              <w:t>委托人电话</w:t>
            </w:r>
          </w:p>
        </w:tc>
        <w:tc>
          <w:tcPr>
            <w:tcW w:w="6092" w:type="dxa"/>
            <w:tcBorders>
              <w:top w:val="single" w:color="auto" w:sz="4" w:space="0"/>
              <w:left w:val="single" w:color="auto" w:sz="4" w:space="0"/>
              <w:bottom w:val="single" w:color="auto" w:sz="4" w:space="0"/>
              <w:right w:val="single" w:color="auto" w:sz="4" w:space="0"/>
            </w:tcBorders>
          </w:tcPr>
          <w:p w14:paraId="13A6C03A">
            <w:pPr>
              <w:topLinePunct/>
              <w:spacing w:line="440" w:lineRule="exact"/>
              <w:rPr>
                <w:rFonts w:hint="eastAsia" w:ascii="宋体" w:hAnsi="宋体" w:cs="宋体"/>
                <w:highlight w:val="none"/>
              </w:rPr>
            </w:pPr>
          </w:p>
        </w:tc>
      </w:tr>
      <w:tr w14:paraId="5A09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47903F29">
            <w:pPr>
              <w:topLinePunct/>
              <w:spacing w:line="440" w:lineRule="exact"/>
              <w:jc w:val="center"/>
              <w:rPr>
                <w:rFonts w:hint="eastAsia" w:ascii="宋体" w:hAnsi="宋体" w:cs="宋体"/>
                <w:highlight w:val="none"/>
              </w:rPr>
            </w:pPr>
            <w:r>
              <w:rPr>
                <w:rFonts w:hint="eastAsia" w:ascii="宋体" w:hAnsi="宋体" w:cs="宋体"/>
                <w:highlight w:val="none"/>
              </w:rPr>
              <w:t>合同价格</w:t>
            </w:r>
          </w:p>
        </w:tc>
        <w:tc>
          <w:tcPr>
            <w:tcW w:w="6092" w:type="dxa"/>
            <w:tcBorders>
              <w:top w:val="single" w:color="auto" w:sz="4" w:space="0"/>
              <w:left w:val="single" w:color="auto" w:sz="4" w:space="0"/>
              <w:bottom w:val="single" w:color="auto" w:sz="4" w:space="0"/>
              <w:right w:val="single" w:color="auto" w:sz="4" w:space="0"/>
            </w:tcBorders>
          </w:tcPr>
          <w:p w14:paraId="5A146820">
            <w:pPr>
              <w:topLinePunct/>
              <w:spacing w:line="440" w:lineRule="exact"/>
              <w:rPr>
                <w:rFonts w:hint="eastAsia" w:ascii="宋体" w:hAnsi="宋体" w:cs="宋体"/>
                <w:highlight w:val="none"/>
              </w:rPr>
            </w:pPr>
          </w:p>
        </w:tc>
      </w:tr>
      <w:tr w14:paraId="3675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251A407C">
            <w:pPr>
              <w:topLinePunct/>
              <w:spacing w:line="440" w:lineRule="exact"/>
              <w:jc w:val="center"/>
              <w:rPr>
                <w:rFonts w:hint="eastAsia" w:ascii="宋体" w:hAnsi="宋体" w:cs="宋体"/>
                <w:highlight w:val="none"/>
              </w:rPr>
            </w:pPr>
            <w:r>
              <w:rPr>
                <w:rFonts w:hint="eastAsia" w:ascii="宋体" w:hAnsi="宋体" w:cs="宋体"/>
                <w:highlight w:val="none"/>
              </w:rPr>
              <w:t>服务期限</w:t>
            </w:r>
          </w:p>
        </w:tc>
        <w:tc>
          <w:tcPr>
            <w:tcW w:w="6092" w:type="dxa"/>
            <w:tcBorders>
              <w:top w:val="single" w:color="auto" w:sz="4" w:space="0"/>
              <w:left w:val="single" w:color="auto" w:sz="4" w:space="0"/>
              <w:bottom w:val="single" w:color="auto" w:sz="4" w:space="0"/>
              <w:right w:val="single" w:color="auto" w:sz="4" w:space="0"/>
            </w:tcBorders>
          </w:tcPr>
          <w:p w14:paraId="16B3E7DA">
            <w:pPr>
              <w:topLinePunct/>
              <w:spacing w:line="440" w:lineRule="exact"/>
              <w:rPr>
                <w:rFonts w:hint="eastAsia" w:ascii="宋体" w:hAnsi="宋体" w:cs="宋体"/>
                <w:highlight w:val="none"/>
              </w:rPr>
            </w:pPr>
          </w:p>
        </w:tc>
      </w:tr>
      <w:tr w14:paraId="02F5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4BA175FA">
            <w:pPr>
              <w:topLinePunct/>
              <w:spacing w:line="440" w:lineRule="exact"/>
              <w:jc w:val="center"/>
              <w:rPr>
                <w:rFonts w:hint="eastAsia" w:ascii="宋体" w:hAnsi="宋体" w:cs="宋体"/>
                <w:highlight w:val="none"/>
              </w:rPr>
            </w:pPr>
            <w:r>
              <w:rPr>
                <w:rFonts w:hint="eastAsia" w:ascii="宋体" w:hAnsi="宋体" w:cs="宋体"/>
                <w:highlight w:val="none"/>
              </w:rPr>
              <w:t>项目负责人</w:t>
            </w:r>
          </w:p>
        </w:tc>
        <w:tc>
          <w:tcPr>
            <w:tcW w:w="6092" w:type="dxa"/>
            <w:tcBorders>
              <w:top w:val="single" w:color="auto" w:sz="4" w:space="0"/>
              <w:left w:val="single" w:color="auto" w:sz="4" w:space="0"/>
              <w:bottom w:val="single" w:color="auto" w:sz="4" w:space="0"/>
              <w:right w:val="single" w:color="auto" w:sz="4" w:space="0"/>
            </w:tcBorders>
          </w:tcPr>
          <w:p w14:paraId="0F2E4D35">
            <w:pPr>
              <w:topLinePunct/>
              <w:spacing w:line="440" w:lineRule="exact"/>
              <w:rPr>
                <w:rFonts w:hint="eastAsia" w:ascii="宋体" w:hAnsi="宋体" w:cs="宋体"/>
                <w:highlight w:val="none"/>
              </w:rPr>
            </w:pPr>
          </w:p>
        </w:tc>
      </w:tr>
      <w:tr w14:paraId="2D8D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5BA102F3">
            <w:pPr>
              <w:topLinePunct/>
              <w:spacing w:line="440" w:lineRule="exact"/>
              <w:jc w:val="center"/>
              <w:rPr>
                <w:rFonts w:hint="eastAsia" w:ascii="宋体" w:hAnsi="宋体" w:cs="宋体"/>
                <w:highlight w:val="none"/>
              </w:rPr>
            </w:pPr>
            <w:r>
              <w:rPr>
                <w:rFonts w:hint="eastAsia" w:ascii="宋体" w:hAnsi="宋体" w:cs="宋体"/>
                <w:highlight w:val="none"/>
              </w:rPr>
              <w:t>项目描述</w:t>
            </w:r>
          </w:p>
        </w:tc>
        <w:tc>
          <w:tcPr>
            <w:tcW w:w="6092" w:type="dxa"/>
            <w:tcBorders>
              <w:top w:val="single" w:color="auto" w:sz="4" w:space="0"/>
              <w:left w:val="single" w:color="auto" w:sz="4" w:space="0"/>
              <w:bottom w:val="single" w:color="auto" w:sz="4" w:space="0"/>
              <w:right w:val="single" w:color="auto" w:sz="4" w:space="0"/>
            </w:tcBorders>
          </w:tcPr>
          <w:p w14:paraId="5C8FB41F">
            <w:pPr>
              <w:topLinePunct/>
              <w:spacing w:line="440" w:lineRule="exact"/>
              <w:rPr>
                <w:rFonts w:hint="eastAsia" w:ascii="宋体" w:hAnsi="宋体" w:cs="宋体"/>
                <w:highlight w:val="none"/>
              </w:rPr>
            </w:pPr>
          </w:p>
          <w:p w14:paraId="0461DD8F">
            <w:pPr>
              <w:topLinePunct/>
              <w:spacing w:line="440" w:lineRule="exact"/>
              <w:rPr>
                <w:rFonts w:hint="eastAsia" w:ascii="宋体" w:hAnsi="宋体" w:cs="宋体"/>
                <w:highlight w:val="none"/>
              </w:rPr>
            </w:pPr>
          </w:p>
        </w:tc>
      </w:tr>
      <w:tr w14:paraId="7DE5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30F7EE46">
            <w:pPr>
              <w:topLinePunct/>
              <w:spacing w:line="440" w:lineRule="exact"/>
              <w:jc w:val="center"/>
              <w:rPr>
                <w:rFonts w:hint="eastAsia" w:ascii="宋体" w:hAnsi="宋体" w:cs="宋体"/>
                <w:highlight w:val="none"/>
              </w:rPr>
            </w:pPr>
            <w:r>
              <w:rPr>
                <w:rFonts w:hint="eastAsia" w:ascii="宋体" w:hAnsi="宋体" w:cs="宋体"/>
                <w:highlight w:val="none"/>
              </w:rPr>
              <w:t>备注</w:t>
            </w:r>
          </w:p>
        </w:tc>
        <w:tc>
          <w:tcPr>
            <w:tcW w:w="6092" w:type="dxa"/>
            <w:tcBorders>
              <w:top w:val="single" w:color="auto" w:sz="4" w:space="0"/>
              <w:left w:val="single" w:color="auto" w:sz="4" w:space="0"/>
              <w:bottom w:val="single" w:color="auto" w:sz="4" w:space="0"/>
              <w:right w:val="single" w:color="auto" w:sz="4" w:space="0"/>
            </w:tcBorders>
          </w:tcPr>
          <w:p w14:paraId="44F6DE2B">
            <w:pPr>
              <w:topLinePunct/>
              <w:spacing w:line="440" w:lineRule="exact"/>
              <w:rPr>
                <w:rFonts w:hint="eastAsia" w:ascii="宋体" w:hAnsi="宋体" w:cs="宋体"/>
                <w:highlight w:val="none"/>
              </w:rPr>
            </w:pPr>
          </w:p>
        </w:tc>
      </w:tr>
    </w:tbl>
    <w:p w14:paraId="321F4C1F">
      <w:pPr>
        <w:spacing w:line="440" w:lineRule="exact"/>
        <w:rPr>
          <w:rFonts w:hint="eastAsia" w:ascii="宋体" w:hAnsi="宋体" w:cs="宋体"/>
          <w:highlight w:val="none"/>
        </w:rPr>
      </w:pPr>
      <w:r>
        <w:rPr>
          <w:rFonts w:hint="eastAsia" w:ascii="宋体" w:hAnsi="宋体" w:cs="宋体"/>
          <w:sz w:val="24"/>
          <w:highlight w:val="none"/>
        </w:rPr>
        <w:t>注：投标人可根据评标办法前附表的要求在本表后附相关证明材料。</w:t>
      </w:r>
    </w:p>
    <w:p w14:paraId="3D9232A3">
      <w:pPr>
        <w:spacing w:line="440" w:lineRule="exact"/>
        <w:rPr>
          <w:rFonts w:hint="eastAsia" w:ascii="宋体" w:hAnsi="宋体" w:cs="宋体"/>
          <w:highlight w:val="none"/>
        </w:rPr>
      </w:pPr>
    </w:p>
    <w:p w14:paraId="7DD4DFDC">
      <w:pPr>
        <w:spacing w:before="20" w:line="415" w:lineRule="auto"/>
        <w:outlineLvl w:val="2"/>
        <w:rPr>
          <w:rFonts w:hint="eastAsia" w:ascii="宋体" w:hAnsi="宋体" w:cs="宋体"/>
          <w:b/>
          <w:bCs/>
          <w:sz w:val="28"/>
          <w:szCs w:val="28"/>
          <w:highlight w:val="none"/>
        </w:rPr>
      </w:pPr>
      <w:r>
        <w:rPr>
          <w:rFonts w:hint="eastAsia" w:ascii="宋体" w:hAnsi="宋体" w:cs="宋体"/>
          <w:b/>
          <w:bCs/>
          <w:sz w:val="32"/>
          <w:szCs w:val="32"/>
          <w:highlight w:val="none"/>
        </w:rPr>
        <w:br w:type="page"/>
      </w:r>
      <w:bookmarkStart w:id="538" w:name="_Toc102997655"/>
      <w:r>
        <w:rPr>
          <w:rFonts w:hint="eastAsia" w:ascii="宋体" w:hAnsi="宋体" w:cs="宋体"/>
          <w:b/>
          <w:bCs/>
          <w:sz w:val="28"/>
          <w:szCs w:val="28"/>
          <w:highlight w:val="none"/>
        </w:rPr>
        <w:t>（三）拟投入本项目主要服务人员一览表（格式可自定）</w:t>
      </w:r>
      <w:bookmarkEnd w:id="538"/>
    </w:p>
    <w:tbl>
      <w:tblPr>
        <w:tblStyle w:val="19"/>
        <w:tblW w:w="7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06"/>
        <w:gridCol w:w="701"/>
        <w:gridCol w:w="616"/>
        <w:gridCol w:w="709"/>
        <w:gridCol w:w="672"/>
        <w:gridCol w:w="1349"/>
        <w:gridCol w:w="1111"/>
        <w:gridCol w:w="639"/>
      </w:tblGrid>
      <w:tr w14:paraId="0B77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870" w:type="dxa"/>
            <w:vAlign w:val="center"/>
          </w:tcPr>
          <w:p w14:paraId="329E0A6E">
            <w:pPr>
              <w:jc w:val="center"/>
              <w:rPr>
                <w:rFonts w:hint="eastAsia" w:ascii="宋体" w:hAnsi="宋体" w:cs="宋体"/>
                <w:highlight w:val="none"/>
              </w:rPr>
            </w:pPr>
            <w:r>
              <w:rPr>
                <w:rFonts w:hint="eastAsia" w:ascii="宋体" w:hAnsi="宋体" w:cs="宋体"/>
                <w:highlight w:val="none"/>
              </w:rPr>
              <w:t>序号</w:t>
            </w:r>
          </w:p>
        </w:tc>
        <w:tc>
          <w:tcPr>
            <w:tcW w:w="1106" w:type="dxa"/>
            <w:vAlign w:val="center"/>
          </w:tcPr>
          <w:p w14:paraId="774C9BE5">
            <w:pPr>
              <w:jc w:val="center"/>
              <w:rPr>
                <w:rFonts w:hint="eastAsia" w:ascii="宋体" w:hAnsi="宋体" w:cs="宋体"/>
                <w:highlight w:val="none"/>
              </w:rPr>
            </w:pPr>
            <w:r>
              <w:rPr>
                <w:rFonts w:hint="eastAsia" w:ascii="宋体" w:hAnsi="宋体" w:cs="宋体"/>
                <w:highlight w:val="none"/>
              </w:rPr>
              <w:t>本项目任职</w:t>
            </w:r>
          </w:p>
        </w:tc>
        <w:tc>
          <w:tcPr>
            <w:tcW w:w="701" w:type="dxa"/>
            <w:vAlign w:val="center"/>
          </w:tcPr>
          <w:p w14:paraId="1E605596">
            <w:pPr>
              <w:jc w:val="center"/>
              <w:rPr>
                <w:rFonts w:hint="eastAsia" w:ascii="宋体" w:hAnsi="宋体" w:cs="宋体"/>
                <w:highlight w:val="none"/>
              </w:rPr>
            </w:pPr>
            <w:r>
              <w:rPr>
                <w:rFonts w:hint="eastAsia" w:ascii="宋体" w:hAnsi="宋体" w:cs="宋体"/>
                <w:highlight w:val="none"/>
              </w:rPr>
              <w:t>姓名</w:t>
            </w:r>
          </w:p>
        </w:tc>
        <w:tc>
          <w:tcPr>
            <w:tcW w:w="616" w:type="dxa"/>
            <w:vAlign w:val="center"/>
          </w:tcPr>
          <w:p w14:paraId="16025E93">
            <w:pPr>
              <w:jc w:val="center"/>
              <w:rPr>
                <w:rFonts w:hint="eastAsia" w:ascii="宋体" w:hAnsi="宋体" w:cs="宋体"/>
                <w:highlight w:val="none"/>
              </w:rPr>
            </w:pPr>
            <w:r>
              <w:rPr>
                <w:rFonts w:hint="eastAsia" w:ascii="宋体" w:hAnsi="宋体" w:cs="宋体"/>
                <w:highlight w:val="none"/>
              </w:rPr>
              <w:t>年龄</w:t>
            </w:r>
          </w:p>
        </w:tc>
        <w:tc>
          <w:tcPr>
            <w:tcW w:w="709" w:type="dxa"/>
            <w:vAlign w:val="center"/>
          </w:tcPr>
          <w:p w14:paraId="3E3F9097">
            <w:pPr>
              <w:jc w:val="center"/>
              <w:rPr>
                <w:rFonts w:hint="eastAsia" w:ascii="宋体" w:hAnsi="宋体" w:cs="宋体"/>
                <w:highlight w:val="none"/>
              </w:rPr>
            </w:pPr>
            <w:r>
              <w:rPr>
                <w:rFonts w:hint="eastAsia" w:ascii="宋体" w:hAnsi="宋体" w:cs="宋体"/>
                <w:highlight w:val="none"/>
              </w:rPr>
              <w:t>学历</w:t>
            </w:r>
          </w:p>
        </w:tc>
        <w:tc>
          <w:tcPr>
            <w:tcW w:w="672" w:type="dxa"/>
            <w:vAlign w:val="center"/>
          </w:tcPr>
          <w:p w14:paraId="241AAACD">
            <w:pPr>
              <w:jc w:val="center"/>
              <w:rPr>
                <w:rFonts w:hint="eastAsia" w:ascii="宋体" w:hAnsi="宋体" w:cs="宋体"/>
                <w:highlight w:val="none"/>
              </w:rPr>
            </w:pPr>
            <w:r>
              <w:rPr>
                <w:rFonts w:hint="eastAsia" w:ascii="宋体" w:hAnsi="宋体" w:cs="宋体"/>
                <w:highlight w:val="none"/>
              </w:rPr>
              <w:t>专业</w:t>
            </w:r>
          </w:p>
        </w:tc>
        <w:tc>
          <w:tcPr>
            <w:tcW w:w="1349" w:type="dxa"/>
            <w:vAlign w:val="center"/>
          </w:tcPr>
          <w:p w14:paraId="281E2453">
            <w:pPr>
              <w:jc w:val="center"/>
              <w:rPr>
                <w:rFonts w:hint="eastAsia" w:ascii="宋体" w:hAnsi="宋体" w:cs="宋体"/>
                <w:highlight w:val="none"/>
              </w:rPr>
            </w:pPr>
            <w:r>
              <w:rPr>
                <w:rFonts w:hint="eastAsia" w:ascii="宋体" w:hAnsi="宋体" w:cs="宋体"/>
                <w:highlight w:val="none"/>
              </w:rPr>
              <w:t>职称</w:t>
            </w:r>
          </w:p>
        </w:tc>
        <w:tc>
          <w:tcPr>
            <w:tcW w:w="1111" w:type="dxa"/>
            <w:vAlign w:val="center"/>
          </w:tcPr>
          <w:p w14:paraId="09980FDF">
            <w:pPr>
              <w:jc w:val="center"/>
              <w:rPr>
                <w:rFonts w:hint="eastAsia" w:ascii="宋体" w:hAnsi="宋体" w:cs="宋体"/>
                <w:szCs w:val="21"/>
                <w:highlight w:val="none"/>
              </w:rPr>
            </w:pPr>
            <w:r>
              <w:rPr>
                <w:rFonts w:hint="eastAsia" w:ascii="宋体" w:hAnsi="宋体" w:cs="宋体"/>
                <w:szCs w:val="21"/>
                <w:highlight w:val="none"/>
              </w:rPr>
              <w:t>从事相关工作年限</w:t>
            </w:r>
          </w:p>
        </w:tc>
        <w:tc>
          <w:tcPr>
            <w:tcW w:w="639" w:type="dxa"/>
            <w:vAlign w:val="center"/>
          </w:tcPr>
          <w:p w14:paraId="6C246D26">
            <w:pPr>
              <w:jc w:val="center"/>
              <w:rPr>
                <w:rFonts w:hint="eastAsia" w:ascii="宋体" w:hAnsi="宋体" w:cs="宋体"/>
                <w:highlight w:val="none"/>
              </w:rPr>
            </w:pPr>
            <w:r>
              <w:rPr>
                <w:rFonts w:hint="eastAsia" w:ascii="宋体" w:hAnsi="宋体" w:cs="宋体"/>
                <w:highlight w:val="none"/>
              </w:rPr>
              <w:t>备注</w:t>
            </w:r>
          </w:p>
        </w:tc>
      </w:tr>
      <w:tr w14:paraId="1C2C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43C4D53">
            <w:pPr>
              <w:spacing w:line="440" w:lineRule="exact"/>
              <w:jc w:val="center"/>
              <w:rPr>
                <w:rFonts w:hint="eastAsia" w:ascii="宋体" w:hAnsi="宋体" w:cs="宋体"/>
                <w:highlight w:val="none"/>
              </w:rPr>
            </w:pPr>
          </w:p>
        </w:tc>
        <w:tc>
          <w:tcPr>
            <w:tcW w:w="1106" w:type="dxa"/>
          </w:tcPr>
          <w:p w14:paraId="531C1EA5">
            <w:pPr>
              <w:spacing w:line="440" w:lineRule="exact"/>
              <w:jc w:val="center"/>
              <w:rPr>
                <w:rFonts w:hint="eastAsia" w:ascii="宋体" w:hAnsi="宋体" w:cs="宋体"/>
                <w:highlight w:val="none"/>
              </w:rPr>
            </w:pPr>
          </w:p>
        </w:tc>
        <w:tc>
          <w:tcPr>
            <w:tcW w:w="701" w:type="dxa"/>
            <w:vAlign w:val="center"/>
          </w:tcPr>
          <w:p w14:paraId="330DD09A">
            <w:pPr>
              <w:spacing w:line="440" w:lineRule="exact"/>
              <w:jc w:val="center"/>
              <w:rPr>
                <w:rFonts w:hint="eastAsia" w:ascii="宋体" w:hAnsi="宋体" w:cs="宋体"/>
                <w:highlight w:val="none"/>
              </w:rPr>
            </w:pPr>
          </w:p>
        </w:tc>
        <w:tc>
          <w:tcPr>
            <w:tcW w:w="616" w:type="dxa"/>
          </w:tcPr>
          <w:p w14:paraId="7F5D987E">
            <w:pPr>
              <w:spacing w:line="440" w:lineRule="exact"/>
              <w:jc w:val="center"/>
              <w:rPr>
                <w:rFonts w:hint="eastAsia" w:ascii="宋体" w:hAnsi="宋体" w:cs="宋体"/>
                <w:highlight w:val="none"/>
              </w:rPr>
            </w:pPr>
          </w:p>
        </w:tc>
        <w:tc>
          <w:tcPr>
            <w:tcW w:w="709" w:type="dxa"/>
          </w:tcPr>
          <w:p w14:paraId="0F3686A6">
            <w:pPr>
              <w:spacing w:line="440" w:lineRule="exact"/>
              <w:jc w:val="center"/>
              <w:rPr>
                <w:rFonts w:hint="eastAsia" w:ascii="宋体" w:hAnsi="宋体" w:cs="宋体"/>
                <w:highlight w:val="none"/>
              </w:rPr>
            </w:pPr>
          </w:p>
        </w:tc>
        <w:tc>
          <w:tcPr>
            <w:tcW w:w="672" w:type="dxa"/>
            <w:vAlign w:val="center"/>
          </w:tcPr>
          <w:p w14:paraId="029C8E01">
            <w:pPr>
              <w:spacing w:line="440" w:lineRule="exact"/>
              <w:jc w:val="center"/>
              <w:rPr>
                <w:rFonts w:hint="eastAsia" w:ascii="宋体" w:hAnsi="宋体" w:cs="宋体"/>
                <w:highlight w:val="none"/>
              </w:rPr>
            </w:pPr>
          </w:p>
        </w:tc>
        <w:tc>
          <w:tcPr>
            <w:tcW w:w="1349" w:type="dxa"/>
            <w:vAlign w:val="center"/>
          </w:tcPr>
          <w:p w14:paraId="61F7F26F">
            <w:pPr>
              <w:spacing w:line="440" w:lineRule="exact"/>
              <w:jc w:val="center"/>
              <w:rPr>
                <w:rFonts w:hint="eastAsia" w:ascii="宋体" w:hAnsi="宋体" w:cs="宋体"/>
                <w:highlight w:val="none"/>
              </w:rPr>
            </w:pPr>
          </w:p>
        </w:tc>
        <w:tc>
          <w:tcPr>
            <w:tcW w:w="1111" w:type="dxa"/>
          </w:tcPr>
          <w:p w14:paraId="659E9B49">
            <w:pPr>
              <w:spacing w:line="440" w:lineRule="exact"/>
              <w:jc w:val="center"/>
              <w:rPr>
                <w:rFonts w:hint="eastAsia" w:ascii="宋体" w:hAnsi="宋体" w:cs="宋体"/>
                <w:highlight w:val="none"/>
              </w:rPr>
            </w:pPr>
          </w:p>
        </w:tc>
        <w:tc>
          <w:tcPr>
            <w:tcW w:w="639" w:type="dxa"/>
            <w:vAlign w:val="center"/>
          </w:tcPr>
          <w:p w14:paraId="0FDB56B4">
            <w:pPr>
              <w:spacing w:line="440" w:lineRule="exact"/>
              <w:jc w:val="center"/>
              <w:rPr>
                <w:rFonts w:hint="eastAsia" w:ascii="宋体" w:hAnsi="宋体" w:cs="宋体"/>
                <w:highlight w:val="none"/>
              </w:rPr>
            </w:pPr>
          </w:p>
        </w:tc>
      </w:tr>
      <w:tr w14:paraId="44D1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14:paraId="6F36889D">
            <w:pPr>
              <w:spacing w:line="440" w:lineRule="exact"/>
              <w:jc w:val="center"/>
              <w:rPr>
                <w:rFonts w:hint="eastAsia" w:ascii="宋体" w:hAnsi="宋体" w:cs="宋体"/>
                <w:highlight w:val="none"/>
              </w:rPr>
            </w:pPr>
          </w:p>
        </w:tc>
        <w:tc>
          <w:tcPr>
            <w:tcW w:w="1106" w:type="dxa"/>
          </w:tcPr>
          <w:p w14:paraId="172438EE">
            <w:pPr>
              <w:spacing w:line="440" w:lineRule="exact"/>
              <w:jc w:val="center"/>
              <w:rPr>
                <w:rFonts w:hint="eastAsia" w:ascii="宋体" w:hAnsi="宋体" w:cs="宋体"/>
                <w:highlight w:val="none"/>
              </w:rPr>
            </w:pPr>
          </w:p>
        </w:tc>
        <w:tc>
          <w:tcPr>
            <w:tcW w:w="701" w:type="dxa"/>
          </w:tcPr>
          <w:p w14:paraId="2749C41E">
            <w:pPr>
              <w:spacing w:line="440" w:lineRule="exact"/>
              <w:jc w:val="center"/>
              <w:rPr>
                <w:rFonts w:hint="eastAsia" w:ascii="宋体" w:hAnsi="宋体" w:cs="宋体"/>
                <w:highlight w:val="none"/>
              </w:rPr>
            </w:pPr>
          </w:p>
        </w:tc>
        <w:tc>
          <w:tcPr>
            <w:tcW w:w="616" w:type="dxa"/>
          </w:tcPr>
          <w:p w14:paraId="37B64912">
            <w:pPr>
              <w:spacing w:line="440" w:lineRule="exact"/>
              <w:jc w:val="center"/>
              <w:rPr>
                <w:rFonts w:hint="eastAsia" w:ascii="宋体" w:hAnsi="宋体" w:cs="宋体"/>
                <w:highlight w:val="none"/>
              </w:rPr>
            </w:pPr>
          </w:p>
        </w:tc>
        <w:tc>
          <w:tcPr>
            <w:tcW w:w="709" w:type="dxa"/>
          </w:tcPr>
          <w:p w14:paraId="26FEC9A0">
            <w:pPr>
              <w:spacing w:line="440" w:lineRule="exact"/>
              <w:jc w:val="center"/>
              <w:rPr>
                <w:rFonts w:hint="eastAsia" w:ascii="宋体" w:hAnsi="宋体" w:cs="宋体"/>
                <w:highlight w:val="none"/>
              </w:rPr>
            </w:pPr>
          </w:p>
        </w:tc>
        <w:tc>
          <w:tcPr>
            <w:tcW w:w="672" w:type="dxa"/>
          </w:tcPr>
          <w:p w14:paraId="4B54B1DE">
            <w:pPr>
              <w:spacing w:line="440" w:lineRule="exact"/>
              <w:jc w:val="center"/>
              <w:rPr>
                <w:rFonts w:hint="eastAsia" w:ascii="宋体" w:hAnsi="宋体" w:cs="宋体"/>
                <w:highlight w:val="none"/>
              </w:rPr>
            </w:pPr>
          </w:p>
        </w:tc>
        <w:tc>
          <w:tcPr>
            <w:tcW w:w="1349" w:type="dxa"/>
          </w:tcPr>
          <w:p w14:paraId="17C95CE5">
            <w:pPr>
              <w:spacing w:line="440" w:lineRule="exact"/>
              <w:jc w:val="center"/>
              <w:rPr>
                <w:rFonts w:hint="eastAsia" w:ascii="宋体" w:hAnsi="宋体" w:cs="宋体"/>
                <w:highlight w:val="none"/>
              </w:rPr>
            </w:pPr>
          </w:p>
        </w:tc>
        <w:tc>
          <w:tcPr>
            <w:tcW w:w="1111" w:type="dxa"/>
          </w:tcPr>
          <w:p w14:paraId="774EAE2C">
            <w:pPr>
              <w:spacing w:line="440" w:lineRule="exact"/>
              <w:jc w:val="center"/>
              <w:rPr>
                <w:rFonts w:hint="eastAsia" w:ascii="宋体" w:hAnsi="宋体" w:cs="宋体"/>
                <w:highlight w:val="none"/>
              </w:rPr>
            </w:pPr>
          </w:p>
        </w:tc>
        <w:tc>
          <w:tcPr>
            <w:tcW w:w="639" w:type="dxa"/>
          </w:tcPr>
          <w:p w14:paraId="63131353">
            <w:pPr>
              <w:spacing w:line="440" w:lineRule="exact"/>
              <w:jc w:val="center"/>
              <w:rPr>
                <w:rFonts w:hint="eastAsia" w:ascii="宋体" w:hAnsi="宋体" w:cs="宋体"/>
                <w:highlight w:val="none"/>
              </w:rPr>
            </w:pPr>
          </w:p>
        </w:tc>
      </w:tr>
      <w:tr w14:paraId="0D9D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14:paraId="0CF9541E">
            <w:pPr>
              <w:spacing w:line="440" w:lineRule="exact"/>
              <w:jc w:val="center"/>
              <w:rPr>
                <w:rFonts w:hint="eastAsia" w:ascii="宋体" w:hAnsi="宋体" w:cs="宋体"/>
                <w:highlight w:val="none"/>
              </w:rPr>
            </w:pPr>
          </w:p>
        </w:tc>
        <w:tc>
          <w:tcPr>
            <w:tcW w:w="1106" w:type="dxa"/>
          </w:tcPr>
          <w:p w14:paraId="75797520">
            <w:pPr>
              <w:spacing w:line="440" w:lineRule="exact"/>
              <w:jc w:val="center"/>
              <w:rPr>
                <w:rFonts w:hint="eastAsia" w:ascii="宋体" w:hAnsi="宋体" w:cs="宋体"/>
                <w:highlight w:val="none"/>
              </w:rPr>
            </w:pPr>
          </w:p>
        </w:tc>
        <w:tc>
          <w:tcPr>
            <w:tcW w:w="701" w:type="dxa"/>
          </w:tcPr>
          <w:p w14:paraId="0D703CF8">
            <w:pPr>
              <w:spacing w:line="440" w:lineRule="exact"/>
              <w:jc w:val="center"/>
              <w:rPr>
                <w:rFonts w:hint="eastAsia" w:ascii="宋体" w:hAnsi="宋体" w:cs="宋体"/>
                <w:highlight w:val="none"/>
              </w:rPr>
            </w:pPr>
          </w:p>
        </w:tc>
        <w:tc>
          <w:tcPr>
            <w:tcW w:w="616" w:type="dxa"/>
          </w:tcPr>
          <w:p w14:paraId="6093A4FE">
            <w:pPr>
              <w:spacing w:line="440" w:lineRule="exact"/>
              <w:jc w:val="center"/>
              <w:rPr>
                <w:rFonts w:hint="eastAsia" w:ascii="宋体" w:hAnsi="宋体" w:cs="宋体"/>
                <w:highlight w:val="none"/>
              </w:rPr>
            </w:pPr>
          </w:p>
        </w:tc>
        <w:tc>
          <w:tcPr>
            <w:tcW w:w="709" w:type="dxa"/>
          </w:tcPr>
          <w:p w14:paraId="3A17BBEA">
            <w:pPr>
              <w:spacing w:line="440" w:lineRule="exact"/>
              <w:jc w:val="center"/>
              <w:rPr>
                <w:rFonts w:hint="eastAsia" w:ascii="宋体" w:hAnsi="宋体" w:cs="宋体"/>
                <w:highlight w:val="none"/>
              </w:rPr>
            </w:pPr>
          </w:p>
        </w:tc>
        <w:tc>
          <w:tcPr>
            <w:tcW w:w="672" w:type="dxa"/>
          </w:tcPr>
          <w:p w14:paraId="4397C885">
            <w:pPr>
              <w:spacing w:line="440" w:lineRule="exact"/>
              <w:jc w:val="center"/>
              <w:rPr>
                <w:rFonts w:hint="eastAsia" w:ascii="宋体" w:hAnsi="宋体" w:cs="宋体"/>
                <w:highlight w:val="none"/>
              </w:rPr>
            </w:pPr>
          </w:p>
        </w:tc>
        <w:tc>
          <w:tcPr>
            <w:tcW w:w="1349" w:type="dxa"/>
          </w:tcPr>
          <w:p w14:paraId="7938044D">
            <w:pPr>
              <w:spacing w:line="440" w:lineRule="exact"/>
              <w:jc w:val="center"/>
              <w:rPr>
                <w:rFonts w:hint="eastAsia" w:ascii="宋体" w:hAnsi="宋体" w:cs="宋体"/>
                <w:highlight w:val="none"/>
              </w:rPr>
            </w:pPr>
          </w:p>
        </w:tc>
        <w:tc>
          <w:tcPr>
            <w:tcW w:w="1111" w:type="dxa"/>
          </w:tcPr>
          <w:p w14:paraId="24C7F3EC">
            <w:pPr>
              <w:spacing w:line="440" w:lineRule="exact"/>
              <w:jc w:val="center"/>
              <w:rPr>
                <w:rFonts w:hint="eastAsia" w:ascii="宋体" w:hAnsi="宋体" w:cs="宋体"/>
                <w:highlight w:val="none"/>
              </w:rPr>
            </w:pPr>
          </w:p>
        </w:tc>
        <w:tc>
          <w:tcPr>
            <w:tcW w:w="639" w:type="dxa"/>
          </w:tcPr>
          <w:p w14:paraId="0600ADDE">
            <w:pPr>
              <w:spacing w:line="440" w:lineRule="exact"/>
              <w:jc w:val="center"/>
              <w:rPr>
                <w:rFonts w:hint="eastAsia" w:ascii="宋体" w:hAnsi="宋体" w:cs="宋体"/>
                <w:highlight w:val="none"/>
              </w:rPr>
            </w:pPr>
          </w:p>
        </w:tc>
      </w:tr>
      <w:tr w14:paraId="4779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14:paraId="3AC27517">
            <w:pPr>
              <w:spacing w:line="440" w:lineRule="exact"/>
              <w:jc w:val="center"/>
              <w:rPr>
                <w:rFonts w:hint="eastAsia" w:ascii="宋体" w:hAnsi="宋体" w:cs="宋体"/>
                <w:highlight w:val="none"/>
              </w:rPr>
            </w:pPr>
          </w:p>
        </w:tc>
        <w:tc>
          <w:tcPr>
            <w:tcW w:w="1106" w:type="dxa"/>
          </w:tcPr>
          <w:p w14:paraId="4B6A4B33">
            <w:pPr>
              <w:spacing w:line="440" w:lineRule="exact"/>
              <w:jc w:val="center"/>
              <w:rPr>
                <w:rFonts w:hint="eastAsia" w:ascii="宋体" w:hAnsi="宋体" w:cs="宋体"/>
                <w:highlight w:val="none"/>
              </w:rPr>
            </w:pPr>
          </w:p>
        </w:tc>
        <w:tc>
          <w:tcPr>
            <w:tcW w:w="701" w:type="dxa"/>
          </w:tcPr>
          <w:p w14:paraId="7F414E1E">
            <w:pPr>
              <w:spacing w:line="440" w:lineRule="exact"/>
              <w:jc w:val="center"/>
              <w:rPr>
                <w:rFonts w:hint="eastAsia" w:ascii="宋体" w:hAnsi="宋体" w:cs="宋体"/>
                <w:highlight w:val="none"/>
              </w:rPr>
            </w:pPr>
          </w:p>
        </w:tc>
        <w:tc>
          <w:tcPr>
            <w:tcW w:w="616" w:type="dxa"/>
          </w:tcPr>
          <w:p w14:paraId="365B5AAE">
            <w:pPr>
              <w:spacing w:line="440" w:lineRule="exact"/>
              <w:jc w:val="center"/>
              <w:rPr>
                <w:rFonts w:hint="eastAsia" w:ascii="宋体" w:hAnsi="宋体" w:cs="宋体"/>
                <w:highlight w:val="none"/>
              </w:rPr>
            </w:pPr>
          </w:p>
        </w:tc>
        <w:tc>
          <w:tcPr>
            <w:tcW w:w="709" w:type="dxa"/>
          </w:tcPr>
          <w:p w14:paraId="36246C59">
            <w:pPr>
              <w:spacing w:line="440" w:lineRule="exact"/>
              <w:jc w:val="center"/>
              <w:rPr>
                <w:rFonts w:hint="eastAsia" w:ascii="宋体" w:hAnsi="宋体" w:cs="宋体"/>
                <w:highlight w:val="none"/>
              </w:rPr>
            </w:pPr>
          </w:p>
        </w:tc>
        <w:tc>
          <w:tcPr>
            <w:tcW w:w="672" w:type="dxa"/>
          </w:tcPr>
          <w:p w14:paraId="7CA0BB28">
            <w:pPr>
              <w:spacing w:line="440" w:lineRule="exact"/>
              <w:jc w:val="center"/>
              <w:rPr>
                <w:rFonts w:hint="eastAsia" w:ascii="宋体" w:hAnsi="宋体" w:cs="宋体"/>
                <w:highlight w:val="none"/>
              </w:rPr>
            </w:pPr>
          </w:p>
        </w:tc>
        <w:tc>
          <w:tcPr>
            <w:tcW w:w="1349" w:type="dxa"/>
          </w:tcPr>
          <w:p w14:paraId="56074430">
            <w:pPr>
              <w:spacing w:line="440" w:lineRule="exact"/>
              <w:jc w:val="center"/>
              <w:rPr>
                <w:rFonts w:hint="eastAsia" w:ascii="宋体" w:hAnsi="宋体" w:cs="宋体"/>
                <w:highlight w:val="none"/>
              </w:rPr>
            </w:pPr>
          </w:p>
        </w:tc>
        <w:tc>
          <w:tcPr>
            <w:tcW w:w="1111" w:type="dxa"/>
          </w:tcPr>
          <w:p w14:paraId="52682E5E">
            <w:pPr>
              <w:spacing w:line="440" w:lineRule="exact"/>
              <w:jc w:val="center"/>
              <w:rPr>
                <w:rFonts w:hint="eastAsia" w:ascii="宋体" w:hAnsi="宋体" w:cs="宋体"/>
                <w:highlight w:val="none"/>
              </w:rPr>
            </w:pPr>
          </w:p>
        </w:tc>
        <w:tc>
          <w:tcPr>
            <w:tcW w:w="639" w:type="dxa"/>
          </w:tcPr>
          <w:p w14:paraId="1B81BB83">
            <w:pPr>
              <w:spacing w:line="440" w:lineRule="exact"/>
              <w:jc w:val="center"/>
              <w:rPr>
                <w:rFonts w:hint="eastAsia" w:ascii="宋体" w:hAnsi="宋体" w:cs="宋体"/>
                <w:highlight w:val="none"/>
              </w:rPr>
            </w:pPr>
          </w:p>
        </w:tc>
      </w:tr>
      <w:tr w14:paraId="14B5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14:paraId="0024E338">
            <w:pPr>
              <w:spacing w:line="440" w:lineRule="exact"/>
              <w:jc w:val="center"/>
              <w:rPr>
                <w:rFonts w:hint="eastAsia" w:ascii="宋体" w:hAnsi="宋体" w:cs="宋体"/>
                <w:highlight w:val="none"/>
              </w:rPr>
            </w:pPr>
          </w:p>
        </w:tc>
        <w:tc>
          <w:tcPr>
            <w:tcW w:w="1106" w:type="dxa"/>
          </w:tcPr>
          <w:p w14:paraId="409F86CE">
            <w:pPr>
              <w:spacing w:line="440" w:lineRule="exact"/>
              <w:jc w:val="center"/>
              <w:rPr>
                <w:rFonts w:hint="eastAsia" w:ascii="宋体" w:hAnsi="宋体" w:cs="宋体"/>
                <w:highlight w:val="none"/>
              </w:rPr>
            </w:pPr>
          </w:p>
        </w:tc>
        <w:tc>
          <w:tcPr>
            <w:tcW w:w="701" w:type="dxa"/>
          </w:tcPr>
          <w:p w14:paraId="54DA5DDC">
            <w:pPr>
              <w:spacing w:line="440" w:lineRule="exact"/>
              <w:jc w:val="center"/>
              <w:rPr>
                <w:rFonts w:hint="eastAsia" w:ascii="宋体" w:hAnsi="宋体" w:cs="宋体"/>
                <w:highlight w:val="none"/>
              </w:rPr>
            </w:pPr>
          </w:p>
        </w:tc>
        <w:tc>
          <w:tcPr>
            <w:tcW w:w="616" w:type="dxa"/>
          </w:tcPr>
          <w:p w14:paraId="4E4E9222">
            <w:pPr>
              <w:spacing w:line="440" w:lineRule="exact"/>
              <w:jc w:val="center"/>
              <w:rPr>
                <w:rFonts w:hint="eastAsia" w:ascii="宋体" w:hAnsi="宋体" w:cs="宋体"/>
                <w:highlight w:val="none"/>
              </w:rPr>
            </w:pPr>
          </w:p>
        </w:tc>
        <w:tc>
          <w:tcPr>
            <w:tcW w:w="709" w:type="dxa"/>
          </w:tcPr>
          <w:p w14:paraId="1790591C">
            <w:pPr>
              <w:spacing w:line="440" w:lineRule="exact"/>
              <w:jc w:val="center"/>
              <w:rPr>
                <w:rFonts w:hint="eastAsia" w:ascii="宋体" w:hAnsi="宋体" w:cs="宋体"/>
                <w:highlight w:val="none"/>
              </w:rPr>
            </w:pPr>
          </w:p>
        </w:tc>
        <w:tc>
          <w:tcPr>
            <w:tcW w:w="672" w:type="dxa"/>
          </w:tcPr>
          <w:p w14:paraId="7459BC05">
            <w:pPr>
              <w:spacing w:line="440" w:lineRule="exact"/>
              <w:jc w:val="center"/>
              <w:rPr>
                <w:rFonts w:hint="eastAsia" w:ascii="宋体" w:hAnsi="宋体" w:cs="宋体"/>
                <w:highlight w:val="none"/>
              </w:rPr>
            </w:pPr>
          </w:p>
        </w:tc>
        <w:tc>
          <w:tcPr>
            <w:tcW w:w="1349" w:type="dxa"/>
          </w:tcPr>
          <w:p w14:paraId="3721B3BA">
            <w:pPr>
              <w:spacing w:line="440" w:lineRule="exact"/>
              <w:jc w:val="center"/>
              <w:rPr>
                <w:rFonts w:hint="eastAsia" w:ascii="宋体" w:hAnsi="宋体" w:cs="宋体"/>
                <w:highlight w:val="none"/>
              </w:rPr>
            </w:pPr>
          </w:p>
        </w:tc>
        <w:tc>
          <w:tcPr>
            <w:tcW w:w="1111" w:type="dxa"/>
          </w:tcPr>
          <w:p w14:paraId="4CA738FB">
            <w:pPr>
              <w:spacing w:line="440" w:lineRule="exact"/>
              <w:jc w:val="center"/>
              <w:rPr>
                <w:rFonts w:hint="eastAsia" w:ascii="宋体" w:hAnsi="宋体" w:cs="宋体"/>
                <w:highlight w:val="none"/>
              </w:rPr>
            </w:pPr>
          </w:p>
        </w:tc>
        <w:tc>
          <w:tcPr>
            <w:tcW w:w="639" w:type="dxa"/>
          </w:tcPr>
          <w:p w14:paraId="066638D5">
            <w:pPr>
              <w:spacing w:line="440" w:lineRule="exact"/>
              <w:jc w:val="center"/>
              <w:rPr>
                <w:rFonts w:hint="eastAsia" w:ascii="宋体" w:hAnsi="宋体" w:cs="宋体"/>
                <w:highlight w:val="none"/>
              </w:rPr>
            </w:pPr>
          </w:p>
        </w:tc>
      </w:tr>
      <w:tr w14:paraId="3BCA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14:paraId="50EDE6F7">
            <w:pPr>
              <w:spacing w:line="440" w:lineRule="exact"/>
              <w:jc w:val="center"/>
              <w:rPr>
                <w:rFonts w:hint="eastAsia" w:ascii="宋体" w:hAnsi="宋体" w:cs="宋体"/>
                <w:highlight w:val="none"/>
              </w:rPr>
            </w:pPr>
          </w:p>
        </w:tc>
        <w:tc>
          <w:tcPr>
            <w:tcW w:w="1106" w:type="dxa"/>
          </w:tcPr>
          <w:p w14:paraId="5E242F01">
            <w:pPr>
              <w:spacing w:line="440" w:lineRule="exact"/>
              <w:jc w:val="center"/>
              <w:rPr>
                <w:rFonts w:hint="eastAsia" w:ascii="宋体" w:hAnsi="宋体" w:cs="宋体"/>
                <w:highlight w:val="none"/>
              </w:rPr>
            </w:pPr>
          </w:p>
        </w:tc>
        <w:tc>
          <w:tcPr>
            <w:tcW w:w="701" w:type="dxa"/>
          </w:tcPr>
          <w:p w14:paraId="0D60DC81">
            <w:pPr>
              <w:spacing w:line="440" w:lineRule="exact"/>
              <w:jc w:val="center"/>
              <w:rPr>
                <w:rFonts w:hint="eastAsia" w:ascii="宋体" w:hAnsi="宋体" w:cs="宋体"/>
                <w:highlight w:val="none"/>
              </w:rPr>
            </w:pPr>
          </w:p>
        </w:tc>
        <w:tc>
          <w:tcPr>
            <w:tcW w:w="616" w:type="dxa"/>
          </w:tcPr>
          <w:p w14:paraId="6FBE7D05">
            <w:pPr>
              <w:spacing w:line="440" w:lineRule="exact"/>
              <w:jc w:val="center"/>
              <w:rPr>
                <w:rFonts w:hint="eastAsia" w:ascii="宋体" w:hAnsi="宋体" w:cs="宋体"/>
                <w:highlight w:val="none"/>
              </w:rPr>
            </w:pPr>
          </w:p>
        </w:tc>
        <w:tc>
          <w:tcPr>
            <w:tcW w:w="709" w:type="dxa"/>
          </w:tcPr>
          <w:p w14:paraId="0D9AA9FC">
            <w:pPr>
              <w:spacing w:line="440" w:lineRule="exact"/>
              <w:jc w:val="center"/>
              <w:rPr>
                <w:rFonts w:hint="eastAsia" w:ascii="宋体" w:hAnsi="宋体" w:cs="宋体"/>
                <w:highlight w:val="none"/>
              </w:rPr>
            </w:pPr>
          </w:p>
        </w:tc>
        <w:tc>
          <w:tcPr>
            <w:tcW w:w="672" w:type="dxa"/>
          </w:tcPr>
          <w:p w14:paraId="7DC4D9A5">
            <w:pPr>
              <w:spacing w:line="440" w:lineRule="exact"/>
              <w:jc w:val="center"/>
              <w:rPr>
                <w:rFonts w:hint="eastAsia" w:ascii="宋体" w:hAnsi="宋体" w:cs="宋体"/>
                <w:highlight w:val="none"/>
              </w:rPr>
            </w:pPr>
          </w:p>
        </w:tc>
        <w:tc>
          <w:tcPr>
            <w:tcW w:w="1349" w:type="dxa"/>
          </w:tcPr>
          <w:p w14:paraId="2231EEA0">
            <w:pPr>
              <w:spacing w:line="440" w:lineRule="exact"/>
              <w:jc w:val="center"/>
              <w:rPr>
                <w:rFonts w:hint="eastAsia" w:ascii="宋体" w:hAnsi="宋体" w:cs="宋体"/>
                <w:highlight w:val="none"/>
              </w:rPr>
            </w:pPr>
          </w:p>
        </w:tc>
        <w:tc>
          <w:tcPr>
            <w:tcW w:w="1111" w:type="dxa"/>
          </w:tcPr>
          <w:p w14:paraId="671E168A">
            <w:pPr>
              <w:spacing w:line="440" w:lineRule="exact"/>
              <w:jc w:val="center"/>
              <w:rPr>
                <w:rFonts w:hint="eastAsia" w:ascii="宋体" w:hAnsi="宋体" w:cs="宋体"/>
                <w:highlight w:val="none"/>
              </w:rPr>
            </w:pPr>
          </w:p>
        </w:tc>
        <w:tc>
          <w:tcPr>
            <w:tcW w:w="639" w:type="dxa"/>
          </w:tcPr>
          <w:p w14:paraId="3FCCB0CF">
            <w:pPr>
              <w:spacing w:line="440" w:lineRule="exact"/>
              <w:jc w:val="center"/>
              <w:rPr>
                <w:rFonts w:hint="eastAsia" w:ascii="宋体" w:hAnsi="宋体" w:cs="宋体"/>
                <w:highlight w:val="none"/>
              </w:rPr>
            </w:pPr>
          </w:p>
        </w:tc>
      </w:tr>
      <w:tr w14:paraId="0CE2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tcPr>
          <w:p w14:paraId="4121DEFB">
            <w:pPr>
              <w:spacing w:line="440" w:lineRule="exact"/>
              <w:jc w:val="center"/>
              <w:rPr>
                <w:rFonts w:hint="eastAsia" w:ascii="宋体" w:hAnsi="宋体" w:cs="宋体"/>
                <w:highlight w:val="none"/>
              </w:rPr>
            </w:pPr>
          </w:p>
        </w:tc>
        <w:tc>
          <w:tcPr>
            <w:tcW w:w="1106" w:type="dxa"/>
          </w:tcPr>
          <w:p w14:paraId="2CA1B680">
            <w:pPr>
              <w:spacing w:line="440" w:lineRule="exact"/>
              <w:jc w:val="center"/>
              <w:rPr>
                <w:rFonts w:hint="eastAsia" w:ascii="宋体" w:hAnsi="宋体" w:cs="宋体"/>
                <w:highlight w:val="none"/>
              </w:rPr>
            </w:pPr>
          </w:p>
        </w:tc>
        <w:tc>
          <w:tcPr>
            <w:tcW w:w="701" w:type="dxa"/>
          </w:tcPr>
          <w:p w14:paraId="126209A1">
            <w:pPr>
              <w:spacing w:line="440" w:lineRule="exact"/>
              <w:jc w:val="center"/>
              <w:rPr>
                <w:rFonts w:hint="eastAsia" w:ascii="宋体" w:hAnsi="宋体" w:cs="宋体"/>
                <w:highlight w:val="none"/>
              </w:rPr>
            </w:pPr>
          </w:p>
        </w:tc>
        <w:tc>
          <w:tcPr>
            <w:tcW w:w="616" w:type="dxa"/>
          </w:tcPr>
          <w:p w14:paraId="240C637E">
            <w:pPr>
              <w:spacing w:line="440" w:lineRule="exact"/>
              <w:jc w:val="center"/>
              <w:rPr>
                <w:rFonts w:hint="eastAsia" w:ascii="宋体" w:hAnsi="宋体" w:cs="宋体"/>
                <w:highlight w:val="none"/>
              </w:rPr>
            </w:pPr>
          </w:p>
        </w:tc>
        <w:tc>
          <w:tcPr>
            <w:tcW w:w="709" w:type="dxa"/>
          </w:tcPr>
          <w:p w14:paraId="1B345F02">
            <w:pPr>
              <w:spacing w:line="440" w:lineRule="exact"/>
              <w:jc w:val="center"/>
              <w:rPr>
                <w:rFonts w:hint="eastAsia" w:ascii="宋体" w:hAnsi="宋体" w:cs="宋体"/>
                <w:highlight w:val="none"/>
              </w:rPr>
            </w:pPr>
          </w:p>
        </w:tc>
        <w:tc>
          <w:tcPr>
            <w:tcW w:w="672" w:type="dxa"/>
          </w:tcPr>
          <w:p w14:paraId="53712869">
            <w:pPr>
              <w:spacing w:line="440" w:lineRule="exact"/>
              <w:jc w:val="center"/>
              <w:rPr>
                <w:rFonts w:hint="eastAsia" w:ascii="宋体" w:hAnsi="宋体" w:cs="宋体"/>
                <w:highlight w:val="none"/>
              </w:rPr>
            </w:pPr>
          </w:p>
        </w:tc>
        <w:tc>
          <w:tcPr>
            <w:tcW w:w="1349" w:type="dxa"/>
          </w:tcPr>
          <w:p w14:paraId="7F3C7697">
            <w:pPr>
              <w:spacing w:line="440" w:lineRule="exact"/>
              <w:jc w:val="center"/>
              <w:rPr>
                <w:rFonts w:hint="eastAsia" w:ascii="宋体" w:hAnsi="宋体" w:cs="宋体"/>
                <w:highlight w:val="none"/>
              </w:rPr>
            </w:pPr>
          </w:p>
        </w:tc>
        <w:tc>
          <w:tcPr>
            <w:tcW w:w="1111" w:type="dxa"/>
          </w:tcPr>
          <w:p w14:paraId="387A8EC6">
            <w:pPr>
              <w:spacing w:line="440" w:lineRule="exact"/>
              <w:jc w:val="center"/>
              <w:rPr>
                <w:rFonts w:hint="eastAsia" w:ascii="宋体" w:hAnsi="宋体" w:cs="宋体"/>
                <w:highlight w:val="none"/>
              </w:rPr>
            </w:pPr>
          </w:p>
        </w:tc>
        <w:tc>
          <w:tcPr>
            <w:tcW w:w="639" w:type="dxa"/>
          </w:tcPr>
          <w:p w14:paraId="0CAA1D19">
            <w:pPr>
              <w:spacing w:line="440" w:lineRule="exact"/>
              <w:jc w:val="center"/>
              <w:rPr>
                <w:rFonts w:hint="eastAsia" w:ascii="宋体" w:hAnsi="宋体" w:cs="宋体"/>
                <w:highlight w:val="none"/>
              </w:rPr>
            </w:pPr>
          </w:p>
        </w:tc>
      </w:tr>
    </w:tbl>
    <w:p w14:paraId="40D86B90">
      <w:pPr>
        <w:spacing w:line="440" w:lineRule="exact"/>
        <w:rPr>
          <w:rFonts w:hint="eastAsia" w:ascii="宋体" w:hAnsi="宋体" w:cs="宋体"/>
          <w:sz w:val="24"/>
          <w:szCs w:val="24"/>
          <w:highlight w:val="none"/>
        </w:rPr>
      </w:pPr>
      <w:r>
        <w:rPr>
          <w:rFonts w:hint="eastAsia" w:ascii="宋体" w:hAnsi="宋体" w:cs="宋体"/>
          <w:sz w:val="24"/>
          <w:szCs w:val="24"/>
          <w:highlight w:val="none"/>
        </w:rPr>
        <w:t>注：投标人可根据评标办法前附表的要求附相关证明材料</w:t>
      </w:r>
    </w:p>
    <w:p w14:paraId="49B7E5AE">
      <w:pPr>
        <w:spacing w:line="440" w:lineRule="exact"/>
        <w:rPr>
          <w:rFonts w:hint="eastAsia" w:ascii="宋体" w:hAnsi="宋体" w:cs="宋体"/>
          <w:szCs w:val="21"/>
          <w:highlight w:val="none"/>
        </w:rPr>
      </w:pPr>
    </w:p>
    <w:p w14:paraId="523292B5">
      <w:pPr>
        <w:spacing w:line="440" w:lineRule="exact"/>
        <w:rPr>
          <w:rFonts w:hint="eastAsia" w:ascii="宋体" w:hAnsi="宋体" w:cs="宋体"/>
          <w:sz w:val="24"/>
          <w:szCs w:val="24"/>
          <w:highlight w:val="none"/>
        </w:rPr>
      </w:pPr>
      <w:r>
        <w:rPr>
          <w:rFonts w:hint="eastAsia" w:ascii="宋体" w:hAnsi="宋体" w:cs="宋体"/>
          <w:highlight w:val="none"/>
        </w:rPr>
        <w:br w:type="page"/>
      </w:r>
    </w:p>
    <w:p w14:paraId="4FA35CCF">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（四）投标人认为需提供的其他材料</w:t>
      </w:r>
    </w:p>
    <w:p w14:paraId="081B01CA">
      <w:pPr>
        <w:topLinePunct/>
        <w:spacing w:line="360" w:lineRule="auto"/>
        <w:rPr>
          <w:rFonts w:hint="eastAsia" w:ascii="宋体" w:hAnsi="宋体" w:cs="宋体"/>
          <w:spacing w:val="18"/>
          <w:sz w:val="24"/>
          <w:highlight w:val="none"/>
        </w:rPr>
      </w:pPr>
    </w:p>
    <w:p w14:paraId="7D10D08D">
      <w:pPr>
        <w:topLinePunct/>
        <w:spacing w:line="360" w:lineRule="auto"/>
        <w:rPr>
          <w:rFonts w:hint="eastAsia" w:ascii="宋体" w:hAnsi="宋体" w:cs="宋体"/>
          <w:spacing w:val="18"/>
          <w:sz w:val="24"/>
          <w:highlight w:val="none"/>
        </w:rPr>
      </w:pPr>
      <w:r>
        <w:rPr>
          <w:rFonts w:hint="eastAsia" w:ascii="宋体" w:hAnsi="宋体" w:cs="宋体"/>
          <w:spacing w:val="4"/>
          <w:sz w:val="24"/>
          <w:highlight w:val="none"/>
        </w:rPr>
        <w:t>（</w:t>
      </w:r>
      <w:r>
        <w:rPr>
          <w:rFonts w:hint="eastAsia" w:ascii="宋体" w:hAnsi="宋体" w:cs="宋体"/>
          <w:sz w:val="24"/>
          <w:highlight w:val="none"/>
        </w:rPr>
        <w:t>注：投标人可根据评标办法前附表的要求附相关证明材料。</w:t>
      </w:r>
      <w:r>
        <w:rPr>
          <w:rFonts w:hint="eastAsia" w:ascii="宋体" w:hAnsi="宋体" w:cs="宋体"/>
          <w:spacing w:val="4"/>
          <w:sz w:val="24"/>
          <w:highlight w:val="none"/>
        </w:rPr>
        <w:t>）</w:t>
      </w:r>
    </w:p>
    <w:p w14:paraId="172CF425">
      <w:pPr>
        <w:topLinePunct/>
        <w:spacing w:line="360" w:lineRule="auto"/>
        <w:rPr>
          <w:rFonts w:hint="eastAsia" w:ascii="宋体" w:hAnsi="宋体" w:cs="宋体"/>
          <w:b/>
          <w:bCs/>
          <w:sz w:val="28"/>
          <w:szCs w:val="28"/>
          <w:highlight w:val="none"/>
        </w:rPr>
      </w:pPr>
      <w:r>
        <w:rPr>
          <w:rFonts w:hint="eastAsia" w:ascii="宋体" w:hAnsi="宋体" w:cs="宋体"/>
          <w:spacing w:val="18"/>
          <w:sz w:val="24"/>
          <w:highlight w:val="none"/>
        </w:rPr>
        <w:br w:type="page"/>
      </w:r>
      <w:bookmarkEnd w:id="529"/>
      <w:bookmarkStart w:id="539" w:name="_Toc530470651"/>
      <w:bookmarkStart w:id="540" w:name="_Toc529196610"/>
      <w:bookmarkStart w:id="541" w:name="_Toc535938758"/>
      <w:r>
        <w:rPr>
          <w:rFonts w:hint="eastAsia" w:ascii="宋体" w:hAnsi="宋体" w:cs="宋体"/>
          <w:b/>
          <w:bCs/>
          <w:sz w:val="28"/>
          <w:szCs w:val="28"/>
          <w:highlight w:val="none"/>
        </w:rPr>
        <w:t>六、</w:t>
      </w:r>
      <w:bookmarkEnd w:id="539"/>
      <w:bookmarkEnd w:id="540"/>
      <w:bookmarkEnd w:id="541"/>
      <w:r>
        <w:rPr>
          <w:rFonts w:hint="eastAsia" w:ascii="宋体" w:hAnsi="宋体" w:cs="宋体"/>
          <w:b/>
          <w:bCs/>
          <w:sz w:val="28"/>
          <w:szCs w:val="28"/>
          <w:highlight w:val="none"/>
        </w:rPr>
        <w:t>技术部分资料</w:t>
      </w:r>
    </w:p>
    <w:p w14:paraId="595D759B">
      <w:pPr>
        <w:spacing w:before="20" w:line="415" w:lineRule="auto"/>
        <w:outlineLvl w:val="2"/>
        <w:rPr>
          <w:rFonts w:hint="eastAsia" w:ascii="宋体" w:hAnsi="宋体" w:cs="宋体"/>
          <w:b/>
          <w:bCs/>
          <w:sz w:val="28"/>
          <w:szCs w:val="28"/>
          <w:highlight w:val="none"/>
        </w:rPr>
      </w:pPr>
      <w:bookmarkStart w:id="542" w:name="_Toc529196611"/>
      <w:bookmarkStart w:id="543" w:name="_Toc530470652"/>
      <w:r>
        <w:rPr>
          <w:rFonts w:hint="eastAsia" w:ascii="宋体" w:hAnsi="宋体" w:cs="宋体"/>
          <w:b/>
          <w:bCs/>
          <w:sz w:val="28"/>
          <w:szCs w:val="28"/>
          <w:highlight w:val="none"/>
        </w:rPr>
        <w:t>包括但不限于以下内容：</w:t>
      </w:r>
    </w:p>
    <w:p w14:paraId="693B9A4D">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（一）</w:t>
      </w:r>
      <w:bookmarkStart w:id="544" w:name="OLE_LINK4"/>
      <w:r>
        <w:rPr>
          <w:rFonts w:hint="eastAsia" w:ascii="宋体" w:hAnsi="宋体" w:cs="宋体"/>
          <w:b/>
          <w:bCs/>
          <w:sz w:val="28"/>
          <w:szCs w:val="28"/>
          <w:highlight w:val="none"/>
        </w:rPr>
        <w:t>对项目的熟悉和了解程度以及重难点分析与解决措施</w:t>
      </w:r>
    </w:p>
    <w:bookmarkEnd w:id="544"/>
    <w:p w14:paraId="6BBFD9D0">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（二）污染土壤处理总体方案</w:t>
      </w:r>
    </w:p>
    <w:p w14:paraId="3A9CB1D4">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（三）异地处置实施方案</w:t>
      </w:r>
    </w:p>
    <w:p w14:paraId="6F189140">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（四）项目全过程管理及二次污染控制措施</w:t>
      </w:r>
    </w:p>
    <w:p w14:paraId="37B51CAD">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（五）技术、售后服务能力、协调组织能力</w:t>
      </w:r>
    </w:p>
    <w:p w14:paraId="04C4F55B">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（六）服务有效性及便利性</w:t>
      </w:r>
    </w:p>
    <w:p w14:paraId="3D4DC913">
      <w:pPr>
        <w:spacing w:before="20" w:line="415" w:lineRule="auto"/>
        <w:outlineLvl w:val="2"/>
        <w:rPr>
          <w:rFonts w:hint="eastAsia" w:ascii="宋体" w:hAnsi="宋体" w:cs="宋体"/>
          <w:b/>
          <w:bCs/>
          <w:sz w:val="28"/>
          <w:szCs w:val="28"/>
          <w:highlight w:val="none"/>
        </w:rPr>
      </w:pPr>
      <w:r>
        <w:rPr>
          <w:rFonts w:hint="eastAsia" w:ascii="宋体" w:hAnsi="宋体" w:cs="宋体"/>
          <w:b/>
          <w:bCs/>
          <w:sz w:val="28"/>
          <w:szCs w:val="28"/>
          <w:highlight w:val="none"/>
        </w:rPr>
        <w:t>（七）投标人认为需提供的其他材料</w:t>
      </w:r>
    </w:p>
    <w:p w14:paraId="55E95FAB">
      <w:pPr>
        <w:adjustRightInd w:val="0"/>
        <w:snapToGrid w:val="0"/>
        <w:spacing w:line="360" w:lineRule="auto"/>
        <w:rPr>
          <w:rFonts w:hint="eastAsia" w:ascii="宋体" w:hAnsi="宋体" w:cs="宋体"/>
          <w:sz w:val="24"/>
          <w:szCs w:val="24"/>
          <w:highlight w:val="none"/>
        </w:rPr>
      </w:pPr>
      <w:r>
        <w:rPr>
          <w:rFonts w:hint="eastAsia" w:ascii="宋体" w:hAnsi="宋体" w:cs="宋体"/>
          <w:b/>
          <w:bCs/>
          <w:sz w:val="28"/>
          <w:szCs w:val="28"/>
          <w:highlight w:val="none"/>
        </w:rPr>
        <w:br w:type="page"/>
      </w:r>
      <w:bookmarkEnd w:id="542"/>
      <w:bookmarkEnd w:id="543"/>
      <w:bookmarkStart w:id="545" w:name="_Toc2154396"/>
    </w:p>
    <w:p w14:paraId="478D580C">
      <w:pPr>
        <w:pStyle w:val="2"/>
        <w:spacing w:line="480" w:lineRule="auto"/>
        <w:rPr>
          <w:rFonts w:hint="eastAsia" w:ascii="宋体" w:hAnsi="宋体" w:eastAsia="宋体" w:cs="宋体"/>
          <w:highlight w:val="none"/>
        </w:rPr>
      </w:pPr>
      <w:bookmarkStart w:id="546" w:name="_Toc102997657"/>
      <w:r>
        <w:rPr>
          <w:rFonts w:hint="eastAsia" w:ascii="宋体" w:hAnsi="宋体" w:eastAsia="宋体" w:cs="宋体"/>
          <w:sz w:val="30"/>
          <w:szCs w:val="30"/>
          <w:highlight w:val="none"/>
        </w:rPr>
        <w:t>七、其他资料</w:t>
      </w:r>
      <w:bookmarkEnd w:id="545"/>
      <w:bookmarkEnd w:id="546"/>
    </w:p>
    <w:p w14:paraId="608D33E5">
      <w:pPr>
        <w:spacing w:line="360" w:lineRule="auto"/>
        <w:jc w:val="left"/>
        <w:rPr>
          <w:rFonts w:hint="eastAsia" w:ascii="宋体" w:hAnsi="宋体" w:cs="宋体"/>
          <w:sz w:val="24"/>
          <w:szCs w:val="44"/>
          <w:highlight w:val="none"/>
        </w:rPr>
      </w:pPr>
      <w:r>
        <w:rPr>
          <w:rFonts w:hint="eastAsia" w:ascii="宋体" w:hAnsi="宋体" w:cs="宋体"/>
          <w:sz w:val="24"/>
          <w:szCs w:val="24"/>
          <w:highlight w:val="none"/>
        </w:rPr>
        <w:t>投标人认为需提交的其他资料，格式自定。</w:t>
      </w:r>
    </w:p>
    <w:p w14:paraId="09773354">
      <w:pPr>
        <w:rPr>
          <w:rFonts w:hint="eastAsia" w:ascii="宋体" w:hAnsi="宋体" w:cs="宋体"/>
          <w:highlight w:val="none"/>
        </w:rPr>
      </w:pPr>
    </w:p>
    <w:p w14:paraId="17C42516">
      <w:pPr>
        <w:pStyle w:val="18"/>
        <w:ind w:left="0" w:leftChars="0" w:firstLine="0" w:firstLineChars="0"/>
        <w:rPr>
          <w:rFonts w:hint="eastAsia" w:ascii="宋体" w:hAnsi="宋体" w:eastAsia="宋体" w:cs="宋体"/>
          <w:color w:val="auto"/>
          <w:highlight w:val="none"/>
        </w:rPr>
      </w:pPr>
    </w:p>
    <w:p w14:paraId="505AE7F8">
      <w:pPr>
        <w:rPr>
          <w:rFonts w:hint="eastAsia" w:ascii="宋体" w:hAnsi="宋体" w:cs="宋体"/>
          <w:highlight w:val="none"/>
        </w:rPr>
      </w:pPr>
    </w:p>
    <w:sectPr>
      <w:headerReference r:id="rId10" w:type="default"/>
      <w:footerReference r:id="rId11" w:type="default"/>
      <w:pgSz w:w="11905" w:h="16838"/>
      <w:pgMar w:top="1440" w:right="1803" w:bottom="1440" w:left="1803" w:header="850"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简体">
    <w:altName w:val="宋体"/>
    <w:panose1 w:val="00000000000000000000"/>
    <w:charset w:val="00"/>
    <w:family w:val="auto"/>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MS UI Gothic">
    <w:panose1 w:val="020B0600070205080204"/>
    <w:charset w:val="80"/>
    <w:family w:val="swiss"/>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781F0">
    <w:pPr>
      <w:jc w:val="center"/>
    </w:pPr>
    <w:r>
      <w:fldChar w:fldCharType="begin"/>
    </w:r>
    <w:r>
      <w:instrText xml:space="preserve">PAGE   \* MERGEFORMAT</w:instrText>
    </w:r>
    <w:r>
      <w:fldChar w:fldCharType="separate"/>
    </w:r>
    <w:r>
      <w:rPr>
        <w:lang w:val="zh-CN"/>
      </w:rPr>
      <w:t>3</w:t>
    </w:r>
    <w:r>
      <w:fldChar w:fldCharType="end"/>
    </w:r>
  </w:p>
  <w:p w14:paraId="2283AA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CD1A1">
    <w:pPr>
      <w:jc w:val="center"/>
    </w:pPr>
    <w:r>
      <w:fldChar w:fldCharType="begin"/>
    </w:r>
    <w:r>
      <w:instrText xml:space="preserve">PAGE   \* MERGEFORMAT</w:instrText>
    </w:r>
    <w:r>
      <w:fldChar w:fldCharType="separate"/>
    </w:r>
    <w:r>
      <w:rPr>
        <w:lang w:val="zh-CN"/>
      </w:rPr>
      <w:t>47</w:t>
    </w:r>
    <w:r>
      <w:fldChar w:fldCharType="end"/>
    </w:r>
  </w:p>
  <w:p w14:paraId="33F18831">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67D0">
    <w:pPr>
      <w:jc w:val="center"/>
    </w:pPr>
    <w:r>
      <w:fldChar w:fldCharType="begin"/>
    </w:r>
    <w:r>
      <w:instrText xml:space="preserve">PAGE   \* MERGEFORMAT</w:instrText>
    </w:r>
    <w:r>
      <w:fldChar w:fldCharType="separate"/>
    </w:r>
    <w:r>
      <w:rPr>
        <w:lang w:val="zh-CN"/>
      </w:rPr>
      <w:t>5</w:t>
    </w:r>
    <w:r>
      <w:fldChar w:fldCharType="end"/>
    </w:r>
  </w:p>
  <w:p w14:paraId="4334DA6B">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3E86">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14:paraId="1BCEF31E">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LpYU0AAAAAMBAAAPAAAAAAAAAAEAIAAAACIAAABk&#10;cnMvZG93bnJldi54bWxQSwECFAAUAAAACACHTuJA1i3luA4CAAAQBAAADgAAAAAAAAABACAAAAAf&#10;AQAAZHJzL2Uyb0RvYy54bWxQSwUGAAAAAAYABgBZAQAAnwUAAAAA&#10;">
              <v:fill on="f" focussize="0,0"/>
              <v:stroke on="f"/>
              <v:imagedata o:title=""/>
              <o:lock v:ext="edit" aspectratio="f"/>
              <v:textbox inset="0mm,0mm,0mm,0mm" style="mso-fit-shape-to-text:t;">
                <w:txbxContent>
                  <w:p w14:paraId="1BCEF31E">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226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a:effectLst/>
                    </wps:spPr>
                    <wps:txbx>
                      <w:txbxContent>
                        <w:p w14:paraId="241314BA">
                          <w:pPr>
                            <w:jc w:val="center"/>
                          </w:pPr>
                        </w:p>
                        <w:p w14:paraId="17C2669C"/>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23.8pt;width:9.05pt;mso-position-horizontal:center;mso-position-horizontal-relative:margin;mso-wrap-style:none;z-index:251659264;mso-width-relative:page;mso-height-relative:page;" filled="f" stroked="f" coordsize="21600,21600" o:gfxdata="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sblidEAAAADAQAADwAAAAAAAAABACAAAAAiAAAA&#10;ZHJzL2Rvd25yZXYueG1sUEsBAhQAFAAAAAgAh07iQHZfZLIOAgAAEAQAAA4AAAAAAAAAAQAgAAAA&#10;IAEAAGRycy9lMm9Eb2MueG1sUEsFBgAAAAAGAAYAWQEAAKAFAAAAAA==&#10;">
              <v:fill on="f" focussize="0,0"/>
              <v:stroke on="f"/>
              <v:imagedata o:title=""/>
              <o:lock v:ext="edit" aspectratio="f"/>
              <v:textbox inset="0mm,0mm,0mm,0mm" style="mso-fit-shape-to-text:t;">
                <w:txbxContent>
                  <w:p w14:paraId="241314BA">
                    <w:pPr>
                      <w:jc w:val="center"/>
                    </w:pPr>
                  </w:p>
                  <w:p w14:paraId="17C2669C"/>
                </w:txbxContent>
              </v:textbox>
            </v:shape>
          </w:pict>
        </mc:Fallback>
      </mc:AlternateContent>
    </w:r>
  </w:p>
  <w:p w14:paraId="231F644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E525B">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ABF6A25">
                          <w:pPr>
                            <w:pStyle w:val="11"/>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0ABF6A25">
                    <w:pPr>
                      <w:pStyle w:val="11"/>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v:textbox>
            </v:shape>
          </w:pict>
        </mc:Fallback>
      </mc:AlternateContent>
    </w:r>
  </w:p>
  <w:p w14:paraId="3B39659C">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A987">
    <w:pPr>
      <w:ind w:left="420"/>
      <w:jc w:val="right"/>
      <w:rPr>
        <w:b/>
        <w:bCs/>
        <w:sz w:val="24"/>
        <w:szCs w:val="24"/>
      </w:rPr>
    </w:pPr>
  </w:p>
  <w:p w14:paraId="0ED05D1D">
    <w:pPr>
      <w:ind w:left="420"/>
      <w:jc w:val="right"/>
      <w:rPr>
        <w:b/>
        <w:bCs/>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54D1A">
    <w:pPr>
      <w:pStyle w:val="16"/>
      <w:tabs>
        <w:tab w:val="center" w:pos="4153"/>
        <w:tab w:val="right" w:pos="8306"/>
      </w:tabs>
      <w:ind w:firstLine="402"/>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63D6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D4C95">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817A6"/>
    <w:multiLevelType w:val="singleLevel"/>
    <w:tmpl w:val="85B817A6"/>
    <w:lvl w:ilvl="0" w:tentative="0">
      <w:start w:val="1"/>
      <w:numFmt w:val="decimal"/>
      <w:suff w:val="nothing"/>
      <w:lvlText w:val="（%1）"/>
      <w:lvlJc w:val="left"/>
    </w:lvl>
  </w:abstractNum>
  <w:abstractNum w:abstractNumId="1">
    <w:nsid w:val="1840ACC0"/>
    <w:multiLevelType w:val="singleLevel"/>
    <w:tmpl w:val="1840ACC0"/>
    <w:lvl w:ilvl="0" w:tentative="0">
      <w:start w:val="1"/>
      <w:numFmt w:val="decimal"/>
      <w:suff w:val="nothing"/>
      <w:lvlText w:val="（%1）"/>
      <w:lvlJc w:val="left"/>
    </w:lvl>
  </w:abstractNum>
  <w:abstractNum w:abstractNumId="2">
    <w:nsid w:val="2107D85A"/>
    <w:multiLevelType w:val="singleLevel"/>
    <w:tmpl w:val="2107D85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HorizontalSpacing w:val="21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ZGQ0OWVkMDI5N2UzZmQ2NDhjMmNjMmJkNDg1OWUifQ=="/>
  </w:docVars>
  <w:rsids>
    <w:rsidRoot w:val="00890B99"/>
    <w:rsid w:val="00002C90"/>
    <w:rsid w:val="00010E9B"/>
    <w:rsid w:val="00021E0E"/>
    <w:rsid w:val="00027257"/>
    <w:rsid w:val="000273CC"/>
    <w:rsid w:val="000509C7"/>
    <w:rsid w:val="000514AA"/>
    <w:rsid w:val="0006423B"/>
    <w:rsid w:val="00077563"/>
    <w:rsid w:val="00077C6C"/>
    <w:rsid w:val="00087139"/>
    <w:rsid w:val="000909F6"/>
    <w:rsid w:val="000D44F2"/>
    <w:rsid w:val="000E64B1"/>
    <w:rsid w:val="000E6AAA"/>
    <w:rsid w:val="000F648B"/>
    <w:rsid w:val="0010240E"/>
    <w:rsid w:val="00110188"/>
    <w:rsid w:val="001142B2"/>
    <w:rsid w:val="00133A0E"/>
    <w:rsid w:val="0014458E"/>
    <w:rsid w:val="00145EF6"/>
    <w:rsid w:val="00156CA0"/>
    <w:rsid w:val="0017470C"/>
    <w:rsid w:val="001747BE"/>
    <w:rsid w:val="00177D53"/>
    <w:rsid w:val="001B0132"/>
    <w:rsid w:val="001B7729"/>
    <w:rsid w:val="001C45D1"/>
    <w:rsid w:val="001E225F"/>
    <w:rsid w:val="00205191"/>
    <w:rsid w:val="0021111B"/>
    <w:rsid w:val="00213BB2"/>
    <w:rsid w:val="002217C8"/>
    <w:rsid w:val="00226C73"/>
    <w:rsid w:val="00232796"/>
    <w:rsid w:val="002439C1"/>
    <w:rsid w:val="00244310"/>
    <w:rsid w:val="002446DD"/>
    <w:rsid w:val="00263001"/>
    <w:rsid w:val="00265FB8"/>
    <w:rsid w:val="00283E9D"/>
    <w:rsid w:val="00287D51"/>
    <w:rsid w:val="002B0915"/>
    <w:rsid w:val="002B13AD"/>
    <w:rsid w:val="002B68A7"/>
    <w:rsid w:val="002D18AF"/>
    <w:rsid w:val="002D26C8"/>
    <w:rsid w:val="002D64ED"/>
    <w:rsid w:val="002E00D4"/>
    <w:rsid w:val="002E0C26"/>
    <w:rsid w:val="00303576"/>
    <w:rsid w:val="00307429"/>
    <w:rsid w:val="00325B2D"/>
    <w:rsid w:val="0033655F"/>
    <w:rsid w:val="0034285A"/>
    <w:rsid w:val="00342ECA"/>
    <w:rsid w:val="003736C5"/>
    <w:rsid w:val="003A4EEF"/>
    <w:rsid w:val="003A55CE"/>
    <w:rsid w:val="003B5F54"/>
    <w:rsid w:val="003D750C"/>
    <w:rsid w:val="003E18C2"/>
    <w:rsid w:val="003F7ACD"/>
    <w:rsid w:val="0040411D"/>
    <w:rsid w:val="00417EF4"/>
    <w:rsid w:val="00426C3F"/>
    <w:rsid w:val="004347A9"/>
    <w:rsid w:val="00437A26"/>
    <w:rsid w:val="004503F5"/>
    <w:rsid w:val="00471EF8"/>
    <w:rsid w:val="0047432B"/>
    <w:rsid w:val="004B3832"/>
    <w:rsid w:val="004B4D5B"/>
    <w:rsid w:val="004C28DE"/>
    <w:rsid w:val="004E7B1D"/>
    <w:rsid w:val="004F0706"/>
    <w:rsid w:val="004F7E5D"/>
    <w:rsid w:val="00520DDA"/>
    <w:rsid w:val="00534B96"/>
    <w:rsid w:val="00535668"/>
    <w:rsid w:val="00542CD9"/>
    <w:rsid w:val="005441A3"/>
    <w:rsid w:val="00551024"/>
    <w:rsid w:val="005A0941"/>
    <w:rsid w:val="005A5587"/>
    <w:rsid w:val="005B2A92"/>
    <w:rsid w:val="005C370D"/>
    <w:rsid w:val="00607C9E"/>
    <w:rsid w:val="00610DC5"/>
    <w:rsid w:val="00613A3C"/>
    <w:rsid w:val="006227D5"/>
    <w:rsid w:val="0064405D"/>
    <w:rsid w:val="00680F01"/>
    <w:rsid w:val="006A0728"/>
    <w:rsid w:val="006A608F"/>
    <w:rsid w:val="006B31DA"/>
    <w:rsid w:val="006D1C60"/>
    <w:rsid w:val="006D64C2"/>
    <w:rsid w:val="006E0960"/>
    <w:rsid w:val="00700C85"/>
    <w:rsid w:val="00714745"/>
    <w:rsid w:val="00744B44"/>
    <w:rsid w:val="007517D3"/>
    <w:rsid w:val="00761F69"/>
    <w:rsid w:val="00767555"/>
    <w:rsid w:val="00781047"/>
    <w:rsid w:val="007C35A1"/>
    <w:rsid w:val="007F74B9"/>
    <w:rsid w:val="00801B65"/>
    <w:rsid w:val="00813DCC"/>
    <w:rsid w:val="008348A3"/>
    <w:rsid w:val="0085090F"/>
    <w:rsid w:val="00881044"/>
    <w:rsid w:val="00890B99"/>
    <w:rsid w:val="008E2C02"/>
    <w:rsid w:val="008E6923"/>
    <w:rsid w:val="00900DED"/>
    <w:rsid w:val="00900EA7"/>
    <w:rsid w:val="009040A1"/>
    <w:rsid w:val="00907644"/>
    <w:rsid w:val="00912A51"/>
    <w:rsid w:val="00920217"/>
    <w:rsid w:val="009269E4"/>
    <w:rsid w:val="00926E8C"/>
    <w:rsid w:val="009308D8"/>
    <w:rsid w:val="00956472"/>
    <w:rsid w:val="009A61C4"/>
    <w:rsid w:val="009A745E"/>
    <w:rsid w:val="009B2E27"/>
    <w:rsid w:val="009B6402"/>
    <w:rsid w:val="009E29E3"/>
    <w:rsid w:val="009E6EAF"/>
    <w:rsid w:val="00A068CC"/>
    <w:rsid w:val="00A0778F"/>
    <w:rsid w:val="00A46790"/>
    <w:rsid w:val="00A47300"/>
    <w:rsid w:val="00AC1C81"/>
    <w:rsid w:val="00AD35A4"/>
    <w:rsid w:val="00AF3F80"/>
    <w:rsid w:val="00AF5306"/>
    <w:rsid w:val="00AF6642"/>
    <w:rsid w:val="00B110E2"/>
    <w:rsid w:val="00B37761"/>
    <w:rsid w:val="00B51629"/>
    <w:rsid w:val="00B5772F"/>
    <w:rsid w:val="00B6225C"/>
    <w:rsid w:val="00B6350F"/>
    <w:rsid w:val="00B84E8A"/>
    <w:rsid w:val="00B95667"/>
    <w:rsid w:val="00BB4171"/>
    <w:rsid w:val="00BC2AE5"/>
    <w:rsid w:val="00BD28AA"/>
    <w:rsid w:val="00C2543D"/>
    <w:rsid w:val="00C54650"/>
    <w:rsid w:val="00C57F2D"/>
    <w:rsid w:val="00CB21B5"/>
    <w:rsid w:val="00CC6081"/>
    <w:rsid w:val="00D065A7"/>
    <w:rsid w:val="00D24F6F"/>
    <w:rsid w:val="00D26B54"/>
    <w:rsid w:val="00D62EDB"/>
    <w:rsid w:val="00D643DB"/>
    <w:rsid w:val="00D65C06"/>
    <w:rsid w:val="00D70D8D"/>
    <w:rsid w:val="00D76685"/>
    <w:rsid w:val="00D90A06"/>
    <w:rsid w:val="00DD4C55"/>
    <w:rsid w:val="00DF02C4"/>
    <w:rsid w:val="00DF46B1"/>
    <w:rsid w:val="00E00A5A"/>
    <w:rsid w:val="00E325EA"/>
    <w:rsid w:val="00E86E49"/>
    <w:rsid w:val="00E94003"/>
    <w:rsid w:val="00E95CB1"/>
    <w:rsid w:val="00EB2C79"/>
    <w:rsid w:val="00EB4C57"/>
    <w:rsid w:val="00EC38BF"/>
    <w:rsid w:val="00EE2B57"/>
    <w:rsid w:val="00EE5F19"/>
    <w:rsid w:val="00F13180"/>
    <w:rsid w:val="00F36084"/>
    <w:rsid w:val="00F42BF5"/>
    <w:rsid w:val="00F673F6"/>
    <w:rsid w:val="00F71F38"/>
    <w:rsid w:val="00F7216F"/>
    <w:rsid w:val="00F74696"/>
    <w:rsid w:val="00F7577B"/>
    <w:rsid w:val="00F76C2B"/>
    <w:rsid w:val="00F904E8"/>
    <w:rsid w:val="00FA6719"/>
    <w:rsid w:val="00FA72E2"/>
    <w:rsid w:val="00FD55DF"/>
    <w:rsid w:val="00FE1AE2"/>
    <w:rsid w:val="00FE32AF"/>
    <w:rsid w:val="00FF2076"/>
    <w:rsid w:val="0123016A"/>
    <w:rsid w:val="0183453D"/>
    <w:rsid w:val="01AC5842"/>
    <w:rsid w:val="022C24DE"/>
    <w:rsid w:val="024737BC"/>
    <w:rsid w:val="025A1884"/>
    <w:rsid w:val="02944DCD"/>
    <w:rsid w:val="02A824AD"/>
    <w:rsid w:val="02E66B31"/>
    <w:rsid w:val="030D40BE"/>
    <w:rsid w:val="031B296E"/>
    <w:rsid w:val="03B7227C"/>
    <w:rsid w:val="03DF6A02"/>
    <w:rsid w:val="03E77005"/>
    <w:rsid w:val="03F44718"/>
    <w:rsid w:val="04400304"/>
    <w:rsid w:val="04DC643E"/>
    <w:rsid w:val="04F857AE"/>
    <w:rsid w:val="04FE63B4"/>
    <w:rsid w:val="051B76CD"/>
    <w:rsid w:val="053047DC"/>
    <w:rsid w:val="054B5371"/>
    <w:rsid w:val="05A76A4C"/>
    <w:rsid w:val="05F74C81"/>
    <w:rsid w:val="06284084"/>
    <w:rsid w:val="06B06105"/>
    <w:rsid w:val="0733430F"/>
    <w:rsid w:val="07391479"/>
    <w:rsid w:val="07554285"/>
    <w:rsid w:val="07D433FC"/>
    <w:rsid w:val="0804772D"/>
    <w:rsid w:val="08356532"/>
    <w:rsid w:val="08597DA5"/>
    <w:rsid w:val="08BD0334"/>
    <w:rsid w:val="096818C7"/>
    <w:rsid w:val="09F874C5"/>
    <w:rsid w:val="0A456833"/>
    <w:rsid w:val="0A951CC1"/>
    <w:rsid w:val="0A9D1260"/>
    <w:rsid w:val="0AC0410C"/>
    <w:rsid w:val="0AC77248"/>
    <w:rsid w:val="0ACA0AE6"/>
    <w:rsid w:val="0ACE00B9"/>
    <w:rsid w:val="0AE93662"/>
    <w:rsid w:val="0B13248D"/>
    <w:rsid w:val="0BC64CDF"/>
    <w:rsid w:val="0C526FE5"/>
    <w:rsid w:val="0C654F6B"/>
    <w:rsid w:val="0CBF06A6"/>
    <w:rsid w:val="0D141B88"/>
    <w:rsid w:val="0D501777"/>
    <w:rsid w:val="0D8721FC"/>
    <w:rsid w:val="0D9773A6"/>
    <w:rsid w:val="0DB02216"/>
    <w:rsid w:val="0DDF432E"/>
    <w:rsid w:val="0DE370AD"/>
    <w:rsid w:val="0E3D093D"/>
    <w:rsid w:val="0E5B5064"/>
    <w:rsid w:val="0F47681B"/>
    <w:rsid w:val="0F8B485B"/>
    <w:rsid w:val="0FCC7C8E"/>
    <w:rsid w:val="101822F4"/>
    <w:rsid w:val="106F18A1"/>
    <w:rsid w:val="1074577C"/>
    <w:rsid w:val="10E548CC"/>
    <w:rsid w:val="10F7015B"/>
    <w:rsid w:val="112C24FB"/>
    <w:rsid w:val="11510D2A"/>
    <w:rsid w:val="11580336"/>
    <w:rsid w:val="11CB5870"/>
    <w:rsid w:val="12201405"/>
    <w:rsid w:val="123548E0"/>
    <w:rsid w:val="124473D0"/>
    <w:rsid w:val="124B075F"/>
    <w:rsid w:val="12780AC2"/>
    <w:rsid w:val="12994B48"/>
    <w:rsid w:val="12A14823"/>
    <w:rsid w:val="12A8795F"/>
    <w:rsid w:val="12AB744F"/>
    <w:rsid w:val="12B43481"/>
    <w:rsid w:val="13117BFA"/>
    <w:rsid w:val="132A04A9"/>
    <w:rsid w:val="13522283"/>
    <w:rsid w:val="13611C3D"/>
    <w:rsid w:val="14547B81"/>
    <w:rsid w:val="146855F8"/>
    <w:rsid w:val="149503B7"/>
    <w:rsid w:val="14A81E98"/>
    <w:rsid w:val="15802E15"/>
    <w:rsid w:val="15981F0D"/>
    <w:rsid w:val="15B036FB"/>
    <w:rsid w:val="161D2412"/>
    <w:rsid w:val="163540A5"/>
    <w:rsid w:val="16566633"/>
    <w:rsid w:val="16B80E73"/>
    <w:rsid w:val="16EF0253"/>
    <w:rsid w:val="17465999"/>
    <w:rsid w:val="17681DB3"/>
    <w:rsid w:val="176D73C9"/>
    <w:rsid w:val="17882D14"/>
    <w:rsid w:val="17A03E88"/>
    <w:rsid w:val="17B31280"/>
    <w:rsid w:val="17B6418E"/>
    <w:rsid w:val="17CA0378"/>
    <w:rsid w:val="181179B1"/>
    <w:rsid w:val="186500A0"/>
    <w:rsid w:val="18B828C6"/>
    <w:rsid w:val="18D86AC4"/>
    <w:rsid w:val="196D5AA0"/>
    <w:rsid w:val="19A60971"/>
    <w:rsid w:val="19D63004"/>
    <w:rsid w:val="19F40805"/>
    <w:rsid w:val="1A6C259C"/>
    <w:rsid w:val="1AAA5032"/>
    <w:rsid w:val="1ACD08AB"/>
    <w:rsid w:val="1B56010D"/>
    <w:rsid w:val="1BCC68B5"/>
    <w:rsid w:val="1BFE4A94"/>
    <w:rsid w:val="1C384E5A"/>
    <w:rsid w:val="1C6A57E7"/>
    <w:rsid w:val="1C8B27CB"/>
    <w:rsid w:val="1CB33422"/>
    <w:rsid w:val="1CF75746"/>
    <w:rsid w:val="1DC17727"/>
    <w:rsid w:val="1E222CBC"/>
    <w:rsid w:val="1E42335E"/>
    <w:rsid w:val="1E454BFC"/>
    <w:rsid w:val="1E4B5A82"/>
    <w:rsid w:val="1E9516DF"/>
    <w:rsid w:val="1E9C48FE"/>
    <w:rsid w:val="1EB74845"/>
    <w:rsid w:val="1F0A3ECA"/>
    <w:rsid w:val="1F5B6DDA"/>
    <w:rsid w:val="1F71147F"/>
    <w:rsid w:val="1FF967B9"/>
    <w:rsid w:val="21336F8E"/>
    <w:rsid w:val="213B08E1"/>
    <w:rsid w:val="21415B4F"/>
    <w:rsid w:val="2164183D"/>
    <w:rsid w:val="21780E44"/>
    <w:rsid w:val="21AB121A"/>
    <w:rsid w:val="21FF3314"/>
    <w:rsid w:val="225E003A"/>
    <w:rsid w:val="22910410"/>
    <w:rsid w:val="232F70D2"/>
    <w:rsid w:val="2338115C"/>
    <w:rsid w:val="23487548"/>
    <w:rsid w:val="2359324C"/>
    <w:rsid w:val="2376267A"/>
    <w:rsid w:val="239D2CE1"/>
    <w:rsid w:val="23C26642"/>
    <w:rsid w:val="244F2331"/>
    <w:rsid w:val="24A358D5"/>
    <w:rsid w:val="24D61CD0"/>
    <w:rsid w:val="252E63EA"/>
    <w:rsid w:val="25356A56"/>
    <w:rsid w:val="253F23A5"/>
    <w:rsid w:val="254716DD"/>
    <w:rsid w:val="255319AC"/>
    <w:rsid w:val="25657932"/>
    <w:rsid w:val="268362C1"/>
    <w:rsid w:val="27C2106B"/>
    <w:rsid w:val="27DA63B5"/>
    <w:rsid w:val="280F2271"/>
    <w:rsid w:val="28667C49"/>
    <w:rsid w:val="2912392D"/>
    <w:rsid w:val="292F2731"/>
    <w:rsid w:val="298B3C5F"/>
    <w:rsid w:val="29BF438A"/>
    <w:rsid w:val="29FA0F90"/>
    <w:rsid w:val="2A3A313B"/>
    <w:rsid w:val="2A7409A3"/>
    <w:rsid w:val="2A7C30FA"/>
    <w:rsid w:val="2A816FBC"/>
    <w:rsid w:val="2A994305"/>
    <w:rsid w:val="2B0674C1"/>
    <w:rsid w:val="2B1C1484"/>
    <w:rsid w:val="2B232FCE"/>
    <w:rsid w:val="2B4029D3"/>
    <w:rsid w:val="2B9B22FF"/>
    <w:rsid w:val="2BAC1E16"/>
    <w:rsid w:val="2BAE3DE1"/>
    <w:rsid w:val="2BDC2B0C"/>
    <w:rsid w:val="2BFB2D9E"/>
    <w:rsid w:val="2C35005E"/>
    <w:rsid w:val="2CA656D2"/>
    <w:rsid w:val="2CDD07AF"/>
    <w:rsid w:val="2CEF46B1"/>
    <w:rsid w:val="2D4F6EFD"/>
    <w:rsid w:val="2DA52013"/>
    <w:rsid w:val="2DB135E8"/>
    <w:rsid w:val="2DCC054E"/>
    <w:rsid w:val="2DE0049D"/>
    <w:rsid w:val="2E354194"/>
    <w:rsid w:val="2E57204A"/>
    <w:rsid w:val="2E6223DD"/>
    <w:rsid w:val="2EAD65D1"/>
    <w:rsid w:val="2EE71204"/>
    <w:rsid w:val="2EFFDDAA"/>
    <w:rsid w:val="2F0B154A"/>
    <w:rsid w:val="2F177725"/>
    <w:rsid w:val="2F4A3E20"/>
    <w:rsid w:val="2F5B427F"/>
    <w:rsid w:val="2F9741F9"/>
    <w:rsid w:val="2FBB6ACC"/>
    <w:rsid w:val="2FBE0617"/>
    <w:rsid w:val="300264A9"/>
    <w:rsid w:val="303F0A7D"/>
    <w:rsid w:val="30D5536F"/>
    <w:rsid w:val="30D616E4"/>
    <w:rsid w:val="30DE1192"/>
    <w:rsid w:val="30EA3353"/>
    <w:rsid w:val="31376626"/>
    <w:rsid w:val="31C205E6"/>
    <w:rsid w:val="31CD4677"/>
    <w:rsid w:val="31D2634F"/>
    <w:rsid w:val="31D9148B"/>
    <w:rsid w:val="32342B9E"/>
    <w:rsid w:val="32414B61"/>
    <w:rsid w:val="326822C2"/>
    <w:rsid w:val="3273587A"/>
    <w:rsid w:val="32F6606D"/>
    <w:rsid w:val="33022C64"/>
    <w:rsid w:val="33187DA3"/>
    <w:rsid w:val="33923FE8"/>
    <w:rsid w:val="33E908A2"/>
    <w:rsid w:val="33EF31E8"/>
    <w:rsid w:val="33EF4F96"/>
    <w:rsid w:val="342071AB"/>
    <w:rsid w:val="34763909"/>
    <w:rsid w:val="34817CEF"/>
    <w:rsid w:val="359C5D54"/>
    <w:rsid w:val="359C73A0"/>
    <w:rsid w:val="35B43279"/>
    <w:rsid w:val="35F20D6E"/>
    <w:rsid w:val="35F26FC0"/>
    <w:rsid w:val="363E0457"/>
    <w:rsid w:val="36761922"/>
    <w:rsid w:val="369B31B3"/>
    <w:rsid w:val="36AD097B"/>
    <w:rsid w:val="373F11B0"/>
    <w:rsid w:val="37515F68"/>
    <w:rsid w:val="379F3A07"/>
    <w:rsid w:val="3814321D"/>
    <w:rsid w:val="389627B5"/>
    <w:rsid w:val="39270753"/>
    <w:rsid w:val="392E16D7"/>
    <w:rsid w:val="3938118D"/>
    <w:rsid w:val="39400042"/>
    <w:rsid w:val="39443038"/>
    <w:rsid w:val="398B39B3"/>
    <w:rsid w:val="39D8471E"/>
    <w:rsid w:val="3A0177D1"/>
    <w:rsid w:val="3A1219DE"/>
    <w:rsid w:val="3A353BF0"/>
    <w:rsid w:val="3A3C2EFF"/>
    <w:rsid w:val="3A3D50BE"/>
    <w:rsid w:val="3A5913BB"/>
    <w:rsid w:val="3A592FEA"/>
    <w:rsid w:val="3A836C33"/>
    <w:rsid w:val="3B822F41"/>
    <w:rsid w:val="3B881A3E"/>
    <w:rsid w:val="3BA64AD4"/>
    <w:rsid w:val="3BBC60A6"/>
    <w:rsid w:val="3BF358DF"/>
    <w:rsid w:val="3C0041EB"/>
    <w:rsid w:val="3C936023"/>
    <w:rsid w:val="3CA21E46"/>
    <w:rsid w:val="3CEF4259"/>
    <w:rsid w:val="3D075683"/>
    <w:rsid w:val="3D24181D"/>
    <w:rsid w:val="3D347473"/>
    <w:rsid w:val="3D475E43"/>
    <w:rsid w:val="3D714C6E"/>
    <w:rsid w:val="3D7D7AB7"/>
    <w:rsid w:val="3D7F8341"/>
    <w:rsid w:val="3DB65977"/>
    <w:rsid w:val="3DC7137D"/>
    <w:rsid w:val="3DDC2A2F"/>
    <w:rsid w:val="3E09134A"/>
    <w:rsid w:val="3E0A1C03"/>
    <w:rsid w:val="3E104487"/>
    <w:rsid w:val="3F6F0DC7"/>
    <w:rsid w:val="3F7FCDD0"/>
    <w:rsid w:val="3F8FA4E8"/>
    <w:rsid w:val="3F922241"/>
    <w:rsid w:val="3F924E9E"/>
    <w:rsid w:val="3FAB20E7"/>
    <w:rsid w:val="3FBC0574"/>
    <w:rsid w:val="3FDF11E9"/>
    <w:rsid w:val="3FEDE334"/>
    <w:rsid w:val="3FFD9182"/>
    <w:rsid w:val="403768E5"/>
    <w:rsid w:val="409F41D0"/>
    <w:rsid w:val="40A11D0E"/>
    <w:rsid w:val="40EA138C"/>
    <w:rsid w:val="41083B3B"/>
    <w:rsid w:val="41517290"/>
    <w:rsid w:val="42164036"/>
    <w:rsid w:val="42521DD1"/>
    <w:rsid w:val="428F11A3"/>
    <w:rsid w:val="42A47894"/>
    <w:rsid w:val="42BF022A"/>
    <w:rsid w:val="430020BB"/>
    <w:rsid w:val="433A5FC8"/>
    <w:rsid w:val="43792ACE"/>
    <w:rsid w:val="44542059"/>
    <w:rsid w:val="45163CE2"/>
    <w:rsid w:val="45367129"/>
    <w:rsid w:val="456771A8"/>
    <w:rsid w:val="457CBE2D"/>
    <w:rsid w:val="458D460F"/>
    <w:rsid w:val="46160AA8"/>
    <w:rsid w:val="46184D8C"/>
    <w:rsid w:val="467B3D09"/>
    <w:rsid w:val="46A240EA"/>
    <w:rsid w:val="46B15E4C"/>
    <w:rsid w:val="46E62580"/>
    <w:rsid w:val="47062101"/>
    <w:rsid w:val="474358CD"/>
    <w:rsid w:val="476475F1"/>
    <w:rsid w:val="477041E8"/>
    <w:rsid w:val="478011A0"/>
    <w:rsid w:val="480E207F"/>
    <w:rsid w:val="49155047"/>
    <w:rsid w:val="49E50EBD"/>
    <w:rsid w:val="4A3630B8"/>
    <w:rsid w:val="4A7B712C"/>
    <w:rsid w:val="4A7E09F0"/>
    <w:rsid w:val="4AA2290B"/>
    <w:rsid w:val="4B54505F"/>
    <w:rsid w:val="4B5459A0"/>
    <w:rsid w:val="4B556AA5"/>
    <w:rsid w:val="4B5F82E3"/>
    <w:rsid w:val="4B7500E2"/>
    <w:rsid w:val="4B842010"/>
    <w:rsid w:val="4BAF6219"/>
    <w:rsid w:val="4C080E93"/>
    <w:rsid w:val="4C6D5CD6"/>
    <w:rsid w:val="4C749610"/>
    <w:rsid w:val="4C7565CD"/>
    <w:rsid w:val="4CC62747"/>
    <w:rsid w:val="4CD14F82"/>
    <w:rsid w:val="4D555A28"/>
    <w:rsid w:val="4D5D1829"/>
    <w:rsid w:val="4D73233C"/>
    <w:rsid w:val="4D8E7176"/>
    <w:rsid w:val="4D9173CE"/>
    <w:rsid w:val="4DBD7A5B"/>
    <w:rsid w:val="4DDE00FE"/>
    <w:rsid w:val="4E1C6E78"/>
    <w:rsid w:val="4E1E04FA"/>
    <w:rsid w:val="4E710F72"/>
    <w:rsid w:val="4EA40259"/>
    <w:rsid w:val="4EC8490A"/>
    <w:rsid w:val="4ED212E5"/>
    <w:rsid w:val="4EF58FFD"/>
    <w:rsid w:val="4F97E128"/>
    <w:rsid w:val="4FA90F7D"/>
    <w:rsid w:val="4FBD36A1"/>
    <w:rsid w:val="4FCD3DE9"/>
    <w:rsid w:val="4FFF0EEB"/>
    <w:rsid w:val="50363109"/>
    <w:rsid w:val="50770396"/>
    <w:rsid w:val="50F25B41"/>
    <w:rsid w:val="511931FB"/>
    <w:rsid w:val="514E14CD"/>
    <w:rsid w:val="51541B20"/>
    <w:rsid w:val="51894824"/>
    <w:rsid w:val="51BB2504"/>
    <w:rsid w:val="51BC0756"/>
    <w:rsid w:val="51D32259"/>
    <w:rsid w:val="51F42B99"/>
    <w:rsid w:val="51F91DAE"/>
    <w:rsid w:val="51FB0B52"/>
    <w:rsid w:val="52831274"/>
    <w:rsid w:val="52A2268A"/>
    <w:rsid w:val="530C788A"/>
    <w:rsid w:val="539714AF"/>
    <w:rsid w:val="53EB5322"/>
    <w:rsid w:val="53F341D7"/>
    <w:rsid w:val="54183C3E"/>
    <w:rsid w:val="54680721"/>
    <w:rsid w:val="54745318"/>
    <w:rsid w:val="54807945"/>
    <w:rsid w:val="54912368"/>
    <w:rsid w:val="54AD082A"/>
    <w:rsid w:val="54B47986"/>
    <w:rsid w:val="54F0348C"/>
    <w:rsid w:val="54F21CA7"/>
    <w:rsid w:val="552438D5"/>
    <w:rsid w:val="55986DE4"/>
    <w:rsid w:val="55A005ED"/>
    <w:rsid w:val="55F10BEA"/>
    <w:rsid w:val="55F1E074"/>
    <w:rsid w:val="5604610A"/>
    <w:rsid w:val="56091A90"/>
    <w:rsid w:val="56350AD7"/>
    <w:rsid w:val="565B30F5"/>
    <w:rsid w:val="566559D7"/>
    <w:rsid w:val="56757125"/>
    <w:rsid w:val="5690592E"/>
    <w:rsid w:val="56B44FF0"/>
    <w:rsid w:val="56EB3FA6"/>
    <w:rsid w:val="56FE35BF"/>
    <w:rsid w:val="571C524E"/>
    <w:rsid w:val="572052E3"/>
    <w:rsid w:val="572A4DAB"/>
    <w:rsid w:val="575B5DBF"/>
    <w:rsid w:val="57856050"/>
    <w:rsid w:val="57903E36"/>
    <w:rsid w:val="57A16A07"/>
    <w:rsid w:val="57DA73A0"/>
    <w:rsid w:val="58A00B29"/>
    <w:rsid w:val="58A43CF2"/>
    <w:rsid w:val="58F46A27"/>
    <w:rsid w:val="5901039F"/>
    <w:rsid w:val="592F3F03"/>
    <w:rsid w:val="59411541"/>
    <w:rsid w:val="59590F80"/>
    <w:rsid w:val="596943C9"/>
    <w:rsid w:val="5A1C0B0B"/>
    <w:rsid w:val="5A2055FA"/>
    <w:rsid w:val="5A427C66"/>
    <w:rsid w:val="5A701E3F"/>
    <w:rsid w:val="5AD34A27"/>
    <w:rsid w:val="5AE605F2"/>
    <w:rsid w:val="5AE633F4"/>
    <w:rsid w:val="5B237E93"/>
    <w:rsid w:val="5B305D11"/>
    <w:rsid w:val="5B527A35"/>
    <w:rsid w:val="5B7E05FA"/>
    <w:rsid w:val="5B8D264F"/>
    <w:rsid w:val="5BBF791F"/>
    <w:rsid w:val="5BC61027"/>
    <w:rsid w:val="5C164F06"/>
    <w:rsid w:val="5C167092"/>
    <w:rsid w:val="5C2F7D76"/>
    <w:rsid w:val="5C403D31"/>
    <w:rsid w:val="5CEE19DF"/>
    <w:rsid w:val="5D0A0F10"/>
    <w:rsid w:val="5D234A68"/>
    <w:rsid w:val="5DCA0B67"/>
    <w:rsid w:val="5DDB1F64"/>
    <w:rsid w:val="5DE51034"/>
    <w:rsid w:val="5E4176E8"/>
    <w:rsid w:val="5E5B3A6D"/>
    <w:rsid w:val="5EB506B9"/>
    <w:rsid w:val="5ED54C05"/>
    <w:rsid w:val="5F1576F7"/>
    <w:rsid w:val="5FA17557"/>
    <w:rsid w:val="5FAB1E0A"/>
    <w:rsid w:val="5FB92779"/>
    <w:rsid w:val="5FE71B6D"/>
    <w:rsid w:val="5FEB0458"/>
    <w:rsid w:val="5FF7D7CC"/>
    <w:rsid w:val="6008725C"/>
    <w:rsid w:val="600A6B30"/>
    <w:rsid w:val="60575AEE"/>
    <w:rsid w:val="60705941"/>
    <w:rsid w:val="607B17DC"/>
    <w:rsid w:val="60F8107F"/>
    <w:rsid w:val="61333E65"/>
    <w:rsid w:val="61710692"/>
    <w:rsid w:val="62595B4D"/>
    <w:rsid w:val="62B36BEA"/>
    <w:rsid w:val="62CC631F"/>
    <w:rsid w:val="62E73159"/>
    <w:rsid w:val="62F92E8C"/>
    <w:rsid w:val="63212B0F"/>
    <w:rsid w:val="63360B92"/>
    <w:rsid w:val="6397692D"/>
    <w:rsid w:val="6427714C"/>
    <w:rsid w:val="64340620"/>
    <w:rsid w:val="643423CE"/>
    <w:rsid w:val="64D15E6F"/>
    <w:rsid w:val="65156747"/>
    <w:rsid w:val="660758C0"/>
    <w:rsid w:val="660979AD"/>
    <w:rsid w:val="66B249AE"/>
    <w:rsid w:val="66D63B25"/>
    <w:rsid w:val="684814A6"/>
    <w:rsid w:val="68BC0EF0"/>
    <w:rsid w:val="68BE670A"/>
    <w:rsid w:val="69224EEB"/>
    <w:rsid w:val="693B39B1"/>
    <w:rsid w:val="69605A2E"/>
    <w:rsid w:val="69B65163"/>
    <w:rsid w:val="69FB33E1"/>
    <w:rsid w:val="6A5D01A4"/>
    <w:rsid w:val="6AA60A9A"/>
    <w:rsid w:val="6AA87672"/>
    <w:rsid w:val="6AEC366C"/>
    <w:rsid w:val="6B2A456C"/>
    <w:rsid w:val="6BA37D93"/>
    <w:rsid w:val="6BAF2C82"/>
    <w:rsid w:val="6BFF043A"/>
    <w:rsid w:val="6C1331CB"/>
    <w:rsid w:val="6C3D203B"/>
    <w:rsid w:val="6C7736D0"/>
    <w:rsid w:val="6CD02EB0"/>
    <w:rsid w:val="6CFE17CB"/>
    <w:rsid w:val="6D3276C6"/>
    <w:rsid w:val="6D616D04"/>
    <w:rsid w:val="6D9E3515"/>
    <w:rsid w:val="6DB16485"/>
    <w:rsid w:val="6DD644F6"/>
    <w:rsid w:val="6DF67C63"/>
    <w:rsid w:val="6E7479E3"/>
    <w:rsid w:val="6E9817AB"/>
    <w:rsid w:val="6EFFCFAE"/>
    <w:rsid w:val="6F2B261F"/>
    <w:rsid w:val="6F3C6EA4"/>
    <w:rsid w:val="6F5953DE"/>
    <w:rsid w:val="6FB74BFA"/>
    <w:rsid w:val="6FBE0FA4"/>
    <w:rsid w:val="6FBF4139"/>
    <w:rsid w:val="6FEDD00F"/>
    <w:rsid w:val="6FFF011B"/>
    <w:rsid w:val="703674CE"/>
    <w:rsid w:val="704F233D"/>
    <w:rsid w:val="706C50A2"/>
    <w:rsid w:val="708239E7"/>
    <w:rsid w:val="70874D6B"/>
    <w:rsid w:val="70F25AEA"/>
    <w:rsid w:val="70FB3D10"/>
    <w:rsid w:val="71072407"/>
    <w:rsid w:val="71B903B6"/>
    <w:rsid w:val="722E1DAB"/>
    <w:rsid w:val="722F68CA"/>
    <w:rsid w:val="72381946"/>
    <w:rsid w:val="728F1117"/>
    <w:rsid w:val="72A878C2"/>
    <w:rsid w:val="72B92643"/>
    <w:rsid w:val="735A1725"/>
    <w:rsid w:val="735F2692"/>
    <w:rsid w:val="739E5AB6"/>
    <w:rsid w:val="73A11102"/>
    <w:rsid w:val="73CA2BCB"/>
    <w:rsid w:val="74C55474"/>
    <w:rsid w:val="7555706B"/>
    <w:rsid w:val="75622B13"/>
    <w:rsid w:val="757404F4"/>
    <w:rsid w:val="75812F99"/>
    <w:rsid w:val="758807CB"/>
    <w:rsid w:val="75BC0475"/>
    <w:rsid w:val="75BD2FD8"/>
    <w:rsid w:val="766529A2"/>
    <w:rsid w:val="76872831"/>
    <w:rsid w:val="76CA5F4E"/>
    <w:rsid w:val="771E0F22"/>
    <w:rsid w:val="77773C74"/>
    <w:rsid w:val="77796881"/>
    <w:rsid w:val="77955421"/>
    <w:rsid w:val="77F76B29"/>
    <w:rsid w:val="77FDCCF7"/>
    <w:rsid w:val="784B5AE0"/>
    <w:rsid w:val="78857244"/>
    <w:rsid w:val="788617F4"/>
    <w:rsid w:val="78C76231"/>
    <w:rsid w:val="794669D3"/>
    <w:rsid w:val="798474FC"/>
    <w:rsid w:val="799C2A97"/>
    <w:rsid w:val="7A6766B1"/>
    <w:rsid w:val="7AC676A0"/>
    <w:rsid w:val="7AEA5A84"/>
    <w:rsid w:val="7B497EEC"/>
    <w:rsid w:val="7BA268EC"/>
    <w:rsid w:val="7BE7A6C8"/>
    <w:rsid w:val="7BF638B3"/>
    <w:rsid w:val="7BF7DF74"/>
    <w:rsid w:val="7C176405"/>
    <w:rsid w:val="7C444D20"/>
    <w:rsid w:val="7C484810"/>
    <w:rsid w:val="7C6D4277"/>
    <w:rsid w:val="7CC61BD9"/>
    <w:rsid w:val="7CFB0C64"/>
    <w:rsid w:val="7D1D5B71"/>
    <w:rsid w:val="7D9604E5"/>
    <w:rsid w:val="7DBD32C9"/>
    <w:rsid w:val="7DD620CC"/>
    <w:rsid w:val="7DD7A304"/>
    <w:rsid w:val="7E447410"/>
    <w:rsid w:val="7F271312"/>
    <w:rsid w:val="7F5A35FA"/>
    <w:rsid w:val="7F5DF83F"/>
    <w:rsid w:val="7F7F7B28"/>
    <w:rsid w:val="7F9B559F"/>
    <w:rsid w:val="7F9F508F"/>
    <w:rsid w:val="7FDD8D14"/>
    <w:rsid w:val="7FE00951"/>
    <w:rsid w:val="7FE7EE66"/>
    <w:rsid w:val="7FEB3646"/>
    <w:rsid w:val="7FF6601D"/>
    <w:rsid w:val="7FFF7B31"/>
    <w:rsid w:val="97F8EF05"/>
    <w:rsid w:val="9E9F1B0F"/>
    <w:rsid w:val="9FE62076"/>
    <w:rsid w:val="9FEF61CF"/>
    <w:rsid w:val="9FFE352B"/>
    <w:rsid w:val="AFFFD7BF"/>
    <w:rsid w:val="B7FF42C2"/>
    <w:rsid w:val="B97C8042"/>
    <w:rsid w:val="BA37311A"/>
    <w:rsid w:val="BFE27215"/>
    <w:rsid w:val="CF7B5DF8"/>
    <w:rsid w:val="CF95E846"/>
    <w:rsid w:val="D274059A"/>
    <w:rsid w:val="D7FE2BA8"/>
    <w:rsid w:val="DFBFAD81"/>
    <w:rsid w:val="DFFF9D2F"/>
    <w:rsid w:val="E3BF1B68"/>
    <w:rsid w:val="E6DF196A"/>
    <w:rsid w:val="E7CCAC85"/>
    <w:rsid w:val="EBE9EB35"/>
    <w:rsid w:val="EBFF857D"/>
    <w:rsid w:val="EFDDE029"/>
    <w:rsid w:val="EFFD611B"/>
    <w:rsid w:val="F52F22B5"/>
    <w:rsid w:val="F57AA447"/>
    <w:rsid w:val="F5AF2F6B"/>
    <w:rsid w:val="F7BD654D"/>
    <w:rsid w:val="FADC3C11"/>
    <w:rsid w:val="FB5D8A7B"/>
    <w:rsid w:val="FB7E3CCD"/>
    <w:rsid w:val="FBEB4BC8"/>
    <w:rsid w:val="FCE7796F"/>
    <w:rsid w:val="FE2FF410"/>
    <w:rsid w:val="FE7EE62F"/>
    <w:rsid w:val="FED296F0"/>
    <w:rsid w:val="FFB72CFF"/>
    <w:rsid w:val="FFDC118E"/>
    <w:rsid w:val="FFE7EF1F"/>
    <w:rsid w:val="FFFEF181"/>
    <w:rsid w:val="FFFF373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name="table of authorities"/>
    <w:lsdException w:uiPriority="0" w:name="macro"/>
    <w:lsdException w:uiPriority="0" w:name="toa heading"/>
    <w:lsdException w:unhideWhenUsed="0" w:uiPriority="0" w:name="List"/>
    <w:lsdException w:unhideWhenUsed="0"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name="Body Text Indent"/>
    <w:lsdException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7"/>
    <w:qFormat/>
    <w:uiPriority w:val="0"/>
    <w:pPr>
      <w:keepNext/>
      <w:keepLines/>
      <w:spacing w:before="260" w:after="260" w:line="412" w:lineRule="auto"/>
      <w:outlineLvl w:val="1"/>
    </w:pPr>
    <w:rPr>
      <w:rFonts w:ascii="Arial" w:hAnsi="Arial" w:eastAsia="黑体"/>
      <w:b/>
      <w:kern w:val="0"/>
      <w:sz w:val="32"/>
      <w:szCs w:val="20"/>
    </w:rPr>
  </w:style>
  <w:style w:type="paragraph" w:styleId="3">
    <w:name w:val="heading 3"/>
    <w:basedOn w:val="1"/>
    <w:next w:val="1"/>
    <w:link w:val="28"/>
    <w:qFormat/>
    <w:uiPriority w:val="0"/>
    <w:pPr>
      <w:keepNext/>
      <w:keepLines/>
      <w:spacing w:before="260" w:after="260" w:line="416" w:lineRule="auto"/>
      <w:outlineLvl w:val="2"/>
    </w:pPr>
    <w:rPr>
      <w:rFonts w:ascii="Times New Roman" w:hAnsi="Times New Roman"/>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rPr>
      <w:sz w:val="34"/>
    </w:rPr>
  </w:style>
  <w:style w:type="paragraph" w:styleId="5">
    <w:name w:val="annotation text"/>
    <w:basedOn w:val="1"/>
    <w:link w:val="39"/>
    <w:qFormat/>
    <w:uiPriority w:val="0"/>
    <w:pPr>
      <w:widowControl/>
      <w:spacing w:line="360" w:lineRule="auto"/>
      <w:ind w:firstLine="200" w:firstLineChars="200"/>
      <w:jc w:val="left"/>
    </w:pPr>
    <w:rPr>
      <w:rFonts w:hint="eastAsia" w:ascii="宋体" w:hAnsi="Times New Roman"/>
      <w:kern w:val="0"/>
      <w:sz w:val="24"/>
      <w:szCs w:val="20"/>
    </w:rPr>
  </w:style>
  <w:style w:type="paragraph" w:styleId="6">
    <w:name w:val="Body Text"/>
    <w:basedOn w:val="1"/>
    <w:link w:val="30"/>
    <w:qFormat/>
    <w:uiPriority w:val="0"/>
    <w:pPr>
      <w:spacing w:after="120"/>
    </w:pPr>
  </w:style>
  <w:style w:type="paragraph" w:styleId="7">
    <w:name w:val="Body Text Indent"/>
    <w:basedOn w:val="1"/>
    <w:link w:val="36"/>
    <w:semiHidden/>
    <w:unhideWhenUsed/>
    <w:qFormat/>
    <w:uiPriority w:val="0"/>
    <w:pPr>
      <w:spacing w:after="120"/>
      <w:ind w:left="420" w:leftChars="200"/>
    </w:pPr>
  </w:style>
  <w:style w:type="paragraph" w:styleId="8">
    <w:name w:val="Block Text"/>
    <w:basedOn w:val="1"/>
    <w:qFormat/>
    <w:uiPriority w:val="0"/>
    <w:pPr>
      <w:spacing w:line="440" w:lineRule="exact"/>
      <w:ind w:left="-540" w:leftChars="-257" w:right="-334" w:rightChars="-159" w:firstLine="1140"/>
    </w:pPr>
    <w:rPr>
      <w:rFonts w:ascii="Times New Roman" w:hAnsi="Times New Roman"/>
      <w:sz w:val="24"/>
      <w:szCs w:val="20"/>
    </w:rPr>
  </w:style>
  <w:style w:type="paragraph" w:styleId="9">
    <w:name w:val="Plain Text"/>
    <w:basedOn w:val="1"/>
    <w:link w:val="34"/>
    <w:qFormat/>
    <w:uiPriority w:val="0"/>
    <w:rPr>
      <w:rFonts w:hint="eastAsia" w:ascii="宋体" w:hAnsi="Courier New"/>
      <w:kern w:val="0"/>
      <w:sz w:val="20"/>
      <w:szCs w:val="21"/>
    </w:rPr>
  </w:style>
  <w:style w:type="paragraph" w:styleId="10">
    <w:name w:val="Balloon Text"/>
    <w:basedOn w:val="1"/>
    <w:link w:val="24"/>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unhideWhenUsed/>
    <w:qFormat/>
    <w:uiPriority w:val="39"/>
    <w:pPr>
      <w:ind w:left="420" w:leftChars="200"/>
    </w:p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15">
    <w:name w:val="Normal (Web)"/>
    <w:basedOn w:val="1"/>
    <w:qFormat/>
    <w:uiPriority w:val="99"/>
    <w:pPr>
      <w:widowControl/>
      <w:spacing w:before="100" w:beforeAutospacing="1" w:after="100" w:afterAutospacing="1"/>
      <w:jc w:val="left"/>
    </w:pPr>
    <w:rPr>
      <w:rFonts w:hint="eastAsia" w:ascii="宋体" w:hAnsi="宋体"/>
      <w:kern w:val="0"/>
      <w:sz w:val="24"/>
      <w:szCs w:val="24"/>
    </w:rPr>
  </w:style>
  <w:style w:type="paragraph" w:styleId="16">
    <w:name w:val="annotation subject"/>
    <w:basedOn w:val="5"/>
    <w:next w:val="5"/>
    <w:link w:val="31"/>
    <w:qFormat/>
    <w:uiPriority w:val="0"/>
    <w:rPr>
      <w:b/>
      <w:bCs/>
      <w:sz w:val="20"/>
    </w:rPr>
  </w:style>
  <w:style w:type="paragraph" w:styleId="17">
    <w:name w:val="Body Text First Indent"/>
    <w:basedOn w:val="6"/>
    <w:link w:val="32"/>
    <w:qFormat/>
    <w:uiPriority w:val="0"/>
    <w:pPr>
      <w:ind w:firstLine="420" w:firstLineChars="100"/>
    </w:pPr>
    <w:rPr>
      <w:rFonts w:ascii="Times New Roman" w:hAnsi="Times New Roman"/>
    </w:rPr>
  </w:style>
  <w:style w:type="paragraph" w:styleId="18">
    <w:name w:val="Body Text First Indent 2"/>
    <w:basedOn w:val="7"/>
    <w:link w:val="37"/>
    <w:unhideWhenUsed/>
    <w:qFormat/>
    <w:uiPriority w:val="99"/>
    <w:pPr>
      <w:widowControl/>
      <w:spacing w:line="256" w:lineRule="auto"/>
      <w:ind w:firstLine="420" w:firstLineChars="200"/>
      <w:jc w:val="left"/>
    </w:pPr>
    <w:rPr>
      <w:rFonts w:eastAsia="Calibri"/>
      <w:color w:val="000000"/>
      <w:sz w:val="22"/>
    </w:rPr>
  </w:style>
  <w:style w:type="character" w:styleId="21">
    <w:name w:val="Hyperlink"/>
    <w:unhideWhenUsed/>
    <w:qFormat/>
    <w:uiPriority w:val="99"/>
    <w:rPr>
      <w:color w:val="0563C1"/>
      <w:u w:val="single"/>
    </w:rPr>
  </w:style>
  <w:style w:type="character" w:styleId="22">
    <w:name w:val="annotation reference"/>
    <w:basedOn w:val="20"/>
    <w:semiHidden/>
    <w:unhideWhenUsed/>
    <w:qFormat/>
    <w:uiPriority w:val="0"/>
    <w:rPr>
      <w:sz w:val="21"/>
      <w:szCs w:val="21"/>
    </w:rPr>
  </w:style>
  <w:style w:type="paragraph" w:customStyle="1" w:styleId="23">
    <w:name w:val="首行缩进"/>
    <w:basedOn w:val="1"/>
    <w:qFormat/>
    <w:uiPriority w:val="0"/>
    <w:pPr>
      <w:spacing w:line="300" w:lineRule="auto"/>
      <w:ind w:firstLine="420"/>
    </w:pPr>
    <w:rPr>
      <w:rFonts w:eastAsia="方正书宋简体"/>
    </w:rPr>
  </w:style>
  <w:style w:type="character" w:customStyle="1" w:styleId="24">
    <w:name w:val="批注框文本 字符"/>
    <w:basedOn w:val="20"/>
    <w:link w:val="10"/>
    <w:qFormat/>
    <w:uiPriority w:val="0"/>
    <w:rPr>
      <w:rFonts w:ascii="Calibri" w:hAnsi="Calibri" w:eastAsia="宋体" w:cs="Times New Roman"/>
      <w:kern w:val="2"/>
      <w:sz w:val="18"/>
      <w:szCs w:val="18"/>
    </w:rPr>
  </w:style>
  <w:style w:type="character" w:customStyle="1" w:styleId="25">
    <w:name w:val="页眉 字符"/>
    <w:basedOn w:val="20"/>
    <w:link w:val="12"/>
    <w:qFormat/>
    <w:uiPriority w:val="0"/>
    <w:rPr>
      <w:rFonts w:ascii="Calibri" w:hAnsi="Calibri" w:eastAsia="宋体" w:cs="Times New Roman"/>
      <w:kern w:val="2"/>
      <w:sz w:val="18"/>
      <w:szCs w:val="18"/>
    </w:rPr>
  </w:style>
  <w:style w:type="character" w:customStyle="1" w:styleId="26">
    <w:name w:val="页脚 字符"/>
    <w:basedOn w:val="20"/>
    <w:link w:val="11"/>
    <w:qFormat/>
    <w:uiPriority w:val="0"/>
    <w:rPr>
      <w:rFonts w:ascii="Calibri" w:hAnsi="Calibri" w:eastAsia="宋体" w:cs="Times New Roman"/>
      <w:kern w:val="2"/>
      <w:sz w:val="18"/>
      <w:szCs w:val="18"/>
    </w:rPr>
  </w:style>
  <w:style w:type="character" w:customStyle="1" w:styleId="27">
    <w:name w:val="标题 2 字符"/>
    <w:basedOn w:val="20"/>
    <w:link w:val="2"/>
    <w:qFormat/>
    <w:uiPriority w:val="0"/>
    <w:rPr>
      <w:rFonts w:ascii="Arial" w:hAnsi="Arial" w:eastAsia="黑体" w:cs="Times New Roman"/>
      <w:b/>
      <w:sz w:val="32"/>
    </w:rPr>
  </w:style>
  <w:style w:type="character" w:customStyle="1" w:styleId="28">
    <w:name w:val="标题 3 字符"/>
    <w:basedOn w:val="20"/>
    <w:link w:val="3"/>
    <w:qFormat/>
    <w:uiPriority w:val="0"/>
    <w:rPr>
      <w:rFonts w:ascii="Times New Roman" w:hAnsi="Times New Roman" w:eastAsia="宋体" w:cs="Times New Roman"/>
      <w:b/>
      <w:bCs/>
      <w:kern w:val="2"/>
      <w:sz w:val="32"/>
      <w:szCs w:val="32"/>
    </w:rPr>
  </w:style>
  <w:style w:type="character" w:customStyle="1" w:styleId="29">
    <w:name w:val="批注文字 字符"/>
    <w:basedOn w:val="20"/>
    <w:qFormat/>
    <w:uiPriority w:val="0"/>
    <w:rPr>
      <w:rFonts w:ascii="Calibri" w:hAnsi="Calibri" w:eastAsia="宋体" w:cs="Times New Roman"/>
      <w:kern w:val="2"/>
      <w:sz w:val="21"/>
      <w:szCs w:val="22"/>
    </w:rPr>
  </w:style>
  <w:style w:type="character" w:customStyle="1" w:styleId="30">
    <w:name w:val="正文文本 字符"/>
    <w:basedOn w:val="20"/>
    <w:link w:val="6"/>
    <w:qFormat/>
    <w:uiPriority w:val="0"/>
    <w:rPr>
      <w:rFonts w:ascii="Calibri" w:hAnsi="Calibri" w:eastAsia="宋体" w:cs="Times New Roman"/>
      <w:kern w:val="2"/>
      <w:sz w:val="21"/>
      <w:szCs w:val="22"/>
    </w:rPr>
  </w:style>
  <w:style w:type="character" w:customStyle="1" w:styleId="31">
    <w:name w:val="批注主题 字符"/>
    <w:basedOn w:val="29"/>
    <w:link w:val="16"/>
    <w:qFormat/>
    <w:uiPriority w:val="0"/>
    <w:rPr>
      <w:rFonts w:ascii="Calibri" w:hAnsi="Calibri" w:eastAsia="宋体" w:cs="Times New Roman"/>
      <w:b/>
      <w:bCs/>
      <w:kern w:val="2"/>
      <w:sz w:val="21"/>
      <w:szCs w:val="22"/>
    </w:rPr>
  </w:style>
  <w:style w:type="character" w:customStyle="1" w:styleId="32">
    <w:name w:val="正文文本首行缩进 字符"/>
    <w:basedOn w:val="30"/>
    <w:link w:val="17"/>
    <w:qFormat/>
    <w:uiPriority w:val="0"/>
    <w:rPr>
      <w:rFonts w:ascii="Times New Roman" w:hAnsi="Times New Roman" w:eastAsia="宋体" w:cs="Times New Roman"/>
      <w:kern w:val="2"/>
      <w:sz w:val="21"/>
      <w:szCs w:val="22"/>
    </w:rPr>
  </w:style>
  <w:style w:type="paragraph" w:customStyle="1" w:styleId="33">
    <w:name w:val="xl84"/>
    <w:basedOn w:val="1"/>
    <w:qFormat/>
    <w:uiPriority w:val="0"/>
    <w:pPr>
      <w:widowControl/>
      <w:spacing w:before="100" w:beforeAutospacing="1" w:after="100" w:afterAutospacing="1"/>
      <w:jc w:val="left"/>
    </w:pPr>
    <w:rPr>
      <w:rFonts w:ascii="宋体" w:hAnsi="宋体" w:cs="宋体"/>
      <w:b/>
      <w:bCs/>
      <w:kern w:val="0"/>
      <w:sz w:val="18"/>
      <w:szCs w:val="18"/>
    </w:rPr>
  </w:style>
  <w:style w:type="character" w:customStyle="1" w:styleId="34">
    <w:name w:val="纯文本 字符"/>
    <w:basedOn w:val="20"/>
    <w:link w:val="9"/>
    <w:qFormat/>
    <w:uiPriority w:val="0"/>
    <w:rPr>
      <w:rFonts w:ascii="宋体" w:hAnsi="Courier New" w:eastAsia="宋体" w:cs="Times New Roman"/>
      <w:szCs w:val="21"/>
    </w:rPr>
  </w:style>
  <w:style w:type="paragraph" w:customStyle="1" w:styleId="35">
    <w:name w:val="_Style 44"/>
    <w:basedOn w:val="6"/>
    <w:next w:val="17"/>
    <w:qFormat/>
    <w:uiPriority w:val="99"/>
    <w:pPr>
      <w:spacing w:before="100" w:beforeAutospacing="1"/>
      <w:ind w:firstLine="420"/>
    </w:pPr>
    <w:rPr>
      <w:rFonts w:ascii="Times New Roman" w:hAnsi="Times New Roman"/>
    </w:rPr>
  </w:style>
  <w:style w:type="character" w:customStyle="1" w:styleId="36">
    <w:name w:val="正文文本缩进 字符"/>
    <w:basedOn w:val="20"/>
    <w:link w:val="7"/>
    <w:qFormat/>
    <w:uiPriority w:val="0"/>
    <w:rPr>
      <w:rFonts w:hint="default" w:ascii="Calibri" w:hAnsi="Calibri" w:eastAsia="宋体" w:cs="Times New Roman"/>
      <w:kern w:val="2"/>
      <w:sz w:val="21"/>
      <w:szCs w:val="22"/>
    </w:rPr>
  </w:style>
  <w:style w:type="character" w:customStyle="1" w:styleId="37">
    <w:name w:val="正文文本首行缩进 2 字符"/>
    <w:basedOn w:val="36"/>
    <w:link w:val="18"/>
    <w:qFormat/>
    <w:uiPriority w:val="0"/>
    <w:rPr>
      <w:rFonts w:hint="default" w:ascii="Calibri" w:hAnsi="Calibri" w:eastAsia="宋体" w:cs="Times New Roman"/>
      <w:kern w:val="2"/>
      <w:sz w:val="21"/>
      <w:szCs w:val="22"/>
    </w:rPr>
  </w:style>
  <w:style w:type="paragraph" w:customStyle="1" w:styleId="38">
    <w:name w:val="CM6"/>
    <w:basedOn w:val="1"/>
    <w:next w:val="1"/>
    <w:qFormat/>
    <w:uiPriority w:val="0"/>
    <w:pPr>
      <w:autoSpaceDE w:val="0"/>
      <w:autoSpaceDN w:val="0"/>
      <w:adjustRightInd w:val="0"/>
      <w:spacing w:line="626" w:lineRule="atLeast"/>
      <w:jc w:val="left"/>
    </w:pPr>
    <w:rPr>
      <w:rFonts w:ascii="隶书" w:hAnsi="Times New Roman" w:eastAsia="隶书"/>
      <w:kern w:val="0"/>
      <w:sz w:val="24"/>
      <w:szCs w:val="24"/>
    </w:rPr>
  </w:style>
  <w:style w:type="character" w:customStyle="1" w:styleId="39">
    <w:name w:val="批注文字 字符1"/>
    <w:basedOn w:val="20"/>
    <w:link w:val="5"/>
    <w:qFormat/>
    <w:uiPriority w:val="0"/>
    <w:rPr>
      <w:rFonts w:hint="eastAsia" w:ascii="宋体" w:hAnsi="宋体" w:eastAsia="宋体" w:cs="宋体"/>
      <w:sz w:val="24"/>
    </w:rPr>
  </w:style>
  <w:style w:type="paragraph" w:customStyle="1" w:styleId="40">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纯文本_0"/>
    <w:basedOn w:val="42"/>
    <w:qFormat/>
    <w:uiPriority w:val="0"/>
    <w:rPr>
      <w:rFonts w:ascii="宋体" w:hAnsi="Times New Roman"/>
      <w:szCs w:val="24"/>
    </w:rPr>
  </w:style>
  <w:style w:type="paragraph" w:customStyle="1" w:styleId="4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4">
    <w:name w:val="条文1 Char"/>
    <w:basedOn w:val="1"/>
    <w:qFormat/>
    <w:uiPriority w:val="0"/>
    <w:pPr>
      <w:tabs>
        <w:tab w:val="left" w:pos="420"/>
        <w:tab w:val="left" w:pos="720"/>
      </w:tabs>
      <w:spacing w:line="360" w:lineRule="auto"/>
      <w:ind w:left="420" w:hanging="420"/>
    </w:pPr>
    <w:rPr>
      <w:rFonts w:hint="eastAsia" w:ascii="MS UI Gothic" w:hAnsi="MS UI Gothic"/>
      <w:bCs/>
      <w:kern w:val="44"/>
      <w:sz w:val="24"/>
      <w:szCs w:val="44"/>
    </w:rPr>
  </w:style>
  <w:style w:type="paragraph" w:customStyle="1" w:styleId="4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6">
    <w:name w:val="文一"/>
    <w:basedOn w:val="1"/>
    <w:qFormat/>
    <w:uiPriority w:val="0"/>
    <w:pPr>
      <w:topLinePunct/>
      <w:adjustRightInd w:val="0"/>
      <w:snapToGrid w:val="0"/>
      <w:spacing w:line="360" w:lineRule="auto"/>
      <w:ind w:firstLine="200" w:firstLineChars="200"/>
    </w:pPr>
    <w:rPr>
      <w:rFonts w:ascii="Times New Roman"/>
      <w:snapToGrid w:val="0"/>
      <w:spacing w:val="4"/>
      <w:kern w:val="0"/>
      <w:sz w:val="24"/>
      <w:szCs w:val="24"/>
    </w:rPr>
  </w:style>
  <w:style w:type="paragraph" w:customStyle="1" w:styleId="47">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E2C020-380D-429A-8170-F9ABCBD2413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86</Pages>
  <Words>11531</Words>
  <Characters>12310</Characters>
  <Lines>346</Lines>
  <Paragraphs>97</Paragraphs>
  <TotalTime>1</TotalTime>
  <ScaleCrop>false</ScaleCrop>
  <LinksUpToDate>false</LinksUpToDate>
  <CharactersWithSpaces>12444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2023-03-09T06:15:00Z</dcterms:created>
  <dc:creator>广东工程经办人</dc:creator>
  <cp:lastModifiedBy>USER</cp:lastModifiedBy>
  <cp:lastPrinted>2025-07-28T07:27:00Z</cp:lastPrinted>
  <dcterms:modified xsi:type="dcterms:W3CDTF">2025-08-06T04:54:26Z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4BD62A3C8E934C41AD0B707456057206_13</vt:lpwstr>
  </property>
  <property fmtid="{D5CDD505-2E9C-101B-9397-08002B2CF9AE}" pid="4" name="KSOTemplateDocerSaveRecord">
    <vt:lpwstr>eyJoZGlkIjoiYzFmM2UyNmExMGFkOTdkNDE4YTQyNjA4NjVjNTk1ODciLCJ1c2VySWQiOiIyODM1MzYwNDEifQ==</vt:lpwstr>
  </property>
</Properties>
</file>