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7B78A">
      <w:pPr>
        <w:spacing w:line="360" w:lineRule="auto"/>
        <w:jc w:val="center"/>
        <w:rPr>
          <w:rFonts w:hint="eastAsia" w:ascii="宋体" w:hAnsi="宋体"/>
          <w:b/>
          <w:sz w:val="44"/>
          <w:szCs w:val="48"/>
          <w:highlight w:val="none"/>
        </w:rPr>
      </w:pPr>
    </w:p>
    <w:p w14:paraId="60C54EA5">
      <w:pPr>
        <w:pStyle w:val="17"/>
        <w:ind w:firstLine="440"/>
        <w:rPr>
          <w:rFonts w:eastAsiaTheme="minorEastAsia"/>
          <w:color w:val="auto"/>
          <w:highlight w:val="none"/>
        </w:rPr>
      </w:pPr>
    </w:p>
    <w:p w14:paraId="622852D2">
      <w:pPr>
        <w:pStyle w:val="17"/>
        <w:ind w:firstLine="440"/>
        <w:rPr>
          <w:rFonts w:eastAsiaTheme="minorEastAsia"/>
          <w:color w:val="auto"/>
          <w:highlight w:val="none"/>
        </w:rPr>
      </w:pPr>
    </w:p>
    <w:p w14:paraId="7279E5F0">
      <w:pPr>
        <w:spacing w:line="360" w:lineRule="auto"/>
        <w:jc w:val="center"/>
        <w:rPr>
          <w:rFonts w:hint="eastAsia" w:ascii="宋体" w:hAnsi="宋体"/>
          <w:b/>
          <w:sz w:val="44"/>
          <w:szCs w:val="48"/>
          <w:highlight w:val="none"/>
        </w:rPr>
      </w:pPr>
      <w:r>
        <w:rPr>
          <w:rFonts w:hint="eastAsia" w:ascii="宋体" w:hAnsi="宋体"/>
          <w:b/>
          <w:sz w:val="44"/>
          <w:szCs w:val="48"/>
          <w:highlight w:val="none"/>
        </w:rPr>
        <w:t>花果山产业小镇综合配套工程建设项目</w:t>
      </w:r>
    </w:p>
    <w:p w14:paraId="5C2786B4">
      <w:pPr>
        <w:spacing w:line="360" w:lineRule="auto"/>
        <w:jc w:val="center"/>
        <w:rPr>
          <w:sz w:val="32"/>
          <w:highlight w:val="none"/>
        </w:rPr>
      </w:pPr>
      <w:r>
        <w:rPr>
          <w:rFonts w:hint="eastAsia" w:ascii="宋体" w:hAnsi="宋体"/>
          <w:b/>
          <w:sz w:val="44"/>
          <w:szCs w:val="48"/>
          <w:highlight w:val="none"/>
        </w:rPr>
        <w:t>土壤污染修复技术服务</w:t>
      </w:r>
    </w:p>
    <w:p w14:paraId="1268F997">
      <w:pPr>
        <w:spacing w:line="360" w:lineRule="auto"/>
        <w:rPr>
          <w:rFonts w:ascii="宋体"/>
          <w:b/>
          <w:bCs/>
          <w:spacing w:val="40"/>
          <w:sz w:val="44"/>
          <w:szCs w:val="44"/>
          <w:highlight w:val="none"/>
        </w:rPr>
      </w:pPr>
    </w:p>
    <w:p w14:paraId="1D0FC03B">
      <w:pPr>
        <w:spacing w:line="360" w:lineRule="auto"/>
        <w:jc w:val="left"/>
        <w:rPr>
          <w:sz w:val="36"/>
          <w:highlight w:val="none"/>
          <w:u w:val="single"/>
        </w:rPr>
      </w:pPr>
    </w:p>
    <w:p w14:paraId="1EAC408F">
      <w:pPr>
        <w:pStyle w:val="17"/>
        <w:ind w:left="0" w:leftChars="0" w:firstLine="0" w:firstLineChars="0"/>
        <w:rPr>
          <w:rFonts w:eastAsiaTheme="minorEastAsia"/>
          <w:color w:val="auto"/>
          <w:highlight w:val="none"/>
        </w:rPr>
      </w:pPr>
    </w:p>
    <w:p w14:paraId="3CEA0B94">
      <w:pPr>
        <w:pStyle w:val="17"/>
        <w:ind w:left="0" w:leftChars="0" w:firstLine="0" w:firstLineChars="0"/>
        <w:rPr>
          <w:rFonts w:eastAsiaTheme="minorEastAsia"/>
          <w:color w:val="auto"/>
          <w:highlight w:val="none"/>
        </w:rPr>
      </w:pPr>
    </w:p>
    <w:p w14:paraId="6EB7CBD5">
      <w:pPr>
        <w:pStyle w:val="17"/>
        <w:ind w:left="0" w:leftChars="0" w:firstLine="0" w:firstLineChars="0"/>
        <w:rPr>
          <w:rFonts w:eastAsiaTheme="minorEastAsia"/>
          <w:color w:val="auto"/>
          <w:highlight w:val="none"/>
        </w:rPr>
      </w:pPr>
    </w:p>
    <w:p w14:paraId="32179291">
      <w:pPr>
        <w:spacing w:line="360" w:lineRule="auto"/>
        <w:jc w:val="left"/>
        <w:rPr>
          <w:sz w:val="36"/>
          <w:highlight w:val="none"/>
          <w:u w:val="single"/>
        </w:rPr>
      </w:pPr>
    </w:p>
    <w:p w14:paraId="2B528922">
      <w:pPr>
        <w:spacing w:line="360" w:lineRule="auto"/>
        <w:jc w:val="center"/>
        <w:rPr>
          <w:rFonts w:hint="eastAsia" w:ascii="宋体" w:hAnsi="宋体"/>
          <w:b/>
          <w:bCs/>
          <w:spacing w:val="26"/>
          <w:sz w:val="110"/>
          <w:szCs w:val="110"/>
          <w:highlight w:val="none"/>
        </w:rPr>
      </w:pPr>
      <w:r>
        <w:rPr>
          <w:rFonts w:hint="eastAsia" w:ascii="宋体" w:hAnsi="宋体"/>
          <w:b/>
          <w:bCs/>
          <w:spacing w:val="26"/>
          <w:sz w:val="96"/>
          <w:szCs w:val="110"/>
          <w:highlight w:val="none"/>
        </w:rPr>
        <w:t>招标公告</w:t>
      </w:r>
    </w:p>
    <w:p w14:paraId="3E81AD23">
      <w:pPr>
        <w:spacing w:line="360" w:lineRule="auto"/>
        <w:rPr>
          <w:sz w:val="32"/>
          <w:highlight w:val="none"/>
        </w:rPr>
      </w:pPr>
    </w:p>
    <w:p w14:paraId="0216F5BB">
      <w:pPr>
        <w:spacing w:line="360" w:lineRule="auto"/>
        <w:rPr>
          <w:sz w:val="52"/>
          <w:highlight w:val="none"/>
        </w:rPr>
      </w:pPr>
    </w:p>
    <w:p w14:paraId="6EE461A7">
      <w:pPr>
        <w:spacing w:line="360" w:lineRule="auto"/>
        <w:rPr>
          <w:sz w:val="52"/>
          <w:highlight w:val="none"/>
        </w:rPr>
      </w:pPr>
    </w:p>
    <w:p w14:paraId="2CDAC906">
      <w:pPr>
        <w:spacing w:line="360" w:lineRule="auto"/>
        <w:rPr>
          <w:sz w:val="32"/>
          <w:highlight w:val="none"/>
        </w:rPr>
      </w:pPr>
    </w:p>
    <w:p w14:paraId="5097E988">
      <w:pPr>
        <w:pStyle w:val="17"/>
        <w:ind w:left="0" w:leftChars="0" w:firstLine="0" w:firstLineChars="0"/>
        <w:rPr>
          <w:rFonts w:eastAsiaTheme="minorEastAsia"/>
          <w:color w:val="auto"/>
          <w:highlight w:val="none"/>
        </w:rPr>
      </w:pPr>
    </w:p>
    <w:p w14:paraId="14C216B4">
      <w:pPr>
        <w:spacing w:line="480" w:lineRule="auto"/>
        <w:jc w:val="center"/>
        <w:rPr>
          <w:rFonts w:hint="eastAsia" w:ascii="宋体" w:hAnsi="宋体" w:cs="宋体"/>
          <w:sz w:val="32"/>
          <w:szCs w:val="32"/>
          <w:highlight w:val="none"/>
        </w:rPr>
      </w:pPr>
      <w:r>
        <w:rPr>
          <w:rFonts w:hint="eastAsia" w:ascii="宋体" w:hAnsi="宋体" w:cs="宋体"/>
          <w:sz w:val="32"/>
          <w:szCs w:val="32"/>
          <w:highlight w:val="none"/>
        </w:rPr>
        <w:t>招标单位：广州市越秀区代建项目管理中心</w:t>
      </w:r>
    </w:p>
    <w:p w14:paraId="44F09DA8">
      <w:pPr>
        <w:spacing w:line="480" w:lineRule="auto"/>
        <w:ind w:firstLine="1600" w:firstLineChars="500"/>
        <w:rPr>
          <w:rFonts w:hint="eastAsia" w:ascii="宋体" w:hAnsi="宋体" w:cs="宋体"/>
          <w:sz w:val="32"/>
          <w:szCs w:val="32"/>
          <w:highlight w:val="none"/>
        </w:rPr>
      </w:pPr>
      <w:r>
        <w:rPr>
          <w:rFonts w:hint="eastAsia" w:ascii="宋体" w:hAnsi="宋体" w:cs="宋体"/>
          <w:sz w:val="32"/>
          <w:szCs w:val="32"/>
          <w:highlight w:val="none"/>
        </w:rPr>
        <w:t>招标代理机构：广州珠江监理咨询集团有限公司</w:t>
      </w:r>
    </w:p>
    <w:p w14:paraId="0E491873">
      <w:pPr>
        <w:spacing w:line="360" w:lineRule="auto"/>
        <w:ind w:firstLine="2560" w:firstLineChars="800"/>
        <w:rPr>
          <w:sz w:val="32"/>
          <w:highlight w:val="none"/>
        </w:rPr>
      </w:pPr>
      <w:r>
        <w:rPr>
          <w:rFonts w:hint="eastAsia" w:ascii="宋体" w:hAnsi="宋体" w:cs="宋体"/>
          <w:sz w:val="32"/>
          <w:szCs w:val="32"/>
          <w:highlight w:val="none"/>
        </w:rPr>
        <w:t>日期：</w:t>
      </w:r>
      <w:r>
        <w:rPr>
          <w:rFonts w:ascii="宋体" w:hAnsi="宋体" w:cs="宋体"/>
          <w:sz w:val="32"/>
          <w:highlight w:val="none"/>
          <w:u w:val="single"/>
        </w:rPr>
        <w:t>202</w:t>
      </w:r>
      <w:r>
        <w:rPr>
          <w:rFonts w:hint="eastAsia" w:ascii="宋体" w:hAnsi="宋体" w:cs="宋体"/>
          <w:sz w:val="32"/>
          <w:highlight w:val="none"/>
          <w:u w:val="single"/>
        </w:rPr>
        <w:t>5</w:t>
      </w:r>
      <w:r>
        <w:rPr>
          <w:rFonts w:hint="eastAsia" w:ascii="宋体" w:hAnsi="宋体" w:cs="宋体"/>
          <w:sz w:val="32"/>
          <w:highlight w:val="none"/>
        </w:rPr>
        <w:t>年</w:t>
      </w:r>
      <w:r>
        <w:rPr>
          <w:rFonts w:hint="eastAsia" w:ascii="宋体" w:hAnsi="宋体" w:cs="宋体"/>
          <w:sz w:val="32"/>
          <w:highlight w:val="none"/>
          <w:u w:val="single"/>
          <w:lang w:val="en-US" w:eastAsia="zh-CN"/>
        </w:rPr>
        <w:t>8</w:t>
      </w:r>
      <w:r>
        <w:rPr>
          <w:rFonts w:hint="eastAsia" w:ascii="宋体" w:hAnsi="宋体" w:cs="宋体"/>
          <w:sz w:val="32"/>
          <w:highlight w:val="none"/>
        </w:rPr>
        <w:t>月</w:t>
      </w:r>
    </w:p>
    <w:p w14:paraId="2207C168">
      <w:pPr>
        <w:adjustRightInd w:val="0"/>
        <w:snapToGrid w:val="0"/>
        <w:spacing w:line="360" w:lineRule="auto"/>
        <w:jc w:val="center"/>
        <w:rPr>
          <w:rFonts w:ascii="Times New Roman" w:hAnsi="Times New Roman"/>
          <w:b/>
          <w:sz w:val="36"/>
          <w:szCs w:val="32"/>
          <w:highlight w:val="none"/>
        </w:rPr>
      </w:pPr>
      <w:r>
        <w:rPr>
          <w:rFonts w:ascii="Times New Roman" w:hAnsi="Times New Roman"/>
          <w:b/>
          <w:sz w:val="36"/>
          <w:szCs w:val="32"/>
          <w:highlight w:val="none"/>
        </w:rPr>
        <w:br w:type="page"/>
      </w:r>
      <w:r>
        <w:rPr>
          <w:rFonts w:hint="eastAsia" w:ascii="宋体" w:hAnsi="宋体" w:cs="宋体"/>
          <w:b/>
          <w:bCs/>
          <w:sz w:val="32"/>
          <w:szCs w:val="36"/>
          <w:highlight w:val="none"/>
        </w:rPr>
        <w:t>花果山产业小镇综合配套工程建设项目</w:t>
      </w:r>
    </w:p>
    <w:p w14:paraId="299019D5">
      <w:pPr>
        <w:adjustRightInd w:val="0"/>
        <w:snapToGrid w:val="0"/>
        <w:spacing w:line="360" w:lineRule="auto"/>
        <w:jc w:val="center"/>
        <w:rPr>
          <w:rFonts w:hint="eastAsia" w:ascii="宋体" w:hAnsi="宋体" w:cs="宋体"/>
          <w:b/>
          <w:bCs/>
          <w:sz w:val="36"/>
          <w:szCs w:val="36"/>
          <w:highlight w:val="none"/>
        </w:rPr>
      </w:pPr>
      <w:r>
        <w:rPr>
          <w:rFonts w:hint="eastAsia" w:ascii="宋体" w:hAnsi="宋体" w:cs="宋体"/>
          <w:b/>
          <w:bCs/>
          <w:sz w:val="32"/>
          <w:szCs w:val="36"/>
          <w:highlight w:val="none"/>
        </w:rPr>
        <w:t>土壤污染修复技术服务招标公告</w:t>
      </w:r>
    </w:p>
    <w:p w14:paraId="47608480">
      <w:pPr>
        <w:widowControl/>
        <w:tabs>
          <w:tab w:val="left" w:pos="0"/>
        </w:tabs>
        <w:adjustRightInd w:val="0"/>
        <w:snapToGrid w:val="0"/>
        <w:spacing w:line="360" w:lineRule="auto"/>
        <w:ind w:left="482"/>
        <w:rPr>
          <w:rFonts w:hint="eastAsia" w:ascii="宋体" w:hAnsi="宋体" w:cs="宋体"/>
          <w:b/>
          <w:bCs/>
          <w:sz w:val="24"/>
          <w:szCs w:val="24"/>
          <w:highlight w:val="none"/>
        </w:rPr>
      </w:pPr>
      <w:r>
        <w:rPr>
          <w:rFonts w:hint="eastAsia" w:ascii="宋体" w:hAnsi="宋体" w:cs="宋体"/>
          <w:b/>
          <w:bCs/>
          <w:sz w:val="24"/>
          <w:szCs w:val="24"/>
          <w:highlight w:val="none"/>
        </w:rPr>
        <w:t>1</w:t>
      </w:r>
      <w:r>
        <w:rPr>
          <w:rFonts w:ascii="宋体" w:hAnsi="宋体" w:cs="宋体"/>
          <w:b/>
          <w:bCs/>
          <w:sz w:val="24"/>
          <w:szCs w:val="24"/>
          <w:highlight w:val="none"/>
        </w:rPr>
        <w:t>.</w:t>
      </w:r>
      <w:r>
        <w:rPr>
          <w:rFonts w:hint="eastAsia" w:ascii="宋体" w:hAnsi="宋体" w:cs="宋体"/>
          <w:b/>
          <w:bCs/>
          <w:sz w:val="24"/>
          <w:szCs w:val="24"/>
          <w:highlight w:val="none"/>
        </w:rPr>
        <w:t>招标条件</w:t>
      </w:r>
    </w:p>
    <w:p w14:paraId="06FCD903">
      <w:pPr>
        <w:shd w:val="clear" w:color="auto" w:fill="FFFFFF"/>
        <w:adjustRightInd w:val="0"/>
        <w:snapToGrid w:val="0"/>
        <w:spacing w:line="360" w:lineRule="auto"/>
        <w:ind w:firstLine="480" w:firstLineChars="200"/>
        <w:rPr>
          <w:rFonts w:hint="eastAsia" w:ascii="宋体" w:hAnsi="宋体" w:cs="宋体"/>
          <w:kern w:val="0"/>
          <w:sz w:val="24"/>
          <w:szCs w:val="24"/>
          <w:highlight w:val="none"/>
          <w:u w:val="single"/>
          <w:shd w:val="clear" w:color="auto" w:fill="FFFFFF"/>
        </w:rPr>
      </w:pPr>
      <w:r>
        <w:rPr>
          <w:rFonts w:hint="eastAsia" w:ascii="宋体" w:hAnsi="宋体"/>
          <w:color w:val="000000"/>
          <w:sz w:val="24"/>
          <w:szCs w:val="24"/>
          <w:highlight w:val="none"/>
        </w:rPr>
        <w:t>本招标项目</w:t>
      </w:r>
      <w:r>
        <w:rPr>
          <w:rFonts w:hint="eastAsia" w:ascii="宋体" w:hAnsi="宋体"/>
          <w:sz w:val="24"/>
          <w:highlight w:val="none"/>
          <w:u w:val="single"/>
        </w:rPr>
        <w:t>花果山产业小镇综合配套工程建设项目</w:t>
      </w:r>
      <w:r>
        <w:rPr>
          <w:rFonts w:hint="eastAsia" w:ascii="宋体" w:hAnsi="宋体"/>
          <w:color w:val="000000"/>
          <w:sz w:val="24"/>
          <w:szCs w:val="24"/>
          <w:highlight w:val="none"/>
        </w:rPr>
        <w:t>已根据</w:t>
      </w:r>
      <w:r>
        <w:rPr>
          <w:rFonts w:hint="eastAsia" w:ascii="宋体" w:hAnsi="宋体"/>
          <w:sz w:val="24"/>
          <w:highlight w:val="none"/>
          <w:u w:val="single"/>
        </w:rPr>
        <w:t>《广州市越秀区发展和改革局关于调整花果山超高清视频产业特色小镇整体改造提升工程可行性研究报告的复函》（穗越发改投批〔2021〕18号）</w:t>
      </w:r>
      <w:r>
        <w:rPr>
          <w:rFonts w:hint="eastAsia" w:ascii="宋体" w:hAnsi="宋体"/>
          <w:color w:val="000000"/>
          <w:sz w:val="24"/>
          <w:szCs w:val="24"/>
          <w:highlight w:val="none"/>
        </w:rPr>
        <w:t>批准建设，</w:t>
      </w:r>
      <w:r>
        <w:rPr>
          <w:rFonts w:ascii="宋体" w:hAnsi="宋体"/>
          <w:sz w:val="24"/>
          <w:highlight w:val="none"/>
        </w:rPr>
        <w:t>项目业主为</w:t>
      </w:r>
      <w:r>
        <w:rPr>
          <w:rFonts w:hint="eastAsia" w:ascii="宋体" w:hAnsi="宋体"/>
          <w:sz w:val="24"/>
          <w:highlight w:val="none"/>
          <w:u w:val="single"/>
        </w:rPr>
        <w:t>黄花岗科技园管委会</w:t>
      </w:r>
      <w:r>
        <w:rPr>
          <w:rFonts w:ascii="宋体" w:hAnsi="宋体"/>
          <w:sz w:val="24"/>
          <w:highlight w:val="none"/>
        </w:rPr>
        <w:t>，</w:t>
      </w:r>
      <w:r>
        <w:rPr>
          <w:rFonts w:ascii="宋体" w:hAnsi="宋体"/>
          <w:color w:val="000000"/>
          <w:sz w:val="24"/>
          <w:highlight w:val="none"/>
        </w:rPr>
        <w:t>项目</w:t>
      </w:r>
      <w:r>
        <w:rPr>
          <w:rFonts w:hint="eastAsia" w:ascii="宋体" w:hAnsi="宋体"/>
          <w:color w:val="000000"/>
          <w:sz w:val="24"/>
          <w:highlight w:val="none"/>
        </w:rPr>
        <w:t>组织实施单位</w:t>
      </w:r>
      <w:r>
        <w:rPr>
          <w:rFonts w:ascii="宋体" w:hAnsi="宋体"/>
          <w:color w:val="000000"/>
          <w:sz w:val="24"/>
          <w:highlight w:val="none"/>
        </w:rPr>
        <w:t>为</w:t>
      </w:r>
      <w:r>
        <w:rPr>
          <w:rFonts w:hint="eastAsia" w:ascii="宋体" w:hAnsi="宋体"/>
          <w:color w:val="000000"/>
          <w:sz w:val="24"/>
          <w:highlight w:val="none"/>
          <w:u w:val="single"/>
        </w:rPr>
        <w:t>广州市越秀区代建项目管理中心</w:t>
      </w:r>
      <w:r>
        <w:rPr>
          <w:rFonts w:ascii="宋体" w:hAnsi="宋体"/>
          <w:color w:val="000000"/>
          <w:sz w:val="24"/>
          <w:highlight w:val="none"/>
        </w:rPr>
        <w:t>，</w:t>
      </w:r>
      <w:r>
        <w:rPr>
          <w:rFonts w:hint="eastAsia" w:ascii="宋体" w:hAnsi="宋体"/>
          <w:color w:val="000000"/>
          <w:sz w:val="24"/>
          <w:szCs w:val="24"/>
          <w:highlight w:val="none"/>
        </w:rPr>
        <w:t>建设资金来自</w:t>
      </w:r>
      <w:bookmarkStart w:id="0" w:name="_Hlk80179351"/>
      <w:r>
        <w:rPr>
          <w:rFonts w:hint="eastAsia" w:ascii="宋体" w:hAnsi="宋体"/>
          <w:color w:val="000000"/>
          <w:sz w:val="24"/>
          <w:szCs w:val="24"/>
          <w:highlight w:val="none"/>
          <w:u w:val="single"/>
        </w:rPr>
        <w:t>区财政资金</w:t>
      </w:r>
      <w:r>
        <w:rPr>
          <w:rFonts w:hint="eastAsia" w:ascii="宋体" w:hAnsi="宋体"/>
          <w:color w:val="000000"/>
          <w:sz w:val="24"/>
          <w:szCs w:val="24"/>
          <w:highlight w:val="none"/>
        </w:rPr>
        <w:t>，项目出资比例为</w:t>
      </w:r>
      <w:r>
        <w:rPr>
          <w:rFonts w:hint="eastAsia" w:ascii="宋体" w:hAnsi="宋体"/>
          <w:sz w:val="24"/>
          <w:szCs w:val="24"/>
          <w:highlight w:val="none"/>
          <w:u w:val="single"/>
        </w:rPr>
        <w:t>100%</w:t>
      </w:r>
      <w:r>
        <w:rPr>
          <w:rFonts w:hint="eastAsia" w:ascii="宋体" w:hAnsi="宋体"/>
          <w:color w:val="000000"/>
          <w:sz w:val="24"/>
          <w:szCs w:val="24"/>
          <w:highlight w:val="none"/>
        </w:rPr>
        <w:t>，</w:t>
      </w:r>
      <w:bookmarkEnd w:id="0"/>
      <w:r>
        <w:rPr>
          <w:rFonts w:hint="eastAsia" w:ascii="宋体" w:hAnsi="宋体"/>
          <w:color w:val="000000"/>
          <w:sz w:val="24"/>
          <w:szCs w:val="24"/>
          <w:highlight w:val="none"/>
        </w:rPr>
        <w:t>招标人为</w:t>
      </w:r>
      <w:r>
        <w:rPr>
          <w:rFonts w:hint="eastAsia" w:ascii="宋体" w:hAnsi="宋体"/>
          <w:color w:val="000000"/>
          <w:sz w:val="24"/>
          <w:highlight w:val="none"/>
          <w:u w:val="single"/>
        </w:rPr>
        <w:t>广州市越秀区代建项目管理中心</w:t>
      </w:r>
      <w:r>
        <w:rPr>
          <w:rFonts w:hint="eastAsia" w:ascii="宋体" w:hAnsi="宋体"/>
          <w:color w:val="000000"/>
          <w:sz w:val="24"/>
          <w:szCs w:val="24"/>
          <w:highlight w:val="none"/>
        </w:rPr>
        <w:t>。</w:t>
      </w:r>
      <w:r>
        <w:rPr>
          <w:rFonts w:hint="eastAsia" w:ascii="宋体" w:hAnsi="宋体" w:cs="宋体"/>
          <w:sz w:val="24"/>
          <w:szCs w:val="24"/>
          <w:highlight w:val="none"/>
          <w:shd w:val="clear" w:color="auto" w:fill="FFFFFF"/>
        </w:rPr>
        <w:t>项目已具备招标条件，现对该项目的</w:t>
      </w:r>
      <w:r>
        <w:rPr>
          <w:rFonts w:hint="eastAsia" w:ascii="宋体" w:hAnsi="宋体" w:cs="宋体"/>
          <w:sz w:val="24"/>
          <w:szCs w:val="24"/>
          <w:highlight w:val="none"/>
          <w:u w:val="single"/>
          <w:shd w:val="clear" w:color="auto" w:fill="FFFFFF"/>
        </w:rPr>
        <w:t>土壤污染修复技术服务</w:t>
      </w:r>
      <w:r>
        <w:rPr>
          <w:rFonts w:hint="eastAsia" w:ascii="宋体" w:hAnsi="宋体" w:cs="宋体"/>
          <w:bCs/>
          <w:sz w:val="24"/>
          <w:szCs w:val="24"/>
          <w:highlight w:val="none"/>
          <w:shd w:val="clear" w:color="auto" w:fill="FFFFFF"/>
        </w:rPr>
        <w:t>进行</w:t>
      </w:r>
      <w:r>
        <w:rPr>
          <w:rFonts w:hint="eastAsia" w:ascii="宋体" w:hAnsi="宋体" w:cs="宋体"/>
          <w:sz w:val="24"/>
          <w:szCs w:val="24"/>
          <w:highlight w:val="none"/>
          <w:shd w:val="clear" w:color="auto" w:fill="FFFFFF"/>
        </w:rPr>
        <w:t>公开招标。</w:t>
      </w:r>
    </w:p>
    <w:p w14:paraId="0D5541E6">
      <w:pPr>
        <w:widowControl/>
        <w:tabs>
          <w:tab w:val="left" w:pos="0"/>
        </w:tabs>
        <w:adjustRightInd w:val="0"/>
        <w:snapToGrid w:val="0"/>
        <w:spacing w:line="360" w:lineRule="auto"/>
        <w:ind w:left="482"/>
        <w:rPr>
          <w:rFonts w:hint="eastAsia" w:ascii="宋体" w:hAnsi="宋体" w:cs="宋体"/>
          <w:b/>
          <w:bCs/>
          <w:sz w:val="24"/>
          <w:szCs w:val="24"/>
          <w:highlight w:val="none"/>
        </w:rPr>
      </w:pPr>
      <w:r>
        <w:rPr>
          <w:rFonts w:hint="eastAsia" w:ascii="宋体" w:hAnsi="宋体" w:cs="宋体"/>
          <w:b/>
          <w:bCs/>
          <w:sz w:val="24"/>
          <w:szCs w:val="24"/>
          <w:highlight w:val="none"/>
        </w:rPr>
        <w:t>2</w:t>
      </w:r>
      <w:r>
        <w:rPr>
          <w:rFonts w:ascii="宋体" w:hAnsi="宋体" w:cs="宋体"/>
          <w:b/>
          <w:bCs/>
          <w:sz w:val="24"/>
          <w:szCs w:val="24"/>
          <w:highlight w:val="none"/>
        </w:rPr>
        <w:t>.</w:t>
      </w:r>
      <w:r>
        <w:rPr>
          <w:rFonts w:hint="eastAsia" w:ascii="宋体" w:hAnsi="宋体" w:cs="宋体"/>
          <w:b/>
          <w:bCs/>
          <w:sz w:val="24"/>
          <w:szCs w:val="24"/>
          <w:highlight w:val="none"/>
        </w:rPr>
        <w:t>项目概况与招标范围</w:t>
      </w:r>
    </w:p>
    <w:p w14:paraId="6AD9C25D">
      <w:pPr>
        <w:adjustRightInd w:val="0"/>
        <w:snapToGrid w:val="0"/>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 xml:space="preserve">2.1 </w:t>
      </w:r>
      <w:r>
        <w:rPr>
          <w:rFonts w:hint="eastAsia" w:ascii="宋体" w:hAnsi="宋体" w:cs="宋体"/>
          <w:b/>
          <w:bCs/>
          <w:sz w:val="24"/>
          <w:szCs w:val="24"/>
          <w:highlight w:val="none"/>
        </w:rPr>
        <w:t>招标项目概况</w:t>
      </w:r>
    </w:p>
    <w:p w14:paraId="2F39899B">
      <w:pPr>
        <w:adjustRightInd w:val="0"/>
        <w:snapToGrid w:val="0"/>
        <w:spacing w:line="360" w:lineRule="auto"/>
        <w:ind w:firstLine="480" w:firstLineChars="200"/>
        <w:rPr>
          <w:rFonts w:hint="eastAsia" w:ascii="宋体" w:hAnsi="宋体" w:cs="宋体"/>
          <w:bCs/>
          <w:sz w:val="24"/>
          <w:szCs w:val="24"/>
          <w:highlight w:val="none"/>
          <w:u w:val="single"/>
        </w:rPr>
      </w:pPr>
      <w:r>
        <w:rPr>
          <w:rFonts w:ascii="宋体" w:hAnsi="宋体" w:cs="宋体"/>
          <w:bCs/>
          <w:sz w:val="24"/>
          <w:szCs w:val="24"/>
          <w:highlight w:val="none"/>
        </w:rPr>
        <w:t>2.1.1</w:t>
      </w:r>
      <w:r>
        <w:rPr>
          <w:rFonts w:hint="eastAsia" w:ascii="宋体" w:hAnsi="宋体" w:cs="宋体"/>
          <w:bCs/>
          <w:sz w:val="24"/>
          <w:szCs w:val="24"/>
          <w:highlight w:val="none"/>
        </w:rPr>
        <w:t>招标项目名称：</w:t>
      </w:r>
      <w:r>
        <w:rPr>
          <w:rFonts w:hint="eastAsia" w:ascii="宋体" w:hAnsi="宋体"/>
          <w:sz w:val="24"/>
          <w:highlight w:val="none"/>
          <w:u w:val="single"/>
        </w:rPr>
        <w:t>花果山产业小镇综合配套工程建设项目</w:t>
      </w:r>
      <w:r>
        <w:rPr>
          <w:rFonts w:hint="eastAsia" w:ascii="宋体" w:hAnsi="宋体" w:cs="宋体"/>
          <w:bCs/>
          <w:sz w:val="24"/>
          <w:szCs w:val="24"/>
          <w:highlight w:val="none"/>
          <w:u w:val="single"/>
        </w:rPr>
        <w:t>土壤污染修复技术服务</w:t>
      </w:r>
    </w:p>
    <w:p w14:paraId="2B56B058">
      <w:pPr>
        <w:adjustRightInd w:val="0"/>
        <w:snapToGrid w:val="0"/>
        <w:spacing w:line="360" w:lineRule="auto"/>
        <w:ind w:firstLine="480" w:firstLineChars="200"/>
        <w:rPr>
          <w:rFonts w:hint="eastAsia" w:ascii="宋体" w:hAnsi="宋体" w:cs="宋体"/>
          <w:bCs/>
          <w:sz w:val="24"/>
          <w:szCs w:val="24"/>
          <w:highlight w:val="none"/>
          <w:u w:val="single"/>
        </w:rPr>
      </w:pPr>
      <w:r>
        <w:rPr>
          <w:rFonts w:ascii="宋体" w:hAnsi="宋体" w:cs="宋体"/>
          <w:bCs/>
          <w:sz w:val="24"/>
          <w:szCs w:val="24"/>
          <w:highlight w:val="none"/>
        </w:rPr>
        <w:t>2.1.2</w:t>
      </w:r>
      <w:r>
        <w:rPr>
          <w:rFonts w:hint="eastAsia" w:ascii="宋体" w:hAnsi="宋体" w:cs="宋体"/>
          <w:bCs/>
          <w:sz w:val="24"/>
          <w:szCs w:val="24"/>
          <w:highlight w:val="none"/>
        </w:rPr>
        <w:t>项目基本情况：</w:t>
      </w:r>
      <w:r>
        <w:rPr>
          <w:rFonts w:hint="eastAsia" w:ascii="宋体" w:hAnsi="宋体" w:cs="宋体"/>
          <w:bCs/>
          <w:sz w:val="24"/>
          <w:szCs w:val="24"/>
          <w:highlight w:val="none"/>
          <w:u w:val="single"/>
        </w:rPr>
        <w:t>花果山产业小镇综合配套工程建设项目地块位于广州市越秀区西胜街北侧、广州青少年科技馆西侧、广州电视台东侧，调查地块（地块一行政办公用地与地块三文化设施用地）占地面积为11158.67平方米。本项目地块土壤污染风险评估是基于地块调查超筛的土壤砷作为关注污染物以及第二类用地的情景下相应污染物的健康风险进行了相应分析与评估，调查地块内风险管控/修复最大深度：阶梯一为0~19米、阶梯二为0~22米，风险管控/修复的最大投影面积为9461.26平方米，风险管控/修复的土方量约为69326.59立方米，疑似污染土方量约为6528.07立方米。其中计划风险管控土方量约10139.80立方米，修复土方量59186.79立方米，支护措施产生土方暂估6919.30立方米（最终以修复实施方案备案为准）。</w:t>
      </w:r>
    </w:p>
    <w:p w14:paraId="08DFC816">
      <w:pPr>
        <w:adjustRightInd w:val="0"/>
        <w:snapToGrid w:val="0"/>
        <w:spacing w:line="360" w:lineRule="auto"/>
        <w:ind w:firstLine="480" w:firstLineChars="200"/>
        <w:rPr>
          <w:rFonts w:hint="eastAsia" w:ascii="宋体" w:hAnsi="宋体" w:cs="宋体"/>
          <w:bCs/>
          <w:sz w:val="24"/>
          <w:szCs w:val="24"/>
          <w:highlight w:val="none"/>
          <w:u w:val="single"/>
        </w:rPr>
      </w:pPr>
      <w:r>
        <w:rPr>
          <w:rFonts w:ascii="宋体" w:hAnsi="宋体" w:cs="宋体"/>
          <w:bCs/>
          <w:sz w:val="24"/>
          <w:szCs w:val="24"/>
          <w:highlight w:val="none"/>
        </w:rPr>
        <w:t>2.1.3</w:t>
      </w:r>
      <w:r>
        <w:rPr>
          <w:rFonts w:hint="eastAsia" w:ascii="宋体" w:hAnsi="宋体" w:cs="宋体"/>
          <w:bCs/>
          <w:sz w:val="24"/>
          <w:szCs w:val="24"/>
          <w:highlight w:val="none"/>
        </w:rPr>
        <w:t>项目地点：</w:t>
      </w:r>
      <w:r>
        <w:rPr>
          <w:rFonts w:hint="eastAsia" w:ascii="宋体" w:hAnsi="宋体" w:cs="宋体"/>
          <w:bCs/>
          <w:sz w:val="24"/>
          <w:szCs w:val="24"/>
          <w:highlight w:val="none"/>
          <w:u w:val="single"/>
        </w:rPr>
        <w:t>广州市越秀区西胜街以北、广州市广播电视台以东、广州青少年科技馆以西地块。</w:t>
      </w:r>
    </w:p>
    <w:p w14:paraId="44BBB3F0">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2.1.4资金来源：</w:t>
      </w:r>
      <w:r>
        <w:rPr>
          <w:rFonts w:hint="eastAsia" w:ascii="宋体" w:hAnsi="宋体" w:cs="宋体"/>
          <w:sz w:val="24"/>
          <w:szCs w:val="24"/>
          <w:highlight w:val="none"/>
          <w:u w:val="single"/>
        </w:rPr>
        <w:t>区财政资金</w:t>
      </w:r>
      <w:r>
        <w:rPr>
          <w:rFonts w:hint="eastAsia" w:ascii="宋体" w:hAnsi="宋体" w:cs="宋体"/>
          <w:sz w:val="24"/>
          <w:szCs w:val="24"/>
          <w:highlight w:val="none"/>
        </w:rPr>
        <w:t>。</w:t>
      </w:r>
    </w:p>
    <w:p w14:paraId="5963CBEC">
      <w:pPr>
        <w:adjustRightInd w:val="0"/>
        <w:snapToGrid w:val="0"/>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2.2</w:t>
      </w:r>
      <w:r>
        <w:rPr>
          <w:rFonts w:hint="eastAsia" w:ascii="宋体" w:hAnsi="宋体" w:cs="宋体"/>
          <w:b/>
          <w:bCs/>
          <w:sz w:val="24"/>
          <w:szCs w:val="24"/>
          <w:highlight w:val="none"/>
        </w:rPr>
        <w:t>招标范围、招标内容及标段划分</w:t>
      </w:r>
    </w:p>
    <w:p w14:paraId="279D804E">
      <w:pPr>
        <w:adjustRightInd w:val="0"/>
        <w:snapToGrid w:val="0"/>
        <w:spacing w:line="360" w:lineRule="auto"/>
        <w:ind w:firstLine="480" w:firstLineChars="200"/>
        <w:rPr>
          <w:rFonts w:hint="eastAsia" w:ascii="宋体" w:hAnsi="宋体" w:cs="宋体"/>
          <w:sz w:val="24"/>
          <w:szCs w:val="24"/>
          <w:highlight w:val="none"/>
          <w:u w:val="single"/>
        </w:rPr>
      </w:pPr>
      <w:r>
        <w:rPr>
          <w:rFonts w:ascii="宋体" w:hAnsi="宋体" w:cs="宋体"/>
          <w:bCs/>
          <w:sz w:val="24"/>
          <w:szCs w:val="24"/>
          <w:highlight w:val="none"/>
        </w:rPr>
        <w:t>2.2.1</w:t>
      </w:r>
      <w:r>
        <w:rPr>
          <w:rFonts w:hint="eastAsia" w:ascii="宋体" w:hAnsi="宋体" w:cs="宋体"/>
          <w:bCs/>
          <w:sz w:val="24"/>
          <w:szCs w:val="24"/>
          <w:highlight w:val="none"/>
        </w:rPr>
        <w:t>标段划分：</w:t>
      </w:r>
      <w:r>
        <w:rPr>
          <w:rFonts w:hint="eastAsia" w:ascii="宋体" w:hAnsi="宋体" w:cs="宋体"/>
          <w:sz w:val="24"/>
          <w:szCs w:val="24"/>
          <w:highlight w:val="none"/>
          <w:u w:val="single"/>
        </w:rPr>
        <w:t>本项目设</w:t>
      </w:r>
      <w:r>
        <w:rPr>
          <w:rFonts w:ascii="宋体" w:hAnsi="宋体" w:cs="宋体"/>
          <w:sz w:val="24"/>
          <w:szCs w:val="24"/>
          <w:highlight w:val="none"/>
          <w:u w:val="single"/>
        </w:rPr>
        <w:t>1</w:t>
      </w:r>
      <w:r>
        <w:rPr>
          <w:rFonts w:hint="eastAsia" w:ascii="宋体" w:hAnsi="宋体" w:cs="宋体"/>
          <w:sz w:val="24"/>
          <w:szCs w:val="24"/>
          <w:highlight w:val="none"/>
          <w:u w:val="single"/>
        </w:rPr>
        <w:t>个标段</w:t>
      </w:r>
    </w:p>
    <w:p w14:paraId="433D222B">
      <w:pPr>
        <w:adjustRightInd w:val="0"/>
        <w:snapToGrid w:val="0"/>
        <w:spacing w:line="360" w:lineRule="auto"/>
        <w:ind w:firstLine="480" w:firstLineChars="200"/>
        <w:rPr>
          <w:rFonts w:hint="eastAsia" w:ascii="宋体" w:hAnsi="宋体"/>
          <w:sz w:val="24"/>
          <w:szCs w:val="24"/>
          <w:highlight w:val="none"/>
        </w:rPr>
      </w:pPr>
      <w:r>
        <w:rPr>
          <w:rFonts w:ascii="宋体" w:hAnsi="宋体" w:cs="宋体"/>
          <w:bCs/>
          <w:sz w:val="24"/>
          <w:szCs w:val="24"/>
          <w:highlight w:val="none"/>
        </w:rPr>
        <w:t>2.2.2</w:t>
      </w:r>
      <w:bookmarkStart w:id="1" w:name="_Hlk35422418"/>
      <w:r>
        <w:rPr>
          <w:rFonts w:hint="eastAsia" w:ascii="宋体" w:hAnsi="宋体" w:cs="宋体"/>
          <w:bCs/>
          <w:sz w:val="24"/>
          <w:szCs w:val="24"/>
          <w:highlight w:val="none"/>
        </w:rPr>
        <w:t>招标范围</w:t>
      </w:r>
      <w:bookmarkEnd w:id="1"/>
      <w:r>
        <w:rPr>
          <w:rFonts w:hint="eastAsia" w:ascii="宋体" w:hAnsi="宋体" w:cs="宋体"/>
          <w:bCs/>
          <w:sz w:val="24"/>
          <w:szCs w:val="24"/>
          <w:highlight w:val="none"/>
        </w:rPr>
        <w:t>（包括但不限于以下内容）：</w:t>
      </w:r>
      <w:bookmarkStart w:id="2" w:name="_Hlk35422434"/>
      <w:r>
        <w:rPr>
          <w:rFonts w:hint="eastAsia" w:ascii="宋体" w:hAnsi="宋体" w:cs="宋体"/>
          <w:bCs/>
          <w:sz w:val="24"/>
          <w:szCs w:val="24"/>
          <w:highlight w:val="none"/>
        </w:rPr>
        <w:t>负责修复范围内污染土壤及经确认为污染土的疑似污染土的处理工作（需根据《修复技术方案》调整）、外运运输至处置中心并处理，负责项目地块范围内的二次污染防治，负责根据经区、市主管部门备案的《修复实施方案》对地块风险管控区域进行管控措施工作，完成项目的污染土壤危险特性鉴别、地下水迁移模型分析、重金属污染因子迁移活性分析、修复管控模式可行性研究报告、风险评估变更（如需）、修复实施方案（含变更）、修复工程总结报告服务，自检，配合工程监理、环境监理、第三方检测单位的工作，与总包单位交叉施工中的协调工作，并与其配合完成项目各项报批、评审、验收和移出污染地块名录等相关工作。</w:t>
      </w:r>
    </w:p>
    <w:bookmarkEnd w:id="2"/>
    <w:p w14:paraId="1924096E">
      <w:pPr>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ascii="宋体" w:hAnsi="宋体" w:cs="宋体"/>
          <w:sz w:val="24"/>
          <w:szCs w:val="24"/>
          <w:highlight w:val="none"/>
          <w:shd w:val="clear" w:color="auto" w:fill="FFFFFF"/>
        </w:rPr>
        <w:t>2.2.</w:t>
      </w:r>
      <w:r>
        <w:rPr>
          <w:rFonts w:hint="eastAsia" w:ascii="宋体" w:hAnsi="宋体" w:cs="宋体"/>
          <w:sz w:val="24"/>
          <w:szCs w:val="24"/>
          <w:highlight w:val="none"/>
          <w:shd w:val="clear" w:color="auto" w:fill="FFFFFF"/>
        </w:rPr>
        <w:t>3招标内容：</w:t>
      </w:r>
    </w:p>
    <w:p w14:paraId="4D5011BC">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投标人须按国家、广东省、广州市现行有关标准、规范、规程和招标人的相关要求，完成污染土壤修复及相关方案、报告编制工作，配合完成项目的评审、验收和移出污染地块名录等工作。具体工作内容包括但不限于：</w:t>
      </w:r>
    </w:p>
    <w:p w14:paraId="5A008CEE">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1）根据经评审、论证并通过生态环境主管部门备案的场地土壤污染治理与修复实施方案和修复项目施工进度，有序开展土壤修复工作及其相关的临建设施建设和二次污染防治，确保在治理中不污染临近地块。为满足合同工期要求，土壤修复工程中的一切增加措施的费用均已包含在措施费中，不另作增加。</w:t>
      </w:r>
    </w:p>
    <w:p w14:paraId="2B96BF69">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（2）接受并配合有资质的第三方检测机构对污染治理与修复工作质量和效果（含二次污染防治项目）进行全过程检测及监测。</w:t>
      </w:r>
    </w:p>
    <w:p w14:paraId="76729E30">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3）接受并配合招标人委托的环境监理单位、验收评估单位，开展各项监督、检查、监测、检测等工作。对不符合要求的工作内容和项目，必须无条件返工，确保符合质量、安全要求及治理达标，并自行承担一切费用。</w:t>
      </w:r>
    </w:p>
    <w:p w14:paraId="3E6FF027">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4）根据经评审、论证并通过生态环境主管部门备案的场地土壤污染治理与修复实施方案和修复项目施工进度，负责污染土壤外运处置报备、外运装车、车辆清洗、运输（含地磅系统相关工作）和污染土壤外运至异地集中处置。</w:t>
      </w:r>
    </w:p>
    <w:p w14:paraId="100FBE2C">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（5）修复工程总结报告编制服务：按规范及要求编制地块《修复工程总结报告》，配合开展评审验收相关工作。</w:t>
      </w:r>
    </w:p>
    <w:p w14:paraId="6FF4A392">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（6）配合完成项目各项相关报告编制、报批、评审、验收和移出污染地块名录等工作。</w:t>
      </w:r>
    </w:p>
    <w:p w14:paraId="021A046B">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（7）负责各项验收准备，配合各方组织的各项检查、验收工作，确保治理与修复工作规范、文明施工，确保治理成果通过生态环境主管部门组织的专家评审会。</w:t>
      </w:r>
    </w:p>
    <w:p w14:paraId="50AE92EC">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（8）负责整理项目竣工相关资料（包括离开原场地的污染物、固废物等的处理、处置及其去向的相关证明材料），并在验收合格后30个日历天内移交给招标人。</w:t>
      </w:r>
    </w:p>
    <w:p w14:paraId="1F8A8C62">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（9）配合结算的审核工作，包括但不限于按要求提供材料、及时补充材料和说明解释、确认审核结果等。</w:t>
      </w:r>
    </w:p>
    <w:p w14:paraId="26BD172C">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（1</w:t>
      </w:r>
      <w:r>
        <w:rPr>
          <w:rFonts w:ascii="宋体" w:hAnsi="宋体" w:cstheme="minorEastAsia"/>
          <w:bCs/>
          <w:sz w:val="24"/>
          <w:szCs w:val="24"/>
          <w:highlight w:val="none"/>
        </w:rPr>
        <w:t>0</w:t>
      </w:r>
      <w:r>
        <w:rPr>
          <w:rFonts w:hint="eastAsia" w:ascii="宋体" w:hAnsi="宋体" w:cstheme="minorEastAsia"/>
          <w:bCs/>
          <w:sz w:val="24"/>
          <w:szCs w:val="24"/>
          <w:highlight w:val="none"/>
        </w:rPr>
        <w:t>）投标人应落实全过程管理方案，包括但不限于过程管理信息化系统的建立、运营管理体系及制度、过程管理质量保证措施等。</w:t>
      </w:r>
    </w:p>
    <w:p w14:paraId="6A50BE54">
      <w:pPr>
        <w:adjustRightInd w:val="0"/>
        <w:snapToGrid w:val="0"/>
        <w:spacing w:line="360" w:lineRule="auto"/>
        <w:ind w:firstLine="480" w:firstLineChars="200"/>
        <w:rPr>
          <w:rFonts w:hint="eastAsia" w:ascii="宋体" w:hAnsi="宋体" w:cstheme="minorEastAsia"/>
          <w:bCs/>
          <w:sz w:val="24"/>
          <w:szCs w:val="24"/>
          <w:highlight w:val="none"/>
        </w:rPr>
      </w:pPr>
      <w:r>
        <w:rPr>
          <w:rFonts w:hint="eastAsia" w:ascii="宋体" w:hAnsi="宋体" w:cstheme="minorEastAsia"/>
          <w:bCs/>
          <w:sz w:val="24"/>
          <w:szCs w:val="24"/>
          <w:highlight w:val="none"/>
        </w:rPr>
        <w:t>（1</w:t>
      </w:r>
      <w:r>
        <w:rPr>
          <w:rFonts w:ascii="宋体" w:hAnsi="宋体" w:cstheme="minorEastAsia"/>
          <w:bCs/>
          <w:sz w:val="24"/>
          <w:szCs w:val="24"/>
          <w:highlight w:val="none"/>
        </w:rPr>
        <w:t>1</w:t>
      </w:r>
      <w:r>
        <w:rPr>
          <w:rFonts w:hint="eastAsia" w:ascii="宋体" w:hAnsi="宋体" w:cstheme="minorEastAsia"/>
          <w:bCs/>
          <w:sz w:val="24"/>
          <w:szCs w:val="24"/>
          <w:highlight w:val="none"/>
        </w:rPr>
        <w:t>）投标人应建立健全安全生产组织机构和安全保证体系，落实安全生产责任制，按照项目安全生产的有关管理规定，采取相应措施，负责现场作业的安全，并对此承担全部责任。</w:t>
      </w:r>
    </w:p>
    <w:p w14:paraId="2E7D201D">
      <w:pPr>
        <w:adjustRightInd w:val="0"/>
        <w:snapToGrid w:val="0"/>
        <w:spacing w:line="360" w:lineRule="auto"/>
        <w:ind w:firstLine="480" w:firstLineChars="200"/>
        <w:rPr>
          <w:rFonts w:hint="eastAsia" w:ascii="宋体" w:hAnsi="宋体" w:cs="宋体"/>
          <w:bCs/>
          <w:sz w:val="24"/>
          <w:szCs w:val="24"/>
          <w:highlight w:val="none"/>
        </w:rPr>
      </w:pPr>
      <w:r>
        <w:rPr>
          <w:rFonts w:hint="eastAsia" w:ascii="宋体" w:hAnsi="宋体" w:cstheme="minorEastAsia"/>
          <w:bCs/>
          <w:sz w:val="24"/>
          <w:szCs w:val="24"/>
          <w:highlight w:val="none"/>
        </w:rPr>
        <w:t>（1</w:t>
      </w:r>
      <w:r>
        <w:rPr>
          <w:rFonts w:ascii="宋体" w:hAnsi="宋体" w:cstheme="minorEastAsia"/>
          <w:bCs/>
          <w:sz w:val="24"/>
          <w:szCs w:val="24"/>
          <w:highlight w:val="none"/>
        </w:rPr>
        <w:t>2</w:t>
      </w:r>
      <w:r>
        <w:rPr>
          <w:rFonts w:hint="eastAsia" w:ascii="宋体" w:hAnsi="宋体" w:cstheme="minorEastAsia"/>
          <w:bCs/>
          <w:sz w:val="24"/>
          <w:szCs w:val="24"/>
          <w:highlight w:val="none"/>
        </w:rPr>
        <w:t>）项目完成地块移除污染地块名录信息系统，则本合同终止，依据</w:t>
      </w:r>
      <w:bookmarkStart w:id="3" w:name="OLE_LINK2"/>
      <w:r>
        <w:rPr>
          <w:rFonts w:hint="eastAsia" w:ascii="宋体" w:hAnsi="宋体" w:cstheme="minorEastAsia"/>
          <w:bCs/>
          <w:sz w:val="24"/>
          <w:szCs w:val="24"/>
          <w:highlight w:val="none"/>
        </w:rPr>
        <w:t>合同第四条按实际完成工作量办理结算</w:t>
      </w:r>
      <w:bookmarkEnd w:id="3"/>
      <w:r>
        <w:rPr>
          <w:rFonts w:hint="eastAsia" w:ascii="宋体" w:hAnsi="宋体" w:cstheme="minorEastAsia"/>
          <w:bCs/>
          <w:sz w:val="24"/>
          <w:szCs w:val="24"/>
          <w:highlight w:val="none"/>
        </w:rPr>
        <w:t>。</w:t>
      </w:r>
    </w:p>
    <w:p w14:paraId="2CD900E9">
      <w:pPr>
        <w:adjustRightInd w:val="0"/>
        <w:snapToGrid w:val="0"/>
        <w:spacing w:line="360" w:lineRule="auto"/>
        <w:ind w:firstLine="480" w:firstLineChars="200"/>
        <w:rPr>
          <w:rFonts w:hint="eastAsia" w:ascii="宋体" w:hAnsi="宋体" w:cs="宋体"/>
          <w:bCs/>
          <w:sz w:val="24"/>
          <w:szCs w:val="24"/>
          <w:highlight w:val="none"/>
        </w:rPr>
      </w:pPr>
      <w:r>
        <w:rPr>
          <w:rFonts w:ascii="宋体" w:hAnsi="宋体" w:cs="宋体"/>
          <w:bCs/>
          <w:sz w:val="24"/>
          <w:szCs w:val="24"/>
          <w:highlight w:val="none"/>
        </w:rPr>
        <w:t>2.2.</w:t>
      </w:r>
      <w:r>
        <w:rPr>
          <w:rFonts w:hint="eastAsia" w:ascii="宋体" w:hAnsi="宋体" w:cs="宋体"/>
          <w:bCs/>
          <w:sz w:val="24"/>
          <w:szCs w:val="24"/>
          <w:highlight w:val="none"/>
        </w:rPr>
        <w:t>4最高投标限价：</w:t>
      </w:r>
      <w:r>
        <w:rPr>
          <w:rFonts w:hint="eastAsia" w:ascii="宋体" w:hAnsi="宋体" w:cs="宋体"/>
          <w:bCs/>
          <w:sz w:val="24"/>
          <w:szCs w:val="24"/>
          <w:highlight w:val="none"/>
          <w:u w:val="single"/>
        </w:rPr>
        <w:t>52008585.8</w:t>
      </w:r>
      <w:r>
        <w:rPr>
          <w:rFonts w:hint="eastAsia" w:ascii="宋体" w:hAnsi="宋体" w:cs="宋体"/>
          <w:bCs/>
          <w:sz w:val="24"/>
          <w:szCs w:val="24"/>
          <w:highlight w:val="none"/>
          <w:u w:val="single"/>
          <w:lang w:val="en-US" w:eastAsia="zh-CN"/>
        </w:rPr>
        <w:t>0</w:t>
      </w:r>
      <w:r>
        <w:rPr>
          <w:rFonts w:ascii="宋体" w:hAnsi="宋体" w:cs="宋体"/>
          <w:bCs/>
          <w:sz w:val="24"/>
          <w:szCs w:val="24"/>
          <w:highlight w:val="none"/>
          <w:u w:val="single"/>
        </w:rPr>
        <w:t>元</w:t>
      </w:r>
      <w:r>
        <w:rPr>
          <w:rFonts w:hint="eastAsia" w:ascii="宋体" w:hAnsi="宋体" w:cs="宋体"/>
          <w:bCs/>
          <w:sz w:val="24"/>
          <w:szCs w:val="24"/>
          <w:highlight w:val="none"/>
        </w:rPr>
        <w:t>。(本项目实行双限价，即:投标人的投标总报价及综合单价都不能超过招标人公布的最高投标限价或综合单价限价，具体详见</w:t>
      </w:r>
      <w:r>
        <w:rPr>
          <w:rFonts w:hint="eastAsia" w:ascii="宋体" w:hAnsi="宋体" w:cs="宋体"/>
          <w:bCs/>
          <w:sz w:val="24"/>
          <w:szCs w:val="24"/>
          <w:highlight w:val="none"/>
          <w:u w:val="single"/>
        </w:rPr>
        <w:t>《花果山产业小镇综合配套工程建设项目土壤污染修复技术服务</w:t>
      </w:r>
      <w:r>
        <w:rPr>
          <w:rFonts w:hint="eastAsia" w:ascii="宋体" w:hAnsi="宋体" w:cs="宋体"/>
          <w:bCs/>
          <w:sz w:val="24"/>
          <w:szCs w:val="24"/>
          <w:highlight w:val="none"/>
          <w:u w:val="single"/>
          <w:lang w:eastAsia="zh-CN"/>
        </w:rPr>
        <w:t>（</w:t>
      </w:r>
      <w:r>
        <w:rPr>
          <w:rFonts w:hint="eastAsia" w:ascii="宋体" w:hAnsi="宋体" w:cs="宋体"/>
          <w:bCs/>
          <w:sz w:val="24"/>
          <w:szCs w:val="24"/>
          <w:highlight w:val="none"/>
          <w:u w:val="single"/>
          <w:lang w:val="en-US" w:eastAsia="zh-CN"/>
        </w:rPr>
        <w:t>最高限价</w:t>
      </w:r>
      <w:r>
        <w:rPr>
          <w:rFonts w:hint="eastAsia" w:ascii="宋体" w:hAnsi="宋体" w:cs="宋体"/>
          <w:bCs/>
          <w:sz w:val="24"/>
          <w:szCs w:val="24"/>
          <w:highlight w:val="none"/>
          <w:u w:val="single"/>
          <w:lang w:eastAsia="zh-CN"/>
        </w:rPr>
        <w:t>）</w:t>
      </w:r>
      <w:r>
        <w:rPr>
          <w:rFonts w:hint="eastAsia" w:ascii="宋体" w:hAnsi="宋体" w:cs="宋体"/>
          <w:bCs/>
          <w:sz w:val="24"/>
          <w:szCs w:val="24"/>
          <w:highlight w:val="none"/>
          <w:u w:val="single"/>
        </w:rPr>
        <w:t>》</w:t>
      </w:r>
      <w:r>
        <w:rPr>
          <w:rFonts w:hint="eastAsia" w:ascii="宋体" w:hAnsi="宋体" w:cs="宋体"/>
          <w:bCs/>
          <w:sz w:val="24"/>
          <w:szCs w:val="24"/>
          <w:highlight w:val="none"/>
          <w:u w:val="single"/>
        </w:rPr>
        <w:t>)，</w:t>
      </w:r>
      <w:r>
        <w:rPr>
          <w:rFonts w:hint="eastAsia" w:ascii="宋体" w:hAnsi="宋体" w:cs="宋体"/>
          <w:bCs/>
          <w:sz w:val="24"/>
          <w:szCs w:val="24"/>
          <w:highlight w:val="none"/>
        </w:rPr>
        <w:t>投标总报价超过最高投标限价或投标综合单价超过综合单价限价的投标文件将被拒绝。</w:t>
      </w:r>
    </w:p>
    <w:p w14:paraId="2F8FB351">
      <w:pPr>
        <w:widowControl/>
        <w:numPr>
          <w:ilvl w:val="255"/>
          <w:numId w:val="0"/>
        </w:numPr>
        <w:adjustRightInd w:val="0"/>
        <w:snapToGrid w:val="0"/>
        <w:spacing w:line="360" w:lineRule="auto"/>
        <w:ind w:left="420" w:leftChars="200"/>
        <w:rPr>
          <w:rFonts w:hint="eastAsia" w:ascii="宋体" w:hAnsi="宋体" w:cs="宋体"/>
          <w:b/>
          <w:bCs/>
          <w:sz w:val="24"/>
          <w:szCs w:val="24"/>
          <w:highlight w:val="none"/>
        </w:rPr>
      </w:pPr>
      <w:r>
        <w:rPr>
          <w:rFonts w:hint="eastAsia" w:ascii="宋体" w:hAnsi="宋体" w:cs="宋体"/>
          <w:b/>
          <w:bCs/>
          <w:sz w:val="24"/>
          <w:szCs w:val="24"/>
          <w:highlight w:val="none"/>
        </w:rPr>
        <w:t>3.投标人资格要求</w:t>
      </w:r>
    </w:p>
    <w:p w14:paraId="5B0A6F08">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3.1</w:t>
      </w:r>
      <w:r>
        <w:rPr>
          <w:rFonts w:hint="eastAsia" w:ascii="宋体" w:hAnsi="宋体" w:cs="宋体"/>
          <w:sz w:val="24"/>
          <w:szCs w:val="24"/>
          <w:highlight w:val="none"/>
        </w:rPr>
        <w:t>投标人持有事业单位登记管理部门核发的有效的事业单位法人证书或工商行政管理部门核发的有效的企业法人营业执照；</w:t>
      </w:r>
    </w:p>
    <w:p w14:paraId="7635D45A">
      <w:pPr>
        <w:shd w:val="clear" w:color="auto" w:fill="FFFFFF"/>
        <w:adjustRightInd w:val="0"/>
        <w:snapToGrid w:val="0"/>
        <w:spacing w:line="360" w:lineRule="auto"/>
        <w:ind w:firstLine="480" w:firstLineChars="200"/>
        <w:rPr>
          <w:rFonts w:hint="eastAsia" w:ascii="宋体" w:hAnsi="宋体" w:cstheme="minorEastAsia"/>
          <w:b w:val="0"/>
          <w:bCs w:val="0"/>
          <w:sz w:val="24"/>
          <w:szCs w:val="24"/>
          <w:highlight w:val="none"/>
        </w:rPr>
      </w:pPr>
      <w:r>
        <w:rPr>
          <w:rFonts w:hint="eastAsia" w:ascii="宋体" w:hAnsi="宋体" w:cs="宋体"/>
          <w:sz w:val="24"/>
          <w:szCs w:val="24"/>
          <w:highlight w:val="none"/>
          <w:shd w:val="clear" w:color="auto" w:fill="FFFFFF"/>
        </w:rPr>
        <w:t>3.2投标人具</w:t>
      </w:r>
      <w:r>
        <w:rPr>
          <w:rFonts w:hint="eastAsia" w:ascii="宋体" w:hAnsi="宋体" w:cstheme="minorEastAsia"/>
          <w:sz w:val="24"/>
          <w:szCs w:val="24"/>
          <w:highlight w:val="none"/>
        </w:rPr>
        <w:t>有建设行政主管部门颁发的有效</w:t>
      </w:r>
      <w:r>
        <w:rPr>
          <w:rFonts w:hint="eastAsia" w:ascii="宋体" w:hAnsi="宋体" w:cstheme="minorEastAsia"/>
          <w:b w:val="0"/>
          <w:bCs w:val="0"/>
          <w:sz w:val="24"/>
          <w:szCs w:val="24"/>
          <w:highlight w:val="none"/>
        </w:rPr>
        <w:t>期内的环保工程专业承包二级或以上资质证书及安全生产许可证。</w:t>
      </w:r>
    </w:p>
    <w:p w14:paraId="2F26C109">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51B090A">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111C463D">
      <w:pPr>
        <w:shd w:val="clear" w:color="auto" w:fill="FFFFFF"/>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3.3投标人拟担任本工程项目负责人应具有</w:t>
      </w:r>
      <w:r>
        <w:rPr>
          <w:rFonts w:ascii="宋体" w:hAnsi="宋体" w:cs="宋体"/>
          <w:sz w:val="24"/>
          <w:szCs w:val="24"/>
          <w:highlight w:val="none"/>
        </w:rPr>
        <w:t>一级</w:t>
      </w:r>
      <w:r>
        <w:rPr>
          <w:rFonts w:hint="eastAsia" w:ascii="宋体" w:hAnsi="宋体" w:cs="宋体"/>
          <w:sz w:val="24"/>
          <w:szCs w:val="24"/>
          <w:highlight w:val="none"/>
        </w:rPr>
        <w:t>注册建造师执业资格证书，并</w:t>
      </w:r>
      <w:r>
        <w:rPr>
          <w:rFonts w:hint="eastAsia" w:ascii="宋体" w:hAnsi="宋体" w:cstheme="minorEastAsia"/>
          <w:sz w:val="24"/>
          <w:szCs w:val="24"/>
          <w:highlight w:val="none"/>
        </w:rPr>
        <w:t>持有在有效期内的安全生产考核合格证（B类）或建筑施工企业项目负责人安全生产考核合格证书；</w:t>
      </w:r>
      <w:r>
        <w:rPr>
          <w:rFonts w:hint="eastAsia" w:ascii="宋体" w:hAnsi="宋体" w:cs="宋体"/>
          <w:sz w:val="24"/>
          <w:szCs w:val="24"/>
          <w:highlight w:val="none"/>
        </w:rPr>
        <w:t>项目负责人在任职期间不得担任专职安全员，项目专职安全员在任职期间也不得担任项目负责人，项目负责人和安全员不为同一人。</w:t>
      </w:r>
    </w:p>
    <w:p w14:paraId="3FE03E03">
      <w:pPr>
        <w:pStyle w:val="39"/>
        <w:spacing w:line="432" w:lineRule="auto"/>
        <w:ind w:firstLine="480" w:firstLineChars="200"/>
        <w:rPr>
          <w:rFonts w:hint="eastAsia" w:ascii="宋体" w:hAnsi="宋体" w:eastAsia="宋体"/>
          <w:color w:val="auto"/>
          <w:sz w:val="24"/>
          <w:szCs w:val="24"/>
          <w:highlight w:val="none"/>
        </w:rPr>
      </w:pPr>
      <w:bookmarkStart w:id="13" w:name="_GoBack"/>
      <w:r>
        <w:rPr>
          <w:rFonts w:hint="eastAsia" w:ascii="宋体" w:hAnsi="宋体" w:eastAsia="宋体" w:cs="宋体"/>
          <w:sz w:val="24"/>
          <w:szCs w:val="24"/>
          <w:highlight w:val="none"/>
          <w:shd w:val="clear" w:color="auto" w:fill="FFFFFF"/>
        </w:rPr>
        <w:t>注：</w:t>
      </w:r>
      <w:bookmarkEnd w:id="13"/>
      <w:r>
        <w:rPr>
          <w:rFonts w:hint="eastAsia" w:ascii="宋体" w:hAnsi="宋体" w:eastAsia="宋体"/>
          <w:color w:val="auto"/>
          <w:sz w:val="24"/>
          <w:szCs w:val="24"/>
          <w:highlight w:val="none"/>
        </w:rPr>
        <w:t>根据《住房和城乡建设部办公厅关于全面实行一级建造师电子注册证书的通知》（建办市〔2021〕40号），自2022年1月1日起，一级建造师统一使用电子证书，纸质证书作废。电子证书下载、签字等具体操作流程可查阅相关文件。</w:t>
      </w:r>
    </w:p>
    <w:p w14:paraId="7913D6AA">
      <w:pPr>
        <w:pStyle w:val="39"/>
        <w:spacing w:line="432"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26E3CFB">
      <w:pPr>
        <w:tabs>
          <w:tab w:val="left" w:pos="0"/>
          <w:tab w:val="left" w:pos="795"/>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3.4关于联合体投标：本项目</w:t>
      </w:r>
      <w:r>
        <w:rPr>
          <w:rFonts w:hint="eastAsia" w:ascii="宋体" w:hAnsi="宋体" w:cs="宋体"/>
          <w:bCs/>
          <w:sz w:val="24"/>
          <w:szCs w:val="24"/>
          <w:highlight w:val="none"/>
          <w:u w:val="single"/>
        </w:rPr>
        <w:t>不接受</w:t>
      </w:r>
      <w:r>
        <w:rPr>
          <w:rFonts w:hint="eastAsia" w:ascii="宋体" w:hAnsi="宋体" w:cs="宋体"/>
          <w:bCs/>
          <w:sz w:val="24"/>
          <w:szCs w:val="24"/>
          <w:highlight w:val="none"/>
        </w:rPr>
        <w:t>联合体投标。</w:t>
      </w:r>
    </w:p>
    <w:p w14:paraId="67A1824D">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3.5其他要求：</w:t>
      </w:r>
    </w:p>
    <w:p w14:paraId="2EEBF3DD">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①投标人参加投标的意思表达清楚，投标人代表被授权有效；</w:t>
      </w:r>
    </w:p>
    <w:p w14:paraId="5805BE7C">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②投标人拟担任本工程技术负责人的资格要求为：</w:t>
      </w:r>
      <w:bookmarkStart w:id="4" w:name="OLE_LINK3"/>
      <w:r>
        <w:rPr>
          <w:rFonts w:hint="eastAsia" w:ascii="宋体" w:hAnsi="宋体" w:cs="宋体"/>
          <w:sz w:val="24"/>
          <w:szCs w:val="24"/>
          <w:highlight w:val="none"/>
          <w:shd w:val="clear" w:color="auto" w:fill="FFFFFF"/>
        </w:rPr>
        <w:t>环保相关专</w:t>
      </w:r>
      <w:bookmarkEnd w:id="4"/>
      <w:r>
        <w:rPr>
          <w:rFonts w:hint="eastAsia" w:ascii="宋体" w:hAnsi="宋体" w:cs="宋体"/>
          <w:sz w:val="24"/>
          <w:szCs w:val="24"/>
          <w:highlight w:val="none"/>
          <w:shd w:val="clear" w:color="auto" w:fill="FFFFFF"/>
        </w:rPr>
        <w:t>业高级或以上职称；</w:t>
      </w:r>
    </w:p>
    <w:p w14:paraId="76DE1B6F">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③专职安全员须具有在有效期内的安全生产考核合格证（C类）或建筑施工企业专职安全生产管理人员安全生产考核合格证书（C3）。</w:t>
      </w:r>
    </w:p>
    <w:p w14:paraId="1AECBBF6">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fldChar w:fldCharType="begin"/>
      </w:r>
      <w:r>
        <w:rPr>
          <w:rFonts w:hint="eastAsia" w:ascii="宋体" w:hAnsi="宋体" w:cs="宋体"/>
          <w:sz w:val="24"/>
          <w:szCs w:val="24"/>
          <w:highlight w:val="none"/>
          <w:shd w:val="clear" w:color="auto" w:fill="FFFFFF"/>
        </w:rPr>
        <w:instrText xml:space="preserve"> = 4 \* GB3 </w:instrText>
      </w:r>
      <w:r>
        <w:rPr>
          <w:rFonts w:hint="eastAsia" w:ascii="宋体" w:hAnsi="宋体" w:cs="宋体"/>
          <w:sz w:val="24"/>
          <w:szCs w:val="24"/>
          <w:highlight w:val="none"/>
          <w:shd w:val="clear" w:color="auto" w:fill="FFFFFF"/>
        </w:rPr>
        <w:fldChar w:fldCharType="separate"/>
      </w:r>
      <w:r>
        <w:rPr>
          <w:rFonts w:hint="eastAsia" w:ascii="宋体" w:hAnsi="宋体" w:cs="宋体"/>
          <w:sz w:val="24"/>
          <w:szCs w:val="24"/>
          <w:highlight w:val="none"/>
          <w:shd w:val="clear" w:color="auto" w:fill="FFFFFF"/>
        </w:rPr>
        <w:t>④</w:t>
      </w:r>
      <w:r>
        <w:rPr>
          <w:rFonts w:hint="eastAsia" w:ascii="宋体" w:hAnsi="宋体" w:cs="宋体"/>
          <w:sz w:val="24"/>
          <w:szCs w:val="24"/>
          <w:highlight w:val="none"/>
          <w:shd w:val="clear" w:color="auto" w:fill="FFFFFF"/>
        </w:rPr>
        <w:fldChar w:fldCharType="end"/>
      </w:r>
      <w:r>
        <w:rPr>
          <w:rFonts w:hint="eastAsia" w:ascii="宋体" w:hAnsi="宋体" w:cs="宋体"/>
          <w:sz w:val="24"/>
          <w:szCs w:val="24"/>
          <w:highlight w:val="none"/>
          <w:shd w:val="clear" w:color="auto" w:fill="FFFFFF"/>
        </w:rPr>
        <w:t>投标人已按照附件一的内容签署盖章《投标人声明》；</w:t>
      </w:r>
    </w:p>
    <w:p w14:paraId="622B2628">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⑤投标人未出现以下情形：与本项目其它投标人的单位负责人为同一人或者存在控股、管理关系的（按投标人提供的《投标人声明》第九条内容进行评审）。如不同投标申请人出现单位负责人为同一人或者存在控股、管理关系的情形，则相关投标均无效；</w:t>
      </w:r>
    </w:p>
    <w:p w14:paraId="4F3D9E1D">
      <w:pPr>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⑥资格审查前，投标人在广州交易集团有限公司（广州公共资源交易中心）办理了企业信息登记，及拟担任本工程项目负责人、专职安全员为本企业登记信息中的在册人员。</w:t>
      </w:r>
    </w:p>
    <w:p w14:paraId="5E8F93C9">
      <w:pPr>
        <w:shd w:val="clear" w:color="auto" w:fill="FFFFFF"/>
        <w:adjustRightInd w:val="0"/>
        <w:snapToGrid w:val="0"/>
        <w:spacing w:line="360" w:lineRule="auto"/>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⑦投标人未被列入拖欠农民工工资失信联合惩戒对象名单和失信被执行人（投标人无须提供资料，按投标截止时间交易系统比对的结果进行评审）。</w:t>
      </w:r>
    </w:p>
    <w:p w14:paraId="7FB6B88A">
      <w:pPr>
        <w:adjustRightInd w:val="0"/>
        <w:snapToGrid w:val="0"/>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招标文件的获取</w:t>
      </w:r>
    </w:p>
    <w:p w14:paraId="1CE77810">
      <w:pPr>
        <w:adjustRightInd w:val="0"/>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凡有意参加投标者，请于</w:t>
      </w:r>
      <w:r>
        <w:rPr>
          <w:rFonts w:ascii="宋体" w:hAnsi="宋体" w:cs="宋体"/>
          <w:sz w:val="24"/>
          <w:szCs w:val="24"/>
          <w:highlight w:val="none"/>
          <w:u w:val="single"/>
        </w:rPr>
        <w:t>202</w:t>
      </w:r>
      <w:r>
        <w:rPr>
          <w:rFonts w:hint="eastAsia" w:ascii="宋体" w:hAnsi="宋体" w:cs="宋体"/>
          <w:sz w:val="24"/>
          <w:szCs w:val="24"/>
          <w:highlight w:val="none"/>
          <w:u w:val="single"/>
        </w:rPr>
        <w:t>5年  月 日  时  分至</w:t>
      </w:r>
      <w:r>
        <w:rPr>
          <w:rFonts w:ascii="宋体" w:hAnsi="宋体" w:cs="宋体"/>
          <w:sz w:val="24"/>
          <w:szCs w:val="24"/>
          <w:highlight w:val="none"/>
          <w:u w:val="single"/>
        </w:rPr>
        <w:t>202</w:t>
      </w:r>
      <w:r>
        <w:rPr>
          <w:rFonts w:hint="eastAsia" w:ascii="宋体" w:hAnsi="宋体" w:cs="宋体"/>
          <w:sz w:val="24"/>
          <w:szCs w:val="24"/>
          <w:highlight w:val="none"/>
          <w:u w:val="single"/>
        </w:rPr>
        <w:t>5年  月  日  时  分</w:t>
      </w:r>
      <w:r>
        <w:rPr>
          <w:rFonts w:ascii="宋体" w:hAnsi="宋体" w:cs="宋体"/>
          <w:sz w:val="24"/>
          <w:szCs w:val="24"/>
          <w:highlight w:val="none"/>
        </w:rPr>
        <w:t>(</w:t>
      </w:r>
      <w:r>
        <w:rPr>
          <w:rFonts w:hint="eastAsia" w:ascii="宋体" w:hAnsi="宋体" w:cs="宋体"/>
          <w:sz w:val="24"/>
          <w:szCs w:val="24"/>
          <w:highlight w:val="none"/>
        </w:rPr>
        <w:t>北京时间，下同</w:t>
      </w:r>
      <w:r>
        <w:rPr>
          <w:rFonts w:ascii="宋体" w:hAnsi="宋体" w:cs="宋体"/>
          <w:sz w:val="24"/>
          <w:szCs w:val="24"/>
          <w:highlight w:val="none"/>
        </w:rPr>
        <w:t>)</w:t>
      </w:r>
      <w:r>
        <w:rPr>
          <w:rFonts w:hint="eastAsia" w:ascii="宋体" w:hAnsi="宋体" w:cs="宋体"/>
          <w:sz w:val="24"/>
          <w:szCs w:val="24"/>
          <w:highlight w:val="none"/>
        </w:rPr>
        <w:t>，登录广州交易集团有限公司（广州公共资源交易中心）网站（</w:t>
      </w:r>
      <w:r>
        <w:rPr>
          <w:rFonts w:ascii="宋体" w:hAnsi="宋体" w:cs="宋体"/>
          <w:sz w:val="24"/>
          <w:szCs w:val="24"/>
          <w:highlight w:val="none"/>
        </w:rPr>
        <w:t>http//www.gzggzy.cn</w:t>
      </w:r>
      <w:r>
        <w:rPr>
          <w:rFonts w:hint="eastAsia" w:ascii="宋体" w:hAnsi="宋体" w:cs="宋体"/>
          <w:sz w:val="24"/>
          <w:szCs w:val="24"/>
          <w:highlight w:val="none"/>
        </w:rPr>
        <w:t>）下载电子招标文件。</w:t>
      </w:r>
    </w:p>
    <w:p w14:paraId="289BE9D1">
      <w:pPr>
        <w:adjustRightInd w:val="0"/>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 xml:space="preserve">4.2 </w:t>
      </w:r>
      <w:r>
        <w:rPr>
          <w:rFonts w:hint="eastAsia" w:ascii="宋体" w:hAnsi="宋体" w:cs="宋体"/>
          <w:sz w:val="24"/>
          <w:szCs w:val="24"/>
          <w:highlight w:val="none"/>
        </w:rPr>
        <w:t>发布招标公告时间（含本日）：</w:t>
      </w:r>
      <w:r>
        <w:rPr>
          <w:rFonts w:ascii="宋体" w:hAnsi="宋体" w:cs="宋体"/>
          <w:sz w:val="24"/>
          <w:szCs w:val="24"/>
          <w:highlight w:val="none"/>
          <w:u w:val="single"/>
        </w:rPr>
        <w:t>202</w:t>
      </w:r>
      <w:r>
        <w:rPr>
          <w:rFonts w:hint="eastAsia" w:ascii="宋体" w:hAnsi="宋体" w:cs="宋体"/>
          <w:sz w:val="24"/>
          <w:szCs w:val="24"/>
          <w:highlight w:val="none"/>
          <w:u w:val="single"/>
        </w:rPr>
        <w:t>5年  月  日  时  分至2025年  月  日  时分</w:t>
      </w:r>
      <w:r>
        <w:rPr>
          <w:rFonts w:hint="eastAsia" w:ascii="宋体" w:hAnsi="宋体" w:cs="宋体"/>
          <w:sz w:val="24"/>
          <w:szCs w:val="24"/>
          <w:highlight w:val="none"/>
        </w:rPr>
        <w:t>。</w:t>
      </w:r>
    </w:p>
    <w:p w14:paraId="5142882D">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注：发布招标公告的时间为招标公告发出之日起至递交投标文件截止时间止。</w:t>
      </w:r>
    </w:p>
    <w:p w14:paraId="3015342B">
      <w:pPr>
        <w:adjustRightInd w:val="0"/>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4.2.1</w:t>
      </w:r>
      <w:r>
        <w:rPr>
          <w:rFonts w:hint="eastAsia" w:ascii="宋体" w:hAnsi="宋体" w:cs="宋体"/>
          <w:sz w:val="24"/>
          <w:szCs w:val="24"/>
          <w:highlight w:val="none"/>
        </w:rPr>
        <w:t>投标人通过</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w:t>
      </w:r>
      <w:r>
        <w:rPr>
          <w:rFonts w:hint="eastAsia" w:ascii="宋体" w:hAnsi="宋体" w:cs="宋体"/>
          <w:sz w:val="24"/>
          <w:szCs w:val="24"/>
          <w:highlight w:val="none"/>
          <w:u w:val="single"/>
        </w:rPr>
        <w:t>广州交易集团有限公司（广州公共资源交易中心）网站</w:t>
      </w:r>
      <w:r>
        <w:rPr>
          <w:rFonts w:hint="eastAsia" w:ascii="宋体" w:hAnsi="宋体" w:cs="宋体"/>
          <w:sz w:val="24"/>
          <w:szCs w:val="24"/>
          <w:highlight w:val="none"/>
        </w:rPr>
        <w:t>。</w:t>
      </w:r>
    </w:p>
    <w:p w14:paraId="614CF661">
      <w:pPr>
        <w:adjustRightInd w:val="0"/>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4.2.2</w:t>
      </w:r>
      <w:r>
        <w:rPr>
          <w:rFonts w:hint="eastAsia" w:ascii="宋体" w:hAnsi="宋体" w:cs="宋体"/>
          <w:sz w:val="24"/>
          <w:szCs w:val="24"/>
          <w:highlight w:val="none"/>
        </w:rPr>
        <w:t>开标时间：</w:t>
      </w:r>
      <w:r>
        <w:rPr>
          <w:rFonts w:hint="eastAsia" w:ascii="宋体" w:hAnsi="宋体" w:cs="宋体"/>
          <w:sz w:val="24"/>
          <w:szCs w:val="24"/>
          <w:highlight w:val="none"/>
          <w:u w:val="single"/>
        </w:rPr>
        <w:t>2025年  月  日  时  分</w:t>
      </w:r>
      <w:r>
        <w:rPr>
          <w:rFonts w:hint="eastAsia" w:ascii="宋体" w:hAnsi="宋体" w:cs="宋体"/>
          <w:sz w:val="24"/>
          <w:szCs w:val="24"/>
          <w:highlight w:val="none"/>
        </w:rPr>
        <w:t>。</w:t>
      </w:r>
    </w:p>
    <w:p w14:paraId="1941DAA8">
      <w:pPr>
        <w:adjustRightInd w:val="0"/>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 xml:space="preserve">4.3 </w:t>
      </w:r>
      <w:r>
        <w:rPr>
          <w:rFonts w:hint="eastAsia" w:ascii="宋体" w:hAnsi="宋体" w:cs="宋体"/>
          <w:sz w:val="24"/>
          <w:szCs w:val="24"/>
          <w:highlight w:val="none"/>
        </w:rPr>
        <w:t>本项目采用资格后审方式。</w:t>
      </w:r>
    </w:p>
    <w:p w14:paraId="73C9FDAB">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）电子招投标操作流程详见</w:t>
      </w:r>
      <w:r>
        <w:rPr>
          <w:rFonts w:hint="eastAsia" w:ascii="宋体" w:hAnsi="宋体" w:cs="宋体"/>
          <w:sz w:val="24"/>
          <w:szCs w:val="24"/>
          <w:highlight w:val="none"/>
          <w:u w:val="single"/>
        </w:rPr>
        <w:t>广州交易集团有限公司（广州公共资源交易中心）网站发布的最新版操作指引</w:t>
      </w:r>
      <w:r>
        <w:rPr>
          <w:rFonts w:hint="eastAsia" w:ascii="宋体" w:hAnsi="宋体" w:cs="宋体"/>
          <w:sz w:val="24"/>
          <w:szCs w:val="24"/>
          <w:highlight w:val="none"/>
        </w:rPr>
        <w:t>。</w:t>
      </w:r>
    </w:p>
    <w:p w14:paraId="33FD9BD7">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）本公告发布之日起开始计算备标时间。</w:t>
      </w:r>
    </w:p>
    <w:p w14:paraId="0B78210C">
      <w:pPr>
        <w:tabs>
          <w:tab w:val="left" w:pos="36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4.4潜在投标人或利害关系人对本招标公告及招标文件有异议的，应当在投标截止时间10日前向招标人书面提出。</w:t>
      </w:r>
    </w:p>
    <w:p w14:paraId="4AF0C748">
      <w:pPr>
        <w:tabs>
          <w:tab w:val="left" w:pos="36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异议受理部门：</w:t>
      </w:r>
      <w:r>
        <w:rPr>
          <w:rFonts w:hint="eastAsia" w:ascii="宋体" w:hAnsi="宋体" w:cs="宋体"/>
          <w:sz w:val="24"/>
          <w:szCs w:val="24"/>
          <w:highlight w:val="none"/>
          <w:u w:val="single"/>
        </w:rPr>
        <w:t>广州市越秀区代建项目管理中心</w:t>
      </w:r>
    </w:p>
    <w:p w14:paraId="1A80F8C3">
      <w:pPr>
        <w:tabs>
          <w:tab w:val="left" w:pos="36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异议受理电话：</w:t>
      </w:r>
      <w:r>
        <w:rPr>
          <w:rFonts w:hint="eastAsia" w:ascii="宋体" w:hAnsi="宋体" w:cs="宋体"/>
          <w:sz w:val="24"/>
          <w:szCs w:val="24"/>
          <w:highlight w:val="none"/>
          <w:u w:val="single"/>
        </w:rPr>
        <w:t>020-83520212</w:t>
      </w:r>
    </w:p>
    <w:p w14:paraId="7D3AD536">
      <w:pPr>
        <w:tabs>
          <w:tab w:val="left" w:pos="36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广州市越秀区东华西路永胜街51号</w:t>
      </w:r>
    </w:p>
    <w:p w14:paraId="2AD1C57A">
      <w:pPr>
        <w:tabs>
          <w:tab w:val="left" w:pos="360"/>
        </w:tabs>
        <w:adjustRightInd w:val="0"/>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602F791">
      <w:pPr>
        <w:widowControl/>
        <w:adjustRightInd w:val="0"/>
        <w:snapToGrid w:val="0"/>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5.</w:t>
      </w:r>
      <w:r>
        <w:rPr>
          <w:rFonts w:hint="eastAsia" w:ascii="宋体" w:hAnsi="宋体" w:cs="宋体"/>
          <w:b/>
          <w:bCs/>
          <w:sz w:val="24"/>
          <w:szCs w:val="24"/>
          <w:highlight w:val="none"/>
        </w:rPr>
        <w:t>投标文件的递交</w:t>
      </w:r>
    </w:p>
    <w:p w14:paraId="5698F34C">
      <w:pPr>
        <w:tabs>
          <w:tab w:val="left" w:pos="360"/>
        </w:tabs>
        <w:adjustRightInd w:val="0"/>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5.1</w:t>
      </w:r>
      <w:r>
        <w:rPr>
          <w:rFonts w:hint="eastAsia" w:ascii="宋体" w:hAnsi="宋体" w:cs="宋体"/>
          <w:sz w:val="24"/>
          <w:szCs w:val="24"/>
          <w:highlight w:val="none"/>
        </w:rPr>
        <w:t>投标文件递交的截止时间（投标截止时间，下同）为</w:t>
      </w:r>
      <w:r>
        <w:rPr>
          <w:rFonts w:hint="eastAsia" w:ascii="宋体" w:hAnsi="宋体" w:cs="宋体"/>
          <w:sz w:val="24"/>
          <w:szCs w:val="24"/>
          <w:highlight w:val="none"/>
          <w:u w:val="single"/>
        </w:rPr>
        <w:t>2025年  月  日  时  分</w:t>
      </w:r>
      <w:r>
        <w:rPr>
          <w:rFonts w:hint="eastAsia" w:ascii="宋体" w:hAnsi="宋体" w:cs="宋体"/>
          <w:sz w:val="24"/>
          <w:szCs w:val="24"/>
          <w:highlight w:val="none"/>
        </w:rPr>
        <w:t>，投标人应在截止时间前通过</w:t>
      </w:r>
      <w:r>
        <w:rPr>
          <w:rFonts w:hint="eastAsia" w:ascii="宋体" w:hAnsi="宋体" w:cs="宋体"/>
          <w:sz w:val="24"/>
          <w:szCs w:val="24"/>
          <w:highlight w:val="none"/>
          <w:u w:val="single"/>
        </w:rPr>
        <w:t>广州交易集团有限公司（广州公共资源交易中心）网站（</w:t>
      </w:r>
      <w:r>
        <w:rPr>
          <w:rFonts w:ascii="宋体" w:hAnsi="宋体" w:cs="宋体"/>
          <w:sz w:val="24"/>
          <w:szCs w:val="24"/>
          <w:highlight w:val="none"/>
          <w:u w:val="single"/>
        </w:rPr>
        <w:t>http://www.gzggzy.cn</w:t>
      </w:r>
      <w:r>
        <w:rPr>
          <w:rFonts w:hint="eastAsia" w:ascii="宋体" w:hAnsi="宋体" w:cs="宋体"/>
          <w:sz w:val="24"/>
          <w:szCs w:val="24"/>
          <w:highlight w:val="none"/>
          <w:u w:val="single"/>
        </w:rPr>
        <w:t>）</w:t>
      </w:r>
      <w:r>
        <w:rPr>
          <w:rFonts w:hint="eastAsia" w:ascii="宋体" w:hAnsi="宋体" w:cs="宋体"/>
          <w:sz w:val="24"/>
          <w:szCs w:val="24"/>
          <w:highlight w:val="none"/>
        </w:rPr>
        <w:t>递交电子投标文件。</w:t>
      </w:r>
    </w:p>
    <w:p w14:paraId="42454F1A">
      <w:pPr>
        <w:tabs>
          <w:tab w:val="left" w:pos="36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递交备用投标文件电子光盘的规定：时间为：</w:t>
      </w:r>
      <w:r>
        <w:rPr>
          <w:rFonts w:hint="eastAsia" w:ascii="宋体" w:hAnsi="宋体" w:cs="宋体"/>
          <w:sz w:val="24"/>
          <w:szCs w:val="24"/>
          <w:highlight w:val="none"/>
          <w:u w:val="single"/>
        </w:rPr>
        <w:t>2025年  月  日  时  分至</w:t>
      </w:r>
      <w:r>
        <w:rPr>
          <w:rFonts w:ascii="宋体" w:hAnsi="宋体" w:cs="宋体"/>
          <w:sz w:val="24"/>
          <w:szCs w:val="24"/>
          <w:highlight w:val="none"/>
          <w:u w:val="single"/>
        </w:rPr>
        <w:t>2023</w:t>
      </w:r>
      <w:r>
        <w:rPr>
          <w:rFonts w:hint="eastAsia" w:ascii="宋体" w:hAnsi="宋体" w:cs="宋体"/>
          <w:sz w:val="24"/>
          <w:szCs w:val="24"/>
          <w:highlight w:val="none"/>
          <w:u w:val="single"/>
        </w:rPr>
        <w:t>年  月日  时  分</w:t>
      </w:r>
      <w:r>
        <w:rPr>
          <w:rFonts w:hint="eastAsia" w:ascii="宋体" w:hAnsi="宋体" w:cs="宋体"/>
          <w:sz w:val="24"/>
          <w:szCs w:val="24"/>
          <w:highlight w:val="none"/>
        </w:rPr>
        <w:t>；地点：</w:t>
      </w:r>
      <w:r>
        <w:rPr>
          <w:rFonts w:hint="eastAsia" w:ascii="宋体" w:hAnsi="宋体" w:cs="宋体"/>
          <w:sz w:val="24"/>
          <w:szCs w:val="24"/>
          <w:highlight w:val="none"/>
          <w:u w:val="single"/>
        </w:rPr>
        <w:t>广州交易集团有限公司（广州公共资源交易中心）开标室</w:t>
      </w:r>
      <w:r>
        <w:rPr>
          <w:rFonts w:hint="eastAsia" w:ascii="宋体" w:hAnsi="宋体" w:cs="宋体"/>
          <w:sz w:val="24"/>
          <w:szCs w:val="24"/>
          <w:highlight w:val="none"/>
        </w:rPr>
        <w:t>。（电子光盘需按规定封装。投标人将数据刻录到光盘之后，投标前自行检查文件是否可以读取。）</w:t>
      </w:r>
    </w:p>
    <w:p w14:paraId="0A5555E8">
      <w:pPr>
        <w:tabs>
          <w:tab w:val="left" w:pos="1100"/>
        </w:tabs>
        <w:adjustRightInd w:val="0"/>
        <w:snapToGrid w:val="0"/>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5.2</w:t>
      </w:r>
      <w:r>
        <w:rPr>
          <w:rFonts w:hint="eastAsia" w:ascii="宋体" w:hAnsi="宋体" w:cs="宋体"/>
          <w:sz w:val="24"/>
          <w:szCs w:val="24"/>
          <w:highlight w:val="none"/>
        </w:rPr>
        <w:t>采取电子投标时，逾期送达的投标文件，电子招标投标交易平台将予以拒收。逾期未上传成功的电子投标文件，招标人拒绝接收。</w:t>
      </w:r>
    </w:p>
    <w:p w14:paraId="725B4091">
      <w:pPr>
        <w:widowControl/>
        <w:adjustRightInd w:val="0"/>
        <w:snapToGrid w:val="0"/>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6.</w:t>
      </w:r>
      <w:r>
        <w:rPr>
          <w:rFonts w:hint="eastAsia" w:ascii="宋体" w:hAnsi="宋体" w:cs="宋体"/>
          <w:b/>
          <w:bCs/>
          <w:sz w:val="24"/>
          <w:szCs w:val="24"/>
          <w:highlight w:val="none"/>
        </w:rPr>
        <w:t>发布公告的媒介</w:t>
      </w:r>
    </w:p>
    <w:p w14:paraId="49DB45A7">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本次招标公告同时在</w:t>
      </w:r>
      <w:r>
        <w:rPr>
          <w:rFonts w:hint="eastAsia" w:ascii="宋体" w:hAnsi="宋体" w:cs="宋体"/>
          <w:sz w:val="24"/>
          <w:szCs w:val="24"/>
          <w:highlight w:val="none"/>
          <w:u w:val="single"/>
        </w:rPr>
        <w:t>广州交易集团有限公司（广州公共资源交易中心）网站（</w:t>
      </w:r>
      <w:r>
        <w:rPr>
          <w:rFonts w:ascii="宋体" w:hAnsi="宋体" w:cs="宋体"/>
          <w:sz w:val="24"/>
          <w:szCs w:val="24"/>
          <w:highlight w:val="none"/>
          <w:u w:val="single"/>
        </w:rPr>
        <w:t>http://www.gzggzy.cn</w:t>
      </w:r>
      <w:r>
        <w:rPr>
          <w:rFonts w:hint="eastAsia" w:ascii="宋体" w:hAnsi="宋体" w:cs="宋体"/>
          <w:sz w:val="24"/>
          <w:szCs w:val="24"/>
          <w:highlight w:val="none"/>
          <w:u w:val="single"/>
        </w:rPr>
        <w:t>）、广东省招标投标监管网（</w:t>
      </w:r>
      <w:r>
        <w:rPr>
          <w:rFonts w:ascii="宋体" w:hAnsi="宋体" w:cs="宋体"/>
          <w:sz w:val="24"/>
          <w:szCs w:val="24"/>
          <w:highlight w:val="none"/>
          <w:u w:val="single"/>
        </w:rPr>
        <w:t>https://zbtb.gd.gov.cn/#/index</w:t>
      </w:r>
      <w:r>
        <w:rPr>
          <w:rFonts w:hint="eastAsia" w:ascii="宋体" w:hAnsi="宋体" w:cs="宋体"/>
          <w:sz w:val="24"/>
          <w:szCs w:val="24"/>
          <w:highlight w:val="none"/>
          <w:u w:val="single"/>
        </w:rPr>
        <w:t>）和中国招标投标公共服务平台（</w:t>
      </w:r>
      <w:r>
        <w:rPr>
          <w:rFonts w:ascii="宋体" w:hAnsi="宋体" w:cs="宋体"/>
          <w:sz w:val="24"/>
          <w:szCs w:val="24"/>
          <w:highlight w:val="none"/>
          <w:u w:val="single"/>
        </w:rPr>
        <w:t>http</w:t>
      </w:r>
      <w:r>
        <w:rPr>
          <w:rFonts w:hint="eastAsia" w:ascii="宋体" w:hAnsi="宋体" w:cs="宋体"/>
          <w:sz w:val="24"/>
          <w:szCs w:val="24"/>
          <w:highlight w:val="none"/>
          <w:u w:val="single"/>
        </w:rPr>
        <w:t>：</w:t>
      </w:r>
      <w:r>
        <w:rPr>
          <w:rFonts w:ascii="宋体" w:hAnsi="宋体" w:cs="宋体"/>
          <w:sz w:val="24"/>
          <w:szCs w:val="24"/>
          <w:highlight w:val="none"/>
          <w:u w:val="single"/>
        </w:rPr>
        <w:t>//www.cebpubservice.com/</w:t>
      </w:r>
      <w:r>
        <w:rPr>
          <w:rFonts w:hint="eastAsia" w:ascii="宋体" w:hAnsi="宋体" w:cs="宋体"/>
          <w:sz w:val="24"/>
          <w:szCs w:val="24"/>
          <w:highlight w:val="none"/>
          <w:u w:val="single"/>
        </w:rPr>
        <w:t>）</w:t>
      </w:r>
      <w:r>
        <w:rPr>
          <w:rFonts w:hint="eastAsia" w:ascii="宋体" w:hAnsi="宋体" w:cs="宋体"/>
          <w:sz w:val="24"/>
          <w:szCs w:val="24"/>
          <w:highlight w:val="none"/>
        </w:rPr>
        <w:t>等媒体发布上发布，本公告的修改、补充，在广州交易集团有限公司（广州公共资源交易中心）网站发布。本公告在各媒体发布的文本如有不同之处，以在广州交易集团有限公司（广州公共资源交易中心）网站发布的文本为准。</w:t>
      </w:r>
    </w:p>
    <w:p w14:paraId="02D45EE8">
      <w:pPr>
        <w:widowControl/>
        <w:adjustRightInd w:val="0"/>
        <w:snapToGrid w:val="0"/>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7.</w:t>
      </w:r>
      <w:r>
        <w:rPr>
          <w:rFonts w:hint="eastAsia" w:ascii="宋体" w:hAnsi="宋体" w:cs="宋体"/>
          <w:b/>
          <w:bCs/>
          <w:sz w:val="24"/>
          <w:szCs w:val="24"/>
          <w:highlight w:val="none"/>
        </w:rPr>
        <w:t>联系方式</w:t>
      </w:r>
    </w:p>
    <w:tbl>
      <w:tblPr>
        <w:tblStyle w:val="18"/>
        <w:tblW w:w="8533" w:type="dxa"/>
        <w:jc w:val="center"/>
        <w:tblLayout w:type="fixed"/>
        <w:tblCellMar>
          <w:top w:w="0" w:type="dxa"/>
          <w:left w:w="108" w:type="dxa"/>
          <w:bottom w:w="0" w:type="dxa"/>
          <w:right w:w="108" w:type="dxa"/>
        </w:tblCellMar>
      </w:tblPr>
      <w:tblGrid>
        <w:gridCol w:w="4272"/>
        <w:gridCol w:w="4261"/>
      </w:tblGrid>
      <w:tr w14:paraId="58694930">
        <w:tblPrEx>
          <w:tblCellMar>
            <w:top w:w="0" w:type="dxa"/>
            <w:left w:w="108" w:type="dxa"/>
            <w:bottom w:w="0" w:type="dxa"/>
            <w:right w:w="108" w:type="dxa"/>
          </w:tblCellMar>
        </w:tblPrEx>
        <w:trPr>
          <w:jc w:val="center"/>
        </w:trPr>
        <w:tc>
          <w:tcPr>
            <w:tcW w:w="4272" w:type="dxa"/>
          </w:tcPr>
          <w:p w14:paraId="11774996">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招标人：</w:t>
            </w:r>
            <w:r>
              <w:rPr>
                <w:rFonts w:hint="eastAsia" w:ascii="宋体" w:hAnsi="宋体"/>
                <w:sz w:val="24"/>
                <w:highlight w:val="none"/>
                <w:u w:val="single"/>
              </w:rPr>
              <w:t>广州市越秀区代建项目管理中心</w:t>
            </w:r>
          </w:p>
        </w:tc>
        <w:tc>
          <w:tcPr>
            <w:tcW w:w="4261" w:type="dxa"/>
          </w:tcPr>
          <w:p w14:paraId="57AF4531">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招标代理机构：</w:t>
            </w:r>
            <w:r>
              <w:rPr>
                <w:rFonts w:hint="eastAsia" w:ascii="宋体" w:hAnsi="宋体"/>
                <w:sz w:val="24"/>
                <w:highlight w:val="none"/>
                <w:u w:val="single"/>
              </w:rPr>
              <w:t>广州珠江监理咨询集团有限公司</w:t>
            </w:r>
          </w:p>
        </w:tc>
      </w:tr>
      <w:tr w14:paraId="601D4C27">
        <w:tblPrEx>
          <w:tblCellMar>
            <w:top w:w="0" w:type="dxa"/>
            <w:left w:w="108" w:type="dxa"/>
            <w:bottom w:w="0" w:type="dxa"/>
            <w:right w:w="108" w:type="dxa"/>
          </w:tblCellMar>
        </w:tblPrEx>
        <w:trPr>
          <w:jc w:val="center"/>
        </w:trPr>
        <w:tc>
          <w:tcPr>
            <w:tcW w:w="4272" w:type="dxa"/>
          </w:tcPr>
          <w:p w14:paraId="2E11395D">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广州市越秀区东华西路永胜街51号</w:t>
            </w:r>
          </w:p>
        </w:tc>
        <w:tc>
          <w:tcPr>
            <w:tcW w:w="4261" w:type="dxa"/>
          </w:tcPr>
          <w:p w14:paraId="3ADBF219">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sz w:val="24"/>
                <w:highlight w:val="none"/>
                <w:u w:val="single"/>
              </w:rPr>
              <w:t>广州市越秀区永泰路50号101房</w:t>
            </w:r>
          </w:p>
        </w:tc>
      </w:tr>
      <w:tr w14:paraId="6C93A131">
        <w:tblPrEx>
          <w:tblCellMar>
            <w:top w:w="0" w:type="dxa"/>
            <w:left w:w="108" w:type="dxa"/>
            <w:bottom w:w="0" w:type="dxa"/>
            <w:right w:w="108" w:type="dxa"/>
          </w:tblCellMar>
        </w:tblPrEx>
        <w:trPr>
          <w:jc w:val="center"/>
        </w:trPr>
        <w:tc>
          <w:tcPr>
            <w:tcW w:w="4272" w:type="dxa"/>
          </w:tcPr>
          <w:p w14:paraId="6F0B8E2E">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sz w:val="24"/>
                <w:highlight w:val="none"/>
                <w:u w:val="single"/>
              </w:rPr>
              <w:t>杜工</w:t>
            </w:r>
          </w:p>
        </w:tc>
        <w:tc>
          <w:tcPr>
            <w:tcW w:w="4261" w:type="dxa"/>
          </w:tcPr>
          <w:p w14:paraId="764F1D5F">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sz w:val="24"/>
                <w:highlight w:val="none"/>
                <w:u w:val="single"/>
              </w:rPr>
              <w:t>张工、叶工</w:t>
            </w:r>
          </w:p>
        </w:tc>
      </w:tr>
      <w:tr w14:paraId="600A92DF">
        <w:tblPrEx>
          <w:tblCellMar>
            <w:top w:w="0" w:type="dxa"/>
            <w:left w:w="108" w:type="dxa"/>
            <w:bottom w:w="0" w:type="dxa"/>
            <w:right w:w="108" w:type="dxa"/>
          </w:tblCellMar>
        </w:tblPrEx>
        <w:trPr>
          <w:jc w:val="center"/>
        </w:trPr>
        <w:tc>
          <w:tcPr>
            <w:tcW w:w="4272" w:type="dxa"/>
          </w:tcPr>
          <w:p w14:paraId="7C925121">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u w:val="single"/>
              </w:rPr>
              <w:t>020-83520212</w:t>
            </w:r>
          </w:p>
        </w:tc>
        <w:tc>
          <w:tcPr>
            <w:tcW w:w="4261" w:type="dxa"/>
          </w:tcPr>
          <w:p w14:paraId="2199064C">
            <w:pPr>
              <w:adjustRightInd w:val="0"/>
              <w:snapToGrid w:val="0"/>
              <w:spacing w:line="360" w:lineRule="auto"/>
              <w:rPr>
                <w:rFonts w:hint="eastAsia" w:ascii="宋体" w:hAnsi="宋体" w:cs="宋体"/>
                <w:sz w:val="24"/>
                <w:szCs w:val="24"/>
                <w:highlight w:val="none"/>
              </w:rPr>
            </w:pPr>
            <w:r>
              <w:rPr>
                <w:rFonts w:hint="eastAsia" w:ascii="宋体" w:hAnsi="宋体" w:cs="宋体"/>
                <w:sz w:val="24"/>
                <w:szCs w:val="24"/>
                <w:highlight w:val="none"/>
              </w:rPr>
              <w:t>电话：</w:t>
            </w:r>
            <w:r>
              <w:rPr>
                <w:rFonts w:ascii="宋体" w:hAnsi="宋体" w:cs="宋体"/>
                <w:sz w:val="24"/>
                <w:highlight w:val="none"/>
                <w:u w:val="single"/>
              </w:rPr>
              <w:t>020-83492175</w:t>
            </w:r>
            <w:r>
              <w:rPr>
                <w:rFonts w:hint="eastAsia" w:ascii="宋体" w:hAnsi="宋体" w:cs="宋体"/>
                <w:sz w:val="24"/>
                <w:highlight w:val="none"/>
                <w:u w:val="single"/>
              </w:rPr>
              <w:t>-813</w:t>
            </w:r>
          </w:p>
        </w:tc>
      </w:tr>
    </w:tbl>
    <w:p w14:paraId="0419253D">
      <w:pPr>
        <w:widowControl/>
        <w:adjustRightInd w:val="0"/>
        <w:snapToGrid w:val="0"/>
        <w:spacing w:line="360" w:lineRule="auto"/>
        <w:ind w:firstLine="482" w:firstLineChars="200"/>
        <w:rPr>
          <w:rFonts w:hint="eastAsia" w:ascii="宋体" w:hAnsi="宋体" w:cs="宋体"/>
          <w:b/>
          <w:bCs/>
          <w:kern w:val="0"/>
          <w:sz w:val="24"/>
          <w:szCs w:val="24"/>
          <w:highlight w:val="none"/>
          <w:shd w:val="clear" w:color="auto" w:fill="FFFFFF"/>
        </w:rPr>
      </w:pPr>
    </w:p>
    <w:p w14:paraId="047F2AC3">
      <w:pPr>
        <w:widowControl/>
        <w:adjustRightInd w:val="0"/>
        <w:snapToGrid w:val="0"/>
        <w:spacing w:line="360" w:lineRule="auto"/>
        <w:ind w:firstLine="480" w:firstLineChars="200"/>
        <w:rPr>
          <w:rFonts w:hint="eastAsia" w:ascii="宋体" w:hAnsi="宋体" w:cs="宋体"/>
          <w:sz w:val="24"/>
          <w:szCs w:val="24"/>
          <w:highlight w:val="none"/>
          <w:u w:val="single"/>
        </w:rPr>
      </w:pPr>
    </w:p>
    <w:p w14:paraId="618F3901">
      <w:pPr>
        <w:widowControl/>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招标监督机构：广州市越秀区代建项目管理中心</w:t>
      </w:r>
    </w:p>
    <w:p w14:paraId="1F9AF557">
      <w:pPr>
        <w:widowControl/>
        <w:adjustRightInd w:val="0"/>
        <w:snapToGrid w:val="0"/>
        <w:spacing w:line="360" w:lineRule="auto"/>
        <w:ind w:firstLine="480" w:firstLineChars="200"/>
        <w:rPr>
          <w:rFonts w:hint="eastAsia" w:ascii="宋体" w:hAnsi="宋体"/>
          <w:sz w:val="24"/>
          <w:szCs w:val="24"/>
          <w:highlight w:val="none"/>
        </w:rPr>
      </w:pPr>
      <w:r>
        <w:rPr>
          <w:rFonts w:hint="eastAsia" w:ascii="宋体" w:hAnsi="宋体" w:cs="宋体"/>
          <w:sz w:val="24"/>
          <w:szCs w:val="24"/>
          <w:highlight w:val="none"/>
          <w:u w:val="single"/>
        </w:rPr>
        <w:t>监督电话：</w:t>
      </w:r>
      <w:r>
        <w:rPr>
          <w:rFonts w:ascii="宋体" w:hAnsi="宋体"/>
          <w:kern w:val="0"/>
          <w:sz w:val="24"/>
          <w:highlight w:val="none"/>
          <w:u w:val="single"/>
        </w:rPr>
        <w:t>020-</w:t>
      </w:r>
      <w:r>
        <w:rPr>
          <w:rFonts w:hint="eastAsia" w:ascii="宋体" w:hAnsi="宋体"/>
          <w:kern w:val="0"/>
          <w:sz w:val="24"/>
          <w:highlight w:val="none"/>
          <w:u w:val="single"/>
        </w:rPr>
        <w:t>83520212</w:t>
      </w:r>
    </w:p>
    <w:p w14:paraId="2EDC6DB5">
      <w:pPr>
        <w:adjustRightInd w:val="0"/>
        <w:snapToGrid w:val="0"/>
        <w:spacing w:line="360" w:lineRule="auto"/>
        <w:ind w:firstLine="480" w:firstLineChars="200"/>
        <w:rPr>
          <w:rFonts w:hint="eastAsia" w:ascii="宋体" w:hAnsi="宋体"/>
          <w:sz w:val="24"/>
          <w:szCs w:val="24"/>
          <w:highlight w:val="none"/>
        </w:rPr>
      </w:pPr>
    </w:p>
    <w:p w14:paraId="5ABFFD07">
      <w:pPr>
        <w:spacing w:line="360" w:lineRule="auto"/>
        <w:rPr>
          <w:rFonts w:hint="eastAsia" w:ascii="宋体" w:hAnsi="宋体" w:cs="宋体"/>
          <w:b/>
          <w:bCs/>
          <w:szCs w:val="21"/>
          <w:highlight w:val="none"/>
          <w:shd w:val="clear" w:color="auto" w:fill="FFFFFF"/>
        </w:rPr>
      </w:pPr>
      <w:r>
        <w:rPr>
          <w:rFonts w:ascii="宋体" w:hAnsi="宋体" w:cs="宋体"/>
          <w:b/>
          <w:bCs/>
          <w:szCs w:val="21"/>
          <w:highlight w:val="none"/>
          <w:shd w:val="clear" w:color="auto" w:fill="FFFFFF"/>
        </w:rPr>
        <w:br w:type="page"/>
      </w:r>
      <w:r>
        <w:rPr>
          <w:rFonts w:hint="eastAsia" w:ascii="宋体" w:hAnsi="宋体" w:cs="宋体"/>
          <w:b/>
          <w:bCs/>
          <w:szCs w:val="21"/>
          <w:highlight w:val="none"/>
          <w:shd w:val="clear" w:color="auto" w:fill="FFFFFF"/>
        </w:rPr>
        <w:t>附件一：</w:t>
      </w:r>
    </w:p>
    <w:p w14:paraId="2DC73E3B">
      <w:pPr>
        <w:shd w:val="clear" w:color="auto" w:fill="FFFFFF"/>
        <w:spacing w:line="360" w:lineRule="auto"/>
        <w:jc w:val="center"/>
        <w:rPr>
          <w:rFonts w:hint="eastAsia" w:ascii="宋体" w:hAnsi="宋体" w:cs="宋体"/>
          <w:b/>
          <w:bCs/>
          <w:sz w:val="32"/>
          <w:szCs w:val="28"/>
          <w:highlight w:val="none"/>
          <w:shd w:val="clear" w:color="auto" w:fill="FFFFFF"/>
        </w:rPr>
      </w:pPr>
      <w:bookmarkStart w:id="5" w:name="_Toc266093553"/>
      <w:bookmarkStart w:id="6" w:name="_Toc249846232"/>
      <w:bookmarkStart w:id="7" w:name="_Toc253143224"/>
      <w:bookmarkStart w:id="8" w:name="_Toc249845977"/>
      <w:bookmarkStart w:id="9" w:name="_Toc266881405"/>
      <w:bookmarkStart w:id="10" w:name="_Toc416357992"/>
      <w:bookmarkStart w:id="11" w:name="_Toc416358163"/>
      <w:bookmarkStart w:id="12" w:name="_Toc245024005"/>
      <w:r>
        <w:rPr>
          <w:rFonts w:hint="eastAsia" w:ascii="宋体" w:hAnsi="宋体" w:cs="宋体"/>
          <w:b/>
          <w:bCs/>
          <w:sz w:val="32"/>
          <w:szCs w:val="28"/>
          <w:highlight w:val="none"/>
          <w:shd w:val="clear" w:color="auto" w:fill="FFFFFF"/>
        </w:rPr>
        <w:t>投标人声明</w:t>
      </w:r>
    </w:p>
    <w:p w14:paraId="316AF1AB">
      <w:pPr>
        <w:shd w:val="clear" w:color="auto" w:fill="FFFFFF"/>
        <w:spacing w:line="360" w:lineRule="auto"/>
        <w:rPr>
          <w:rFonts w:hint="eastAsia" w:ascii="宋体" w:hAnsi="宋体"/>
          <w:color w:val="000000"/>
          <w:kern w:val="0"/>
          <w:szCs w:val="21"/>
          <w:highlight w:val="none"/>
        </w:rPr>
      </w:pPr>
      <w:r>
        <w:rPr>
          <w:rFonts w:hint="eastAsia" w:ascii="宋体" w:hAnsi="宋体"/>
          <w:color w:val="000000"/>
          <w:kern w:val="0"/>
          <w:szCs w:val="21"/>
          <w:highlight w:val="none"/>
        </w:rPr>
        <w:t>本招标项目招标人及招标监管机构：</w:t>
      </w:r>
    </w:p>
    <w:p w14:paraId="6E8E5684">
      <w:pPr>
        <w:pStyle w:val="8"/>
        <w:widowControl/>
        <w:shd w:val="clear" w:color="auto" w:fill="FFFFFF"/>
        <w:spacing w:line="360" w:lineRule="auto"/>
        <w:ind w:right="-15" w:rightChars="-7" w:firstLine="840" w:firstLineChars="400"/>
        <w:jc w:val="left"/>
        <w:rPr>
          <w:rFonts w:hint="eastAsia" w:ascii="宋体" w:hAnsi="宋体" w:cs="宋体"/>
          <w:szCs w:val="24"/>
          <w:highlight w:val="none"/>
          <w:shd w:val="clear" w:color="auto" w:fill="FFFFFF"/>
        </w:rPr>
      </w:pPr>
      <w:r>
        <w:rPr>
          <w:rFonts w:hint="eastAsia" w:ascii="宋体" w:hAnsi="宋体"/>
          <w:color w:val="000000"/>
          <w:kern w:val="0"/>
          <w:sz w:val="21"/>
          <w:szCs w:val="21"/>
          <w:highlight w:val="none"/>
        </w:rPr>
        <w:t>本公司就参加投标工作，作出郑重声明：</w:t>
      </w:r>
    </w:p>
    <w:p w14:paraId="34F3BE9A">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3E7ECAC2">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二、</w:t>
      </w:r>
      <w:r>
        <w:rPr>
          <w:rFonts w:hint="eastAsia" w:ascii="宋体" w:hAnsi="宋体" w:eastAsia="宋体"/>
          <w:color w:val="auto"/>
          <w:sz w:val="21"/>
          <w:szCs w:val="21"/>
          <w:highlight w:val="none"/>
        </w:rPr>
        <w:t>本公司承诺遵循公平、公正、公开、诚实信用原则，在本项目投标中诚信投标，</w:t>
      </w:r>
      <w:r>
        <w:rPr>
          <w:rFonts w:hint="eastAsia" w:ascii="宋体" w:hAnsi="宋体" w:eastAsia="宋体"/>
          <w:sz w:val="21"/>
          <w:szCs w:val="21"/>
          <w:highlight w:val="none"/>
        </w:rPr>
        <w:t>在本项目投标中不与其他单位围标、串标，不出让投标资格，不向招标人或评标委员会成员行贿</w:t>
      </w:r>
      <w:r>
        <w:rPr>
          <w:rFonts w:hint="eastAsia" w:ascii="宋体" w:hAnsi="宋体" w:eastAsia="宋体"/>
          <w:color w:val="auto"/>
          <w:sz w:val="21"/>
          <w:szCs w:val="21"/>
          <w:highlight w:val="none"/>
        </w:rPr>
        <w:t>，不存在少放、不放业绩、奖项等客观评审资料，减少自身竞争力的情形，若存在以上情形的，将自愿接受被招标人列入拒绝投标名单，不能参与招标人后续招标项目的投标</w:t>
      </w:r>
      <w:r>
        <w:rPr>
          <w:rFonts w:hint="eastAsia" w:ascii="宋体" w:hAnsi="宋体" w:eastAsia="宋体"/>
          <w:sz w:val="21"/>
          <w:szCs w:val="21"/>
          <w:highlight w:val="none"/>
        </w:rPr>
        <w:t>。</w:t>
      </w:r>
    </w:p>
    <w:p w14:paraId="01930808">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三、本公司不存在下列情形之一：</w:t>
      </w:r>
    </w:p>
    <w:p w14:paraId="2FE053B5">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（一）为招标人不具有独立法人资格的附属机构（单位）；</w:t>
      </w:r>
    </w:p>
    <w:p w14:paraId="6DE9E8E4">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（二）为本标段前期准备提供设计或咨询服务或者与本项目设计人或提供咨询服务的机构存在附属关系的；</w:t>
      </w:r>
    </w:p>
    <w:p w14:paraId="1EBCB43D">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（三）为本标段监理人或者与本标段监理人存在隶属关系或者其他利害关系；</w:t>
      </w:r>
    </w:p>
    <w:p w14:paraId="726E3E2F">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（四）为本标段的代建人；</w:t>
      </w:r>
    </w:p>
    <w:p w14:paraId="2BE19D50">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（五）为本标段提供招标代理服务的；</w:t>
      </w:r>
    </w:p>
    <w:p w14:paraId="4067F086">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（六）与本标段的监理人或代建人或招标代理机构同为一个法定代表人的；</w:t>
      </w:r>
    </w:p>
    <w:p w14:paraId="0655FD26">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（七）与本标段的监理人或代建人或招标代理机构互相控股或参股的；</w:t>
      </w:r>
    </w:p>
    <w:p w14:paraId="6D91C97D">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（八）与本标段的监理人或代建人或招标代理机构相互任职或工作的；</w:t>
      </w:r>
    </w:p>
    <w:p w14:paraId="5D76C4CC">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（九）与本标段的检测机构有隶属关系或者其他利害关系；</w:t>
      </w:r>
    </w:p>
    <w:p w14:paraId="3E8FC0BD">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 xml:space="preserve">（十）与招标人存在利害关系且可能影响招标公正性； </w:t>
      </w:r>
    </w:p>
    <w:p w14:paraId="4194BCB7">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（十一）被依法暂停或取消投标资格的；（</w:t>
      </w:r>
      <w:r>
        <w:rPr>
          <w:rFonts w:hint="eastAsia" w:ascii="宋体" w:hAnsi="宋体" w:eastAsia="宋体"/>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sz w:val="21"/>
          <w:szCs w:val="21"/>
          <w:highlight w:val="none"/>
        </w:rPr>
        <w:t xml:space="preserve">） </w:t>
      </w:r>
    </w:p>
    <w:p w14:paraId="71975200">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（十二）被责令停产停业、暂扣或者吊销许可证、暂扣或者吊销执照的（</w:t>
      </w:r>
      <w:r>
        <w:rPr>
          <w:rFonts w:hint="eastAsia" w:ascii="宋体" w:hAnsi="宋体" w:eastAsia="宋体"/>
          <w:sz w:val="21"/>
          <w:szCs w:val="21"/>
          <w:highlight w:val="none"/>
          <w:lang w:val="zh-CN"/>
        </w:rPr>
        <w:t>本项事实应当以根据《中华人民共和国行政处罚法》依法作出并已经生效的行政处罚决定为认定依据。</w:t>
      </w:r>
      <w:r>
        <w:rPr>
          <w:rFonts w:hint="eastAsia" w:ascii="宋体" w:hAnsi="宋体" w:eastAsia="宋体"/>
          <w:sz w:val="21"/>
          <w:szCs w:val="21"/>
          <w:highlight w:val="none"/>
        </w:rPr>
        <w:t>）；</w:t>
      </w:r>
    </w:p>
    <w:p w14:paraId="2FFEBA76">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（十三）进入清算程序，或被宣布破产，或其他丧失履约能力的情形；</w:t>
      </w:r>
    </w:p>
    <w:p w14:paraId="638CE263">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（十四）在最近三年内有严重违约或重大工程质量问题的；（</w:t>
      </w:r>
      <w:r>
        <w:rPr>
          <w:rFonts w:hint="eastAsia" w:ascii="宋体" w:hAnsi="宋体" w:eastAsia="宋体"/>
          <w:sz w:val="21"/>
          <w:szCs w:val="21"/>
          <w:highlight w:val="none"/>
          <w:lang w:val="zh-CN"/>
        </w:rPr>
        <w:t>“严重违约”事实应当以</w:t>
      </w:r>
      <w:r>
        <w:rPr>
          <w:rFonts w:hint="eastAsia" w:ascii="宋体" w:hAnsi="宋体" w:eastAsia="宋体"/>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19DE087">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（十五）法律法规规定的其他情形。</w:t>
      </w:r>
    </w:p>
    <w:p w14:paraId="36C1F852">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四、本公司保证：本项目拟派的项目负责人</w:t>
      </w:r>
      <w:r>
        <w:rPr>
          <w:rFonts w:hint="eastAsia" w:ascii="宋体" w:hAnsi="宋体" w:eastAsia="宋体" w:cs="宋体"/>
          <w:b/>
          <w:bCs/>
          <w:sz w:val="21"/>
          <w:szCs w:val="21"/>
          <w:highlight w:val="none"/>
        </w:rPr>
        <w:t>在投标截止时</w:t>
      </w:r>
      <w:r>
        <w:rPr>
          <w:rFonts w:hint="eastAsia" w:ascii="宋体" w:hAnsi="宋体" w:eastAsia="宋体"/>
          <w:sz w:val="21"/>
          <w:szCs w:val="21"/>
          <w:highlight w:val="none"/>
        </w:rPr>
        <w:t>没有在其他在建项目中任施工单位项目负责人。</w:t>
      </w:r>
    </w:p>
    <w:p w14:paraId="6AF2105A">
      <w:pPr>
        <w:pStyle w:val="39"/>
        <w:spacing w:line="5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BD87283">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5D4ED94">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B5ACBE7">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14:paraId="53A262ED">
      <w:pPr>
        <w:pStyle w:val="39"/>
        <w:spacing w:line="540" w:lineRule="exact"/>
        <w:ind w:firstLine="422" w:firstLineChars="200"/>
        <w:rPr>
          <w:rFonts w:hint="eastAsia" w:ascii="宋体" w:hAnsi="宋体" w:eastAsia="宋体"/>
          <w:b/>
          <w:bCs/>
          <w:sz w:val="21"/>
          <w:szCs w:val="21"/>
          <w:highlight w:val="none"/>
        </w:rPr>
      </w:pPr>
      <w:r>
        <w:rPr>
          <w:rFonts w:hint="eastAsia" w:ascii="宋体" w:hAnsi="宋体" w:eastAsia="宋体"/>
          <w:b/>
          <w:bCs/>
          <w:sz w:val="21"/>
          <w:szCs w:val="21"/>
          <w:highlight w:val="none"/>
        </w:rPr>
        <w:t>九、与本公司单位负责人为同一人或者与本公司存在控股、管理关系的其他单位包括：</w:t>
      </w:r>
      <w:r>
        <w:rPr>
          <w:rFonts w:hint="eastAsia" w:ascii="宋体" w:hAnsi="宋体" w:eastAsia="宋体"/>
          <w:b/>
          <w:bCs/>
          <w:sz w:val="21"/>
          <w:szCs w:val="21"/>
          <w:highlight w:val="none"/>
          <w:u w:val="single"/>
        </w:rPr>
        <w:t xml:space="preserve">         </w:t>
      </w:r>
      <w:r>
        <w:rPr>
          <w:rFonts w:hint="eastAsia" w:ascii="宋体" w:hAnsi="宋体" w:eastAsia="宋体"/>
          <w:b/>
          <w:bCs/>
          <w:sz w:val="21"/>
          <w:szCs w:val="21"/>
          <w:highlight w:val="none"/>
        </w:rPr>
        <w:t>。（注：本条由投标人如实填写，如有，应列出全部满足招标公告资质要求的相关单位的名称；如无，则填写“无”。）</w:t>
      </w:r>
    </w:p>
    <w:p w14:paraId="3BB70AE2">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246B173D">
      <w:pPr>
        <w:pStyle w:val="39"/>
        <w:spacing w:line="432" w:lineRule="auto"/>
        <w:ind w:firstLine="525" w:firstLineChars="2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十一、本公司承诺，中标后将按招标人要求，积极响应广州市关于投身“百千万工程”的号召，主动参与建筑业结对帮扶。</w:t>
      </w:r>
    </w:p>
    <w:p w14:paraId="014FF7F4">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CC99531">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219602E">
      <w:pPr>
        <w:pStyle w:val="39"/>
        <w:spacing w:line="540" w:lineRule="exact"/>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特此声明。</w:t>
      </w:r>
    </w:p>
    <w:p w14:paraId="330996D7">
      <w:pPr>
        <w:pStyle w:val="40"/>
        <w:spacing w:line="540" w:lineRule="exact"/>
        <w:ind w:left="629" w:right="1449"/>
        <w:jc w:val="both"/>
        <w:rPr>
          <w:rFonts w:hint="eastAsia" w:ascii="宋体" w:hAnsi="宋体" w:eastAsia="宋体"/>
          <w:sz w:val="21"/>
          <w:szCs w:val="21"/>
          <w:highlight w:val="none"/>
        </w:rPr>
      </w:pPr>
      <w:r>
        <w:rPr>
          <w:rFonts w:hint="eastAsia" w:ascii="宋体" w:hAnsi="宋体" w:eastAsia="宋体"/>
          <w:sz w:val="21"/>
          <w:szCs w:val="21"/>
          <w:highlight w:val="none"/>
        </w:rPr>
        <w:t xml:space="preserve">                       声明企业</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盖章</w:t>
      </w:r>
      <w:r>
        <w:rPr>
          <w:rFonts w:hint="eastAsia" w:ascii="宋体" w:hAnsi="宋体" w:eastAsia="宋体"/>
          <w:sz w:val="21"/>
          <w:szCs w:val="21"/>
          <w:highlight w:val="none"/>
          <w:lang w:eastAsia="zh-CN"/>
        </w:rPr>
        <w:t>）</w:t>
      </w:r>
      <w:r>
        <w:rPr>
          <w:rFonts w:hint="eastAsia" w:ascii="宋体" w:hAnsi="宋体" w:eastAsia="宋体"/>
          <w:sz w:val="21"/>
          <w:szCs w:val="21"/>
          <w:highlight w:val="none"/>
        </w:rPr>
        <w:t>：</w:t>
      </w:r>
    </w:p>
    <w:p w14:paraId="2F6F6672">
      <w:pPr>
        <w:pStyle w:val="39"/>
        <w:spacing w:line="540" w:lineRule="exact"/>
        <w:ind w:right="1179" w:firstLine="0"/>
        <w:rPr>
          <w:rFonts w:hint="eastAsia" w:ascii="宋体" w:hAnsi="宋体" w:eastAsia="宋体"/>
          <w:sz w:val="21"/>
          <w:szCs w:val="21"/>
          <w:highlight w:val="none"/>
        </w:rPr>
      </w:pPr>
      <w:r>
        <w:rPr>
          <w:rFonts w:hint="eastAsia" w:ascii="宋体" w:hAnsi="宋体" w:eastAsia="宋体"/>
          <w:sz w:val="21"/>
          <w:szCs w:val="21"/>
          <w:highlight w:val="none"/>
        </w:rPr>
        <w:t xml:space="preserve">                             法定代表人签字或盖章：</w:t>
      </w:r>
    </w:p>
    <w:p w14:paraId="6B022753">
      <w:pPr>
        <w:pStyle w:val="39"/>
        <w:spacing w:line="540" w:lineRule="exact"/>
        <w:ind w:right="1179" w:firstLine="0"/>
        <w:rPr>
          <w:rFonts w:hint="eastAsia" w:ascii="宋体" w:hAnsi="宋体" w:eastAsia="宋体"/>
          <w:sz w:val="21"/>
          <w:szCs w:val="21"/>
          <w:highlight w:val="none"/>
        </w:rPr>
      </w:pPr>
      <w:r>
        <w:rPr>
          <w:rFonts w:hint="eastAsia" w:ascii="宋体" w:hAnsi="宋体" w:eastAsia="宋体"/>
          <w:sz w:val="21"/>
          <w:szCs w:val="21"/>
          <w:highlight w:val="none"/>
        </w:rPr>
        <w:t xml:space="preserve">                             项目负责人签字或盖章:</w:t>
      </w:r>
    </w:p>
    <w:p w14:paraId="20D6B5AD">
      <w:pPr>
        <w:pStyle w:val="39"/>
        <w:spacing w:line="540" w:lineRule="exact"/>
        <w:ind w:right="879" w:firstLine="0"/>
        <w:rPr>
          <w:rFonts w:hint="eastAsia" w:ascii="宋体" w:hAnsi="宋体" w:eastAsia="宋体"/>
          <w:sz w:val="21"/>
          <w:szCs w:val="21"/>
          <w:highlight w:val="none"/>
        </w:rPr>
      </w:pPr>
      <w:r>
        <w:rPr>
          <w:rFonts w:hint="eastAsia" w:ascii="宋体" w:hAnsi="宋体" w:eastAsia="宋体"/>
          <w:sz w:val="21"/>
          <w:szCs w:val="21"/>
          <w:highlight w:val="none"/>
        </w:rPr>
        <w:t xml:space="preserve">                             技术负责人签字或盖章：</w:t>
      </w:r>
    </w:p>
    <w:p w14:paraId="700FB3FE">
      <w:pPr>
        <w:pStyle w:val="39"/>
        <w:spacing w:line="540" w:lineRule="exact"/>
        <w:ind w:right="879" w:firstLine="5040" w:firstLineChars="2400"/>
        <w:rPr>
          <w:rFonts w:hint="eastAsia" w:ascii="宋体" w:hAnsi="宋体" w:eastAsia="宋体"/>
          <w:sz w:val="21"/>
          <w:szCs w:val="21"/>
          <w:highlight w:val="none"/>
        </w:rPr>
      </w:pPr>
      <w:r>
        <w:rPr>
          <w:rFonts w:hint="eastAsia" w:ascii="宋体" w:hAnsi="宋体" w:eastAsia="宋体"/>
          <w:sz w:val="21"/>
          <w:szCs w:val="21"/>
          <w:highlight w:val="none"/>
        </w:rPr>
        <w:t xml:space="preserve">年   月   日                 </w:t>
      </w:r>
    </w:p>
    <w:p w14:paraId="6FE1F2A5">
      <w:pPr>
        <w:pStyle w:val="39"/>
        <w:spacing w:line="540" w:lineRule="exact"/>
        <w:ind w:right="879" w:firstLine="5040" w:firstLineChars="2400"/>
        <w:rPr>
          <w:rFonts w:hint="eastAsia" w:ascii="宋体" w:hAnsi="宋体" w:eastAsia="宋体"/>
          <w:sz w:val="21"/>
          <w:szCs w:val="21"/>
          <w:highlight w:val="none"/>
        </w:rPr>
      </w:pPr>
      <w:r>
        <w:rPr>
          <w:rFonts w:hint="eastAsia" w:ascii="宋体" w:hAnsi="宋体" w:eastAsia="宋体"/>
          <w:sz w:val="21"/>
          <w:szCs w:val="21"/>
          <w:highlight w:val="none"/>
        </w:rPr>
        <w:t xml:space="preserve"> </w:t>
      </w:r>
    </w:p>
    <w:p w14:paraId="30AAC6A2">
      <w:pPr>
        <w:snapToGrid w:val="0"/>
        <w:spacing w:line="540" w:lineRule="exact"/>
        <w:ind w:right="102" w:firstLine="420" w:firstLineChars="200"/>
        <w:rPr>
          <w:color w:val="000000"/>
          <w:highlight w:val="none"/>
        </w:rPr>
      </w:pPr>
      <w:r>
        <w:rPr>
          <w:rFonts w:hint="eastAsia" w:ascii="宋体" w:hAnsi="宋体"/>
          <w:color w:val="000000"/>
          <w:highlight w:val="none"/>
        </w:rPr>
        <w:t>注：招标人应当要求投标人的法定代表人、项目负责人和技术负责人签</w:t>
      </w:r>
      <w:r>
        <w:rPr>
          <w:rFonts w:hint="eastAsia" w:ascii="宋体" w:hAnsi="宋体"/>
          <w:highlight w:val="none"/>
        </w:rPr>
        <w:t>字或盖</w:t>
      </w:r>
      <w:r>
        <w:rPr>
          <w:rFonts w:hint="eastAsia" w:ascii="宋体" w:hAnsi="宋体"/>
          <w:color w:val="000000"/>
          <w:highlight w:val="none"/>
        </w:rPr>
        <w:t xml:space="preserve">章。 </w:t>
      </w:r>
    </w:p>
    <w:bookmarkEnd w:id="5"/>
    <w:bookmarkEnd w:id="6"/>
    <w:bookmarkEnd w:id="7"/>
    <w:bookmarkEnd w:id="8"/>
    <w:bookmarkEnd w:id="9"/>
    <w:bookmarkEnd w:id="10"/>
    <w:bookmarkEnd w:id="11"/>
    <w:bookmarkEnd w:id="12"/>
    <w:p w14:paraId="3B77A0D5">
      <w:pPr>
        <w:ind w:firstLine="5520" w:firstLineChars="2300"/>
        <w:rPr>
          <w:rFonts w:hint="eastAsia" w:ascii="宋体" w:hAnsi="宋体" w:cs="宋体"/>
          <w:sz w:val="24"/>
          <w:highlight w:val="none"/>
        </w:rPr>
      </w:pPr>
    </w:p>
    <w:p w14:paraId="04A0ECFF">
      <w:pPr>
        <w:widowControl/>
        <w:jc w:val="left"/>
        <w:rPr>
          <w:rFonts w:eastAsiaTheme="minorEastAsia"/>
          <w:sz w:val="22"/>
          <w:highlight w:val="none"/>
        </w:rPr>
      </w:pPr>
    </w:p>
    <w:p w14:paraId="4211BFD1">
      <w:pPr>
        <w:widowControl/>
        <w:jc w:val="left"/>
        <w:rPr>
          <w:highlight w:val="none"/>
        </w:rPr>
      </w:pPr>
    </w:p>
    <w:sectPr>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GQ0OWVkMDI5N2UzZmQ2NDhjMmNjMmJkNDg1OWUifQ=="/>
  </w:docVars>
  <w:rsids>
    <w:rsidRoot w:val="00890B99"/>
    <w:rsid w:val="00077C6C"/>
    <w:rsid w:val="00110188"/>
    <w:rsid w:val="001142B2"/>
    <w:rsid w:val="00152B1C"/>
    <w:rsid w:val="001C0947"/>
    <w:rsid w:val="0026154D"/>
    <w:rsid w:val="0028734C"/>
    <w:rsid w:val="002A0C9D"/>
    <w:rsid w:val="002B0915"/>
    <w:rsid w:val="002C1041"/>
    <w:rsid w:val="002D686E"/>
    <w:rsid w:val="002E64C7"/>
    <w:rsid w:val="00317D2D"/>
    <w:rsid w:val="0032524F"/>
    <w:rsid w:val="0034285A"/>
    <w:rsid w:val="003566EF"/>
    <w:rsid w:val="00365086"/>
    <w:rsid w:val="00393973"/>
    <w:rsid w:val="003A6176"/>
    <w:rsid w:val="003D47C4"/>
    <w:rsid w:val="003F1067"/>
    <w:rsid w:val="00401AB9"/>
    <w:rsid w:val="004548B4"/>
    <w:rsid w:val="004A6D21"/>
    <w:rsid w:val="004B1761"/>
    <w:rsid w:val="004D7CCD"/>
    <w:rsid w:val="00523B3E"/>
    <w:rsid w:val="00535668"/>
    <w:rsid w:val="005B57A7"/>
    <w:rsid w:val="005B6842"/>
    <w:rsid w:val="005E4D31"/>
    <w:rsid w:val="00650224"/>
    <w:rsid w:val="00650F75"/>
    <w:rsid w:val="0067734F"/>
    <w:rsid w:val="006B31DA"/>
    <w:rsid w:val="00735408"/>
    <w:rsid w:val="007517D3"/>
    <w:rsid w:val="007B0BF4"/>
    <w:rsid w:val="007C35A1"/>
    <w:rsid w:val="007C5BA0"/>
    <w:rsid w:val="007E4068"/>
    <w:rsid w:val="007E6509"/>
    <w:rsid w:val="00890B99"/>
    <w:rsid w:val="008C5DBF"/>
    <w:rsid w:val="00913929"/>
    <w:rsid w:val="0097026B"/>
    <w:rsid w:val="00992F4D"/>
    <w:rsid w:val="00A26102"/>
    <w:rsid w:val="00A46790"/>
    <w:rsid w:val="00A75ECF"/>
    <w:rsid w:val="00A775E0"/>
    <w:rsid w:val="00A90073"/>
    <w:rsid w:val="00B84E8A"/>
    <w:rsid w:val="00B87D36"/>
    <w:rsid w:val="00BC47FE"/>
    <w:rsid w:val="00BF4DDD"/>
    <w:rsid w:val="00C013EB"/>
    <w:rsid w:val="00C51415"/>
    <w:rsid w:val="00C715F7"/>
    <w:rsid w:val="00CA6945"/>
    <w:rsid w:val="00CD7D2A"/>
    <w:rsid w:val="00CE7169"/>
    <w:rsid w:val="00D120D1"/>
    <w:rsid w:val="00D14CC7"/>
    <w:rsid w:val="00D20506"/>
    <w:rsid w:val="00D66484"/>
    <w:rsid w:val="00D70D8D"/>
    <w:rsid w:val="00E04693"/>
    <w:rsid w:val="00E60648"/>
    <w:rsid w:val="00E62C3D"/>
    <w:rsid w:val="00EC5F7A"/>
    <w:rsid w:val="00F060D7"/>
    <w:rsid w:val="00F11F6F"/>
    <w:rsid w:val="00FB6472"/>
    <w:rsid w:val="018A1427"/>
    <w:rsid w:val="01E063FD"/>
    <w:rsid w:val="035C6DF3"/>
    <w:rsid w:val="03D80B70"/>
    <w:rsid w:val="04CB7FEB"/>
    <w:rsid w:val="04F857AE"/>
    <w:rsid w:val="05452235"/>
    <w:rsid w:val="0644429B"/>
    <w:rsid w:val="068648B3"/>
    <w:rsid w:val="06D1147F"/>
    <w:rsid w:val="08F071A4"/>
    <w:rsid w:val="09A94FE9"/>
    <w:rsid w:val="09AD38B6"/>
    <w:rsid w:val="0A0B50CF"/>
    <w:rsid w:val="0A3D797F"/>
    <w:rsid w:val="0B14713B"/>
    <w:rsid w:val="0BC5349A"/>
    <w:rsid w:val="0C8A677F"/>
    <w:rsid w:val="0D1B1BBB"/>
    <w:rsid w:val="0EB164FB"/>
    <w:rsid w:val="12C15B9A"/>
    <w:rsid w:val="130C0CD3"/>
    <w:rsid w:val="13C55ED7"/>
    <w:rsid w:val="15A436D6"/>
    <w:rsid w:val="15E2459B"/>
    <w:rsid w:val="16106637"/>
    <w:rsid w:val="16250E68"/>
    <w:rsid w:val="16A46254"/>
    <w:rsid w:val="16E37BF2"/>
    <w:rsid w:val="17A9467D"/>
    <w:rsid w:val="17B172B6"/>
    <w:rsid w:val="18194E5B"/>
    <w:rsid w:val="18FC7B0D"/>
    <w:rsid w:val="19114E1F"/>
    <w:rsid w:val="1A08377B"/>
    <w:rsid w:val="1BAF6202"/>
    <w:rsid w:val="1BF14125"/>
    <w:rsid w:val="1C3F6594"/>
    <w:rsid w:val="1C6E7533"/>
    <w:rsid w:val="1C7B464A"/>
    <w:rsid w:val="1C945F5E"/>
    <w:rsid w:val="1E3D7BD5"/>
    <w:rsid w:val="20BE47F2"/>
    <w:rsid w:val="215E1EEE"/>
    <w:rsid w:val="217C6B87"/>
    <w:rsid w:val="21CF52F5"/>
    <w:rsid w:val="237F295E"/>
    <w:rsid w:val="23B96593"/>
    <w:rsid w:val="23C26642"/>
    <w:rsid w:val="247E6772"/>
    <w:rsid w:val="24A563F4"/>
    <w:rsid w:val="24E86888"/>
    <w:rsid w:val="25050C41"/>
    <w:rsid w:val="254716DD"/>
    <w:rsid w:val="256328A5"/>
    <w:rsid w:val="25672C24"/>
    <w:rsid w:val="25FF7D86"/>
    <w:rsid w:val="263D0E06"/>
    <w:rsid w:val="26B345B4"/>
    <w:rsid w:val="280868C2"/>
    <w:rsid w:val="28E514B5"/>
    <w:rsid w:val="29EC28DD"/>
    <w:rsid w:val="29F05FAB"/>
    <w:rsid w:val="2B1E0CAF"/>
    <w:rsid w:val="2BC453B2"/>
    <w:rsid w:val="2C2B0DDE"/>
    <w:rsid w:val="2C7A0167"/>
    <w:rsid w:val="2CD5539D"/>
    <w:rsid w:val="2CE960BE"/>
    <w:rsid w:val="2D8378B6"/>
    <w:rsid w:val="2EFFDDAA"/>
    <w:rsid w:val="2F83618D"/>
    <w:rsid w:val="2FB85411"/>
    <w:rsid w:val="313F556F"/>
    <w:rsid w:val="31490108"/>
    <w:rsid w:val="317C672F"/>
    <w:rsid w:val="32515677"/>
    <w:rsid w:val="32761463"/>
    <w:rsid w:val="328533C1"/>
    <w:rsid w:val="335F5D7A"/>
    <w:rsid w:val="34F9018A"/>
    <w:rsid w:val="359978AF"/>
    <w:rsid w:val="35A72AA3"/>
    <w:rsid w:val="36203B2D"/>
    <w:rsid w:val="367A2F09"/>
    <w:rsid w:val="3698148D"/>
    <w:rsid w:val="36D37275"/>
    <w:rsid w:val="384947E4"/>
    <w:rsid w:val="38DE382B"/>
    <w:rsid w:val="38EA6674"/>
    <w:rsid w:val="38EF1F5A"/>
    <w:rsid w:val="39AD7CF8"/>
    <w:rsid w:val="39BC3B6C"/>
    <w:rsid w:val="3AAD7959"/>
    <w:rsid w:val="3AB02FA5"/>
    <w:rsid w:val="3B754E7B"/>
    <w:rsid w:val="3B881A3E"/>
    <w:rsid w:val="3C814BF9"/>
    <w:rsid w:val="3CAA4150"/>
    <w:rsid w:val="3CED228F"/>
    <w:rsid w:val="3D361E88"/>
    <w:rsid w:val="3D7F8341"/>
    <w:rsid w:val="3DC7137D"/>
    <w:rsid w:val="3E3B4E0A"/>
    <w:rsid w:val="3F103037"/>
    <w:rsid w:val="3F375A43"/>
    <w:rsid w:val="3F5C1E50"/>
    <w:rsid w:val="3F7FCDD0"/>
    <w:rsid w:val="3F8FA4E8"/>
    <w:rsid w:val="3F922241"/>
    <w:rsid w:val="3F9335C1"/>
    <w:rsid w:val="3FE135AA"/>
    <w:rsid w:val="40083DE9"/>
    <w:rsid w:val="407A02DD"/>
    <w:rsid w:val="41483F38"/>
    <w:rsid w:val="414F176A"/>
    <w:rsid w:val="422800FE"/>
    <w:rsid w:val="42762ED1"/>
    <w:rsid w:val="42984A4B"/>
    <w:rsid w:val="42A15FF5"/>
    <w:rsid w:val="4346094B"/>
    <w:rsid w:val="43504BC1"/>
    <w:rsid w:val="43A63197"/>
    <w:rsid w:val="4456696C"/>
    <w:rsid w:val="447D214A"/>
    <w:rsid w:val="44DC50C3"/>
    <w:rsid w:val="457CBE2D"/>
    <w:rsid w:val="4607616F"/>
    <w:rsid w:val="46523385"/>
    <w:rsid w:val="465F41FD"/>
    <w:rsid w:val="46E464B1"/>
    <w:rsid w:val="475E2707"/>
    <w:rsid w:val="478C7274"/>
    <w:rsid w:val="481132D5"/>
    <w:rsid w:val="49B74350"/>
    <w:rsid w:val="4A7E09F0"/>
    <w:rsid w:val="4AF55130"/>
    <w:rsid w:val="4B553E21"/>
    <w:rsid w:val="4B5F82E3"/>
    <w:rsid w:val="4B876873"/>
    <w:rsid w:val="4C0575F5"/>
    <w:rsid w:val="4C5B5467"/>
    <w:rsid w:val="4C6A444E"/>
    <w:rsid w:val="4C8B7FA1"/>
    <w:rsid w:val="4D1D096E"/>
    <w:rsid w:val="4D491763"/>
    <w:rsid w:val="4DF94F37"/>
    <w:rsid w:val="4EC07803"/>
    <w:rsid w:val="4ED96B17"/>
    <w:rsid w:val="4F0771E0"/>
    <w:rsid w:val="4F6665FD"/>
    <w:rsid w:val="4FC21A6F"/>
    <w:rsid w:val="4FFF0EEB"/>
    <w:rsid w:val="502D7800"/>
    <w:rsid w:val="50854860"/>
    <w:rsid w:val="50D61D89"/>
    <w:rsid w:val="50FE0AB7"/>
    <w:rsid w:val="520D0FB1"/>
    <w:rsid w:val="52263E21"/>
    <w:rsid w:val="52D03D8D"/>
    <w:rsid w:val="52D07C21"/>
    <w:rsid w:val="54CA13DC"/>
    <w:rsid w:val="552505A6"/>
    <w:rsid w:val="55A439DB"/>
    <w:rsid w:val="55F1E074"/>
    <w:rsid w:val="56136DED"/>
    <w:rsid w:val="56680EAC"/>
    <w:rsid w:val="56714628"/>
    <w:rsid w:val="57580F21"/>
    <w:rsid w:val="58896EB8"/>
    <w:rsid w:val="59BF7377"/>
    <w:rsid w:val="5AD84127"/>
    <w:rsid w:val="5B7E05FA"/>
    <w:rsid w:val="5C6E6AF1"/>
    <w:rsid w:val="5CC51DEE"/>
    <w:rsid w:val="5D6879E4"/>
    <w:rsid w:val="5DCC0FFF"/>
    <w:rsid w:val="5E4263E3"/>
    <w:rsid w:val="5E621DA5"/>
    <w:rsid w:val="5F0674B4"/>
    <w:rsid w:val="5F210E5C"/>
    <w:rsid w:val="5F443B39"/>
    <w:rsid w:val="5FD96977"/>
    <w:rsid w:val="5FF7D7CC"/>
    <w:rsid w:val="60AF1486"/>
    <w:rsid w:val="621439ED"/>
    <w:rsid w:val="6227101A"/>
    <w:rsid w:val="62C74588"/>
    <w:rsid w:val="62EE493A"/>
    <w:rsid w:val="6342101B"/>
    <w:rsid w:val="637200CA"/>
    <w:rsid w:val="638E607D"/>
    <w:rsid w:val="64C81928"/>
    <w:rsid w:val="654A3701"/>
    <w:rsid w:val="667440DC"/>
    <w:rsid w:val="66D165FA"/>
    <w:rsid w:val="6804655B"/>
    <w:rsid w:val="68182006"/>
    <w:rsid w:val="68263A25"/>
    <w:rsid w:val="68906041"/>
    <w:rsid w:val="69D63085"/>
    <w:rsid w:val="6A2E5B11"/>
    <w:rsid w:val="6AA60A9A"/>
    <w:rsid w:val="6AD62126"/>
    <w:rsid w:val="6B1004D6"/>
    <w:rsid w:val="6B4F5CD7"/>
    <w:rsid w:val="6B645A3D"/>
    <w:rsid w:val="6B87372B"/>
    <w:rsid w:val="6BA81F4E"/>
    <w:rsid w:val="6BC57711"/>
    <w:rsid w:val="6BFF043A"/>
    <w:rsid w:val="6C6C56DF"/>
    <w:rsid w:val="6D9105D9"/>
    <w:rsid w:val="6D9E3515"/>
    <w:rsid w:val="6E613370"/>
    <w:rsid w:val="6F171A72"/>
    <w:rsid w:val="6FB32545"/>
    <w:rsid w:val="6FBB1A0C"/>
    <w:rsid w:val="6FFF011B"/>
    <w:rsid w:val="707F2C23"/>
    <w:rsid w:val="71BC4FB9"/>
    <w:rsid w:val="72190E55"/>
    <w:rsid w:val="72D51220"/>
    <w:rsid w:val="72DA4A88"/>
    <w:rsid w:val="73DA083B"/>
    <w:rsid w:val="73F027E7"/>
    <w:rsid w:val="75383CE8"/>
    <w:rsid w:val="754C41FB"/>
    <w:rsid w:val="7608190C"/>
    <w:rsid w:val="76352043"/>
    <w:rsid w:val="766C18E3"/>
    <w:rsid w:val="769A7028"/>
    <w:rsid w:val="777D0688"/>
    <w:rsid w:val="77AC42BF"/>
    <w:rsid w:val="791A693D"/>
    <w:rsid w:val="799A649F"/>
    <w:rsid w:val="79FB10C6"/>
    <w:rsid w:val="7A5A200A"/>
    <w:rsid w:val="7AC2652D"/>
    <w:rsid w:val="7AD20C71"/>
    <w:rsid w:val="7AF85A3A"/>
    <w:rsid w:val="7BE81FC4"/>
    <w:rsid w:val="7BF7DF74"/>
    <w:rsid w:val="7C15268D"/>
    <w:rsid w:val="7C185455"/>
    <w:rsid w:val="7CA33988"/>
    <w:rsid w:val="7CCF0A8E"/>
    <w:rsid w:val="7CFB0C64"/>
    <w:rsid w:val="7DBD32C9"/>
    <w:rsid w:val="7DD620CC"/>
    <w:rsid w:val="7E9A331D"/>
    <w:rsid w:val="7EB663A9"/>
    <w:rsid w:val="7EEB51F6"/>
    <w:rsid w:val="7EF746DD"/>
    <w:rsid w:val="7F5DF83F"/>
    <w:rsid w:val="7F7F7B28"/>
    <w:rsid w:val="7FDD8D14"/>
    <w:rsid w:val="7FE7EE66"/>
    <w:rsid w:val="7FEB3646"/>
    <w:rsid w:val="7FF6601D"/>
    <w:rsid w:val="7FFF7B31"/>
    <w:rsid w:val="97F8EF05"/>
    <w:rsid w:val="9FE62076"/>
    <w:rsid w:val="9FEF61CF"/>
    <w:rsid w:val="9FFE352B"/>
    <w:rsid w:val="AFFFD7BF"/>
    <w:rsid w:val="B7FF42C2"/>
    <w:rsid w:val="B97C8042"/>
    <w:rsid w:val="BA37311A"/>
    <w:rsid w:val="BFE27215"/>
    <w:rsid w:val="CF95E846"/>
    <w:rsid w:val="D274059A"/>
    <w:rsid w:val="D7FE2BA8"/>
    <w:rsid w:val="DFBFAD81"/>
    <w:rsid w:val="E6DF196A"/>
    <w:rsid w:val="EBE9EB35"/>
    <w:rsid w:val="EBFF857D"/>
    <w:rsid w:val="EFDDE029"/>
    <w:rsid w:val="EFFD611B"/>
    <w:rsid w:val="F52F22B5"/>
    <w:rsid w:val="F5AF2F6B"/>
    <w:rsid w:val="FADC3C11"/>
    <w:rsid w:val="FB5D8A7B"/>
    <w:rsid w:val="FB7E3CCD"/>
    <w:rsid w:val="FBEB4BC8"/>
    <w:rsid w:val="FE7EE62F"/>
    <w:rsid w:val="FFDC118E"/>
    <w:rsid w:val="FFE7EF1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name="table of authorities"/>
    <w:lsdException w:uiPriority="0" w:name="macro"/>
    <w:lsdException w:uiPriority="0" w:name="toa heading"/>
    <w:lsdException w:unhideWhenUsed="0" w:uiPriority="0" w:name="List"/>
    <w:lsdException w:unhideWhenUsed="0"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6"/>
    <w:qFormat/>
    <w:uiPriority w:val="0"/>
    <w:pPr>
      <w:keepNext/>
      <w:keepLines/>
      <w:spacing w:before="260" w:after="260" w:line="412" w:lineRule="auto"/>
      <w:outlineLvl w:val="1"/>
    </w:pPr>
    <w:rPr>
      <w:rFonts w:ascii="Arial" w:hAnsi="Arial" w:eastAsia="黑体"/>
      <w:b/>
      <w:kern w:val="0"/>
      <w:sz w:val="32"/>
      <w:szCs w:val="20"/>
    </w:rPr>
  </w:style>
  <w:style w:type="paragraph" w:styleId="3">
    <w:name w:val="heading 3"/>
    <w:basedOn w:val="1"/>
    <w:next w:val="1"/>
    <w:link w:val="27"/>
    <w:qFormat/>
    <w:uiPriority w:val="0"/>
    <w:pPr>
      <w:keepNext/>
      <w:keepLines/>
      <w:spacing w:before="260" w:after="260" w:line="416" w:lineRule="auto"/>
      <w:outlineLvl w:val="2"/>
    </w:pPr>
    <w:rPr>
      <w:rFonts w:ascii="Times New Roman" w:hAnsi="Times New Roman"/>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bCs/>
    </w:rPr>
  </w:style>
  <w:style w:type="paragraph" w:styleId="5">
    <w:name w:val="annotation text"/>
    <w:basedOn w:val="1"/>
    <w:link w:val="37"/>
    <w:qFormat/>
    <w:uiPriority w:val="0"/>
    <w:pPr>
      <w:widowControl/>
      <w:spacing w:line="360" w:lineRule="auto"/>
      <w:ind w:firstLine="200" w:firstLineChars="200"/>
      <w:jc w:val="left"/>
    </w:pPr>
    <w:rPr>
      <w:rFonts w:hint="eastAsia" w:ascii="宋体" w:hAnsi="Times New Roman"/>
      <w:kern w:val="0"/>
      <w:sz w:val="24"/>
      <w:szCs w:val="20"/>
    </w:rPr>
  </w:style>
  <w:style w:type="paragraph" w:styleId="6">
    <w:name w:val="Body Text"/>
    <w:basedOn w:val="1"/>
    <w:link w:val="29"/>
    <w:qFormat/>
    <w:uiPriority w:val="0"/>
    <w:pPr>
      <w:spacing w:after="120"/>
    </w:pPr>
  </w:style>
  <w:style w:type="paragraph" w:styleId="7">
    <w:name w:val="Body Text Indent"/>
    <w:basedOn w:val="1"/>
    <w:link w:val="35"/>
    <w:semiHidden/>
    <w:unhideWhenUsed/>
    <w:qFormat/>
    <w:uiPriority w:val="0"/>
    <w:pPr>
      <w:spacing w:after="120"/>
      <w:ind w:left="420" w:leftChars="200"/>
    </w:pPr>
  </w:style>
  <w:style w:type="paragraph" w:styleId="8">
    <w:name w:val="Block Text"/>
    <w:basedOn w:val="1"/>
    <w:qFormat/>
    <w:uiPriority w:val="0"/>
    <w:pPr>
      <w:spacing w:line="440" w:lineRule="exact"/>
      <w:ind w:left="-540" w:leftChars="-257" w:right="-334" w:rightChars="-159" w:firstLine="1140"/>
    </w:pPr>
    <w:rPr>
      <w:rFonts w:ascii="Times New Roman" w:hAnsi="Times New Roman"/>
      <w:sz w:val="24"/>
      <w:szCs w:val="20"/>
    </w:rPr>
  </w:style>
  <w:style w:type="paragraph" w:styleId="9">
    <w:name w:val="Plain Text"/>
    <w:basedOn w:val="1"/>
    <w:link w:val="33"/>
    <w:qFormat/>
    <w:uiPriority w:val="0"/>
    <w:rPr>
      <w:rFonts w:hint="eastAsia" w:ascii="宋体" w:hAnsi="Courier New"/>
      <w:kern w:val="0"/>
      <w:sz w:val="20"/>
      <w:szCs w:val="21"/>
    </w:rPr>
  </w:style>
  <w:style w:type="paragraph" w:styleId="10">
    <w:name w:val="Balloon Text"/>
    <w:basedOn w:val="1"/>
    <w:link w:val="23"/>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15">
    <w:name w:val="annotation subject"/>
    <w:basedOn w:val="5"/>
    <w:next w:val="5"/>
    <w:link w:val="30"/>
    <w:qFormat/>
    <w:uiPriority w:val="0"/>
    <w:rPr>
      <w:b/>
      <w:bCs/>
      <w:sz w:val="20"/>
    </w:rPr>
  </w:style>
  <w:style w:type="paragraph" w:styleId="16">
    <w:name w:val="Body Text First Indent"/>
    <w:basedOn w:val="6"/>
    <w:next w:val="17"/>
    <w:link w:val="31"/>
    <w:qFormat/>
    <w:uiPriority w:val="0"/>
    <w:pPr>
      <w:ind w:firstLine="420" w:firstLineChars="100"/>
    </w:pPr>
    <w:rPr>
      <w:rFonts w:ascii="Times New Roman" w:hAnsi="Times New Roman"/>
    </w:rPr>
  </w:style>
  <w:style w:type="paragraph" w:styleId="17">
    <w:name w:val="Body Text First Indent 2"/>
    <w:basedOn w:val="7"/>
    <w:link w:val="36"/>
    <w:unhideWhenUsed/>
    <w:qFormat/>
    <w:uiPriority w:val="99"/>
    <w:pPr>
      <w:widowControl/>
      <w:spacing w:line="256" w:lineRule="auto"/>
      <w:ind w:firstLine="420" w:firstLineChars="200"/>
      <w:jc w:val="left"/>
    </w:pPr>
    <w:rPr>
      <w:rFonts w:eastAsia="Calibri"/>
      <w:color w:val="000000"/>
      <w:sz w:val="22"/>
    </w:rPr>
  </w:style>
  <w:style w:type="character" w:styleId="20">
    <w:name w:val="Hyperlink"/>
    <w:unhideWhenUsed/>
    <w:qFormat/>
    <w:uiPriority w:val="99"/>
    <w:rPr>
      <w:color w:val="0563C1"/>
      <w:u w:val="single"/>
    </w:rPr>
  </w:style>
  <w:style w:type="character" w:styleId="21">
    <w:name w:val="annotation reference"/>
    <w:basedOn w:val="19"/>
    <w:semiHidden/>
    <w:unhideWhenUsed/>
    <w:qFormat/>
    <w:uiPriority w:val="0"/>
    <w:rPr>
      <w:sz w:val="21"/>
      <w:szCs w:val="21"/>
    </w:rPr>
  </w:style>
  <w:style w:type="paragraph" w:customStyle="1" w:styleId="22">
    <w:name w:val="首行缩进"/>
    <w:basedOn w:val="1"/>
    <w:qFormat/>
    <w:uiPriority w:val="0"/>
    <w:pPr>
      <w:spacing w:line="300" w:lineRule="auto"/>
      <w:ind w:firstLine="420"/>
    </w:pPr>
    <w:rPr>
      <w:rFonts w:eastAsia="方正书宋简体"/>
    </w:rPr>
  </w:style>
  <w:style w:type="character" w:customStyle="1" w:styleId="23">
    <w:name w:val="批注框文本 字符"/>
    <w:basedOn w:val="19"/>
    <w:link w:val="10"/>
    <w:qFormat/>
    <w:uiPriority w:val="0"/>
    <w:rPr>
      <w:rFonts w:ascii="Calibri" w:hAnsi="Calibri" w:eastAsia="宋体" w:cs="Times New Roman"/>
      <w:kern w:val="2"/>
      <w:sz w:val="18"/>
      <w:szCs w:val="18"/>
    </w:rPr>
  </w:style>
  <w:style w:type="character" w:customStyle="1" w:styleId="24">
    <w:name w:val="页眉 字符"/>
    <w:basedOn w:val="19"/>
    <w:link w:val="12"/>
    <w:qFormat/>
    <w:uiPriority w:val="0"/>
    <w:rPr>
      <w:rFonts w:ascii="Calibri" w:hAnsi="Calibri" w:eastAsia="宋体" w:cs="Times New Roman"/>
      <w:kern w:val="2"/>
      <w:sz w:val="18"/>
      <w:szCs w:val="18"/>
    </w:rPr>
  </w:style>
  <w:style w:type="character" w:customStyle="1" w:styleId="25">
    <w:name w:val="页脚 字符"/>
    <w:basedOn w:val="19"/>
    <w:link w:val="11"/>
    <w:qFormat/>
    <w:uiPriority w:val="0"/>
    <w:rPr>
      <w:rFonts w:ascii="Calibri" w:hAnsi="Calibri" w:eastAsia="宋体" w:cs="Times New Roman"/>
      <w:kern w:val="2"/>
      <w:sz w:val="18"/>
      <w:szCs w:val="18"/>
    </w:rPr>
  </w:style>
  <w:style w:type="character" w:customStyle="1" w:styleId="26">
    <w:name w:val="标题 2 字符"/>
    <w:basedOn w:val="19"/>
    <w:link w:val="2"/>
    <w:qFormat/>
    <w:uiPriority w:val="0"/>
    <w:rPr>
      <w:rFonts w:ascii="Arial" w:hAnsi="Arial" w:eastAsia="黑体" w:cs="Times New Roman"/>
      <w:b/>
      <w:sz w:val="32"/>
    </w:rPr>
  </w:style>
  <w:style w:type="character" w:customStyle="1" w:styleId="27">
    <w:name w:val="标题 3 字符"/>
    <w:basedOn w:val="19"/>
    <w:link w:val="3"/>
    <w:qFormat/>
    <w:uiPriority w:val="0"/>
    <w:rPr>
      <w:rFonts w:ascii="Times New Roman" w:hAnsi="Times New Roman" w:eastAsia="宋体" w:cs="Times New Roman"/>
      <w:b/>
      <w:bCs/>
      <w:kern w:val="2"/>
      <w:sz w:val="32"/>
      <w:szCs w:val="32"/>
    </w:rPr>
  </w:style>
  <w:style w:type="character" w:customStyle="1" w:styleId="28">
    <w:name w:val="批注文字 字符"/>
    <w:basedOn w:val="19"/>
    <w:qFormat/>
    <w:uiPriority w:val="0"/>
    <w:rPr>
      <w:rFonts w:ascii="Calibri" w:hAnsi="Calibri" w:eastAsia="宋体" w:cs="Times New Roman"/>
      <w:kern w:val="2"/>
      <w:sz w:val="21"/>
      <w:szCs w:val="22"/>
    </w:rPr>
  </w:style>
  <w:style w:type="character" w:customStyle="1" w:styleId="29">
    <w:name w:val="正文文本 字符"/>
    <w:basedOn w:val="19"/>
    <w:link w:val="6"/>
    <w:qFormat/>
    <w:uiPriority w:val="0"/>
    <w:rPr>
      <w:rFonts w:ascii="Calibri" w:hAnsi="Calibri" w:eastAsia="宋体" w:cs="Times New Roman"/>
      <w:kern w:val="2"/>
      <w:sz w:val="21"/>
      <w:szCs w:val="22"/>
    </w:rPr>
  </w:style>
  <w:style w:type="character" w:customStyle="1" w:styleId="30">
    <w:name w:val="批注主题 字符"/>
    <w:basedOn w:val="28"/>
    <w:link w:val="15"/>
    <w:qFormat/>
    <w:uiPriority w:val="0"/>
    <w:rPr>
      <w:rFonts w:ascii="Calibri" w:hAnsi="Calibri" w:eastAsia="宋体" w:cs="Times New Roman"/>
      <w:b/>
      <w:bCs/>
      <w:kern w:val="2"/>
      <w:sz w:val="21"/>
      <w:szCs w:val="22"/>
    </w:rPr>
  </w:style>
  <w:style w:type="character" w:customStyle="1" w:styleId="31">
    <w:name w:val="正文文本首行缩进 字符"/>
    <w:basedOn w:val="29"/>
    <w:link w:val="16"/>
    <w:qFormat/>
    <w:uiPriority w:val="0"/>
    <w:rPr>
      <w:rFonts w:ascii="Times New Roman" w:hAnsi="Times New Roman" w:eastAsia="宋体" w:cs="Times New Roman"/>
      <w:kern w:val="2"/>
      <w:sz w:val="21"/>
      <w:szCs w:val="22"/>
    </w:rPr>
  </w:style>
  <w:style w:type="paragraph" w:customStyle="1" w:styleId="32">
    <w:name w:val="xl84"/>
    <w:basedOn w:val="1"/>
    <w:qFormat/>
    <w:uiPriority w:val="0"/>
    <w:pPr>
      <w:widowControl/>
      <w:spacing w:before="100" w:beforeAutospacing="1" w:after="100" w:afterAutospacing="1"/>
      <w:jc w:val="left"/>
    </w:pPr>
    <w:rPr>
      <w:rFonts w:ascii="宋体" w:hAnsi="宋体" w:cs="宋体"/>
      <w:b/>
      <w:bCs/>
      <w:kern w:val="0"/>
      <w:sz w:val="18"/>
      <w:szCs w:val="18"/>
    </w:rPr>
  </w:style>
  <w:style w:type="character" w:customStyle="1" w:styleId="33">
    <w:name w:val="纯文本 字符"/>
    <w:basedOn w:val="19"/>
    <w:link w:val="9"/>
    <w:qFormat/>
    <w:uiPriority w:val="0"/>
    <w:rPr>
      <w:rFonts w:ascii="宋体" w:hAnsi="Courier New" w:eastAsia="宋体" w:cs="Times New Roman"/>
      <w:szCs w:val="21"/>
    </w:rPr>
  </w:style>
  <w:style w:type="paragraph" w:customStyle="1" w:styleId="34">
    <w:name w:val="_Style 44"/>
    <w:basedOn w:val="6"/>
    <w:next w:val="16"/>
    <w:qFormat/>
    <w:uiPriority w:val="99"/>
    <w:pPr>
      <w:spacing w:before="100" w:beforeAutospacing="1"/>
      <w:ind w:firstLine="420"/>
    </w:pPr>
    <w:rPr>
      <w:rFonts w:ascii="Times New Roman" w:hAnsi="Times New Roman"/>
    </w:rPr>
  </w:style>
  <w:style w:type="character" w:customStyle="1" w:styleId="35">
    <w:name w:val="正文文本缩进 字符"/>
    <w:basedOn w:val="19"/>
    <w:link w:val="7"/>
    <w:qFormat/>
    <w:uiPriority w:val="0"/>
    <w:rPr>
      <w:rFonts w:hint="default" w:ascii="Calibri" w:hAnsi="Calibri" w:eastAsia="宋体" w:cs="Times New Roman"/>
      <w:kern w:val="2"/>
      <w:sz w:val="21"/>
      <w:szCs w:val="22"/>
    </w:rPr>
  </w:style>
  <w:style w:type="character" w:customStyle="1" w:styleId="36">
    <w:name w:val="正文文本首行缩进 2 字符"/>
    <w:basedOn w:val="35"/>
    <w:link w:val="17"/>
    <w:qFormat/>
    <w:uiPriority w:val="0"/>
    <w:rPr>
      <w:rFonts w:hint="default" w:ascii="Calibri" w:hAnsi="Calibri" w:eastAsia="宋体" w:cs="Times New Roman"/>
      <w:kern w:val="2"/>
      <w:sz w:val="21"/>
      <w:szCs w:val="22"/>
    </w:rPr>
  </w:style>
  <w:style w:type="character" w:customStyle="1" w:styleId="37">
    <w:name w:val="批注文字 字符1"/>
    <w:basedOn w:val="19"/>
    <w:link w:val="5"/>
    <w:qFormat/>
    <w:uiPriority w:val="0"/>
    <w:rPr>
      <w:rFonts w:hint="eastAsia" w:ascii="宋体" w:hAnsi="宋体" w:eastAsia="宋体" w:cs="宋体"/>
      <w:sz w:val="24"/>
    </w:rPr>
  </w:style>
  <w:style w:type="paragraph" w:customStyle="1" w:styleId="3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0">
    <w:name w:val="发文落款"/>
    <w:basedOn w:val="39"/>
    <w:qFormat/>
    <w:uiPriority w:val="0"/>
    <w:pPr>
      <w:ind w:left="4094" w:right="607" w:firstLine="0"/>
      <w:jc w:val="center"/>
    </w:pPr>
    <w:rPr>
      <w:rFonts w:cs="仿宋_GB2312"/>
      <w:szCs w:val="32"/>
    </w:rPr>
  </w:style>
  <w:style w:type="paragraph" w:customStyle="1" w:styleId="4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7045</Words>
  <Characters>7460</Characters>
  <Lines>56</Lines>
  <Paragraphs>16</Paragraphs>
  <TotalTime>16</TotalTime>
  <ScaleCrop>false</ScaleCrop>
  <LinksUpToDate>false</LinksUpToDate>
  <CharactersWithSpaces>7675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2023-10-07T01:44:00Z</dcterms:created>
  <dc:creator>广东工程经办人</dc:creator>
  <cp:lastModifiedBy>USER</cp:lastModifiedBy>
  <cp:lastPrinted>2025-07-28T07:23:00Z</cp:lastPrinted>
  <dcterms:modified xsi:type="dcterms:W3CDTF">2025-08-06T03:27:06Z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D24A3890438540DA9E06B05C340E55C8_13</vt:lpwstr>
  </property>
  <property fmtid="{D5CDD505-2E9C-101B-9397-08002B2CF9AE}" pid="4" name="KSOTemplateDocerSaveRecord">
    <vt:lpwstr>eyJoZGlkIjoiYzFmM2UyNmExMGFkOTdkNDE4YTQyNjA4NjVjNTk1ODciLCJ1c2VySWQiOiIyODM1MzYwNDEifQ==</vt:lpwstr>
  </property>
</Properties>
</file>