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72A7C">
      <w:pPr>
        <w:pStyle w:val="20"/>
        <w:ind w:firstLine="0" w:firstLineChars="0"/>
        <w:jc w:val="both"/>
        <w:rPr>
          <w:color w:val="auto"/>
          <w:highlight w:val="none"/>
        </w:rPr>
      </w:pPr>
      <w:r>
        <w:t xml:space="preserve"> </w:t>
      </w:r>
      <w:r>
        <w:rPr>
          <w:color w:val="auto"/>
          <w:highlight w:val="none"/>
        </w:rPr>
        <w:t xml:space="preserve">                </w:t>
      </w:r>
      <w:r>
        <w:rPr>
          <w:rFonts w:hint="eastAsia"/>
          <w:color w:val="auto"/>
          <w:highlight w:val="none"/>
        </w:rPr>
        <w:t xml:space="preserve">                      </w:t>
      </w:r>
      <w:r>
        <w:rPr>
          <w:color w:val="auto"/>
          <w:sz w:val="24"/>
          <w:highlight w:val="none"/>
        </w:rPr>
        <w:t>合同编号：</w:t>
      </w:r>
    </w:p>
    <w:p w14:paraId="1AE91249">
      <w:pPr>
        <w:pStyle w:val="21"/>
        <w:rPr>
          <w:color w:val="auto"/>
          <w:highlight w:val="none"/>
        </w:rPr>
      </w:pPr>
    </w:p>
    <w:p w14:paraId="689D87A4">
      <w:pPr>
        <w:pStyle w:val="21"/>
        <w:rPr>
          <w:color w:val="auto"/>
          <w:highlight w:val="none"/>
        </w:rPr>
      </w:pPr>
    </w:p>
    <w:p w14:paraId="7EB4BC62">
      <w:pPr>
        <w:pStyle w:val="23"/>
        <w:ind w:firstLine="0" w:firstLineChars="0"/>
        <w:rPr>
          <w:b/>
          <w:bCs/>
          <w:color w:val="auto"/>
          <w:sz w:val="48"/>
          <w:highlight w:val="none"/>
        </w:rPr>
      </w:pPr>
    </w:p>
    <w:p w14:paraId="1FB68D58">
      <w:pPr>
        <w:pStyle w:val="23"/>
        <w:ind w:firstLine="0" w:firstLineChars="0"/>
        <w:rPr>
          <w:b/>
          <w:bCs/>
          <w:color w:val="auto"/>
          <w:sz w:val="48"/>
          <w:highlight w:val="none"/>
        </w:rPr>
      </w:pPr>
    </w:p>
    <w:p w14:paraId="2FDFCA95">
      <w:pPr>
        <w:pStyle w:val="23"/>
        <w:ind w:firstLine="0" w:firstLineChars="0"/>
        <w:rPr>
          <w:b/>
          <w:bCs/>
          <w:color w:val="auto"/>
          <w:sz w:val="48"/>
          <w:highlight w:val="none"/>
        </w:rPr>
      </w:pPr>
      <w:r>
        <w:rPr>
          <w:rFonts w:hint="eastAsia"/>
          <w:b/>
          <w:bCs/>
          <w:color w:val="auto"/>
          <w:sz w:val="48"/>
          <w:highlight w:val="none"/>
        </w:rPr>
        <w:t>花果山产业小镇综合配套工程建设项目</w:t>
      </w:r>
    </w:p>
    <w:p w14:paraId="231A15D6">
      <w:pPr>
        <w:pStyle w:val="23"/>
        <w:ind w:firstLine="964"/>
        <w:rPr>
          <w:b/>
          <w:bCs/>
          <w:color w:val="auto"/>
          <w:sz w:val="48"/>
          <w:highlight w:val="none"/>
        </w:rPr>
      </w:pPr>
      <w:r>
        <w:rPr>
          <w:rFonts w:hint="eastAsia"/>
          <w:b/>
          <w:bCs/>
          <w:color w:val="auto"/>
          <w:sz w:val="48"/>
          <w:highlight w:val="none"/>
        </w:rPr>
        <w:t>土壤污染修复技术服务合同</w:t>
      </w:r>
    </w:p>
    <w:p w14:paraId="1C09E3CA">
      <w:pPr>
        <w:pStyle w:val="23"/>
        <w:ind w:firstLine="400"/>
        <w:rPr>
          <w:color w:val="auto"/>
          <w:highlight w:val="none"/>
        </w:rPr>
      </w:pPr>
    </w:p>
    <w:p w14:paraId="0FB72764">
      <w:pPr>
        <w:pStyle w:val="21"/>
        <w:rPr>
          <w:color w:val="auto"/>
          <w:highlight w:val="none"/>
        </w:rPr>
      </w:pPr>
    </w:p>
    <w:p w14:paraId="0A73ED5E">
      <w:pPr>
        <w:pStyle w:val="21"/>
        <w:rPr>
          <w:color w:val="auto"/>
          <w:highlight w:val="none"/>
        </w:rPr>
      </w:pPr>
    </w:p>
    <w:p w14:paraId="750C0C48">
      <w:pPr>
        <w:pStyle w:val="21"/>
        <w:rPr>
          <w:color w:val="auto"/>
          <w:highlight w:val="none"/>
        </w:rPr>
      </w:pPr>
    </w:p>
    <w:p w14:paraId="5FF0E219">
      <w:pPr>
        <w:pStyle w:val="21"/>
        <w:rPr>
          <w:color w:val="auto"/>
          <w:highlight w:val="none"/>
        </w:rPr>
      </w:pPr>
    </w:p>
    <w:p w14:paraId="33CA9996">
      <w:pPr>
        <w:pStyle w:val="21"/>
        <w:rPr>
          <w:color w:val="auto"/>
          <w:highlight w:val="none"/>
        </w:rPr>
      </w:pPr>
    </w:p>
    <w:p w14:paraId="354D1D81">
      <w:pPr>
        <w:pStyle w:val="21"/>
        <w:rPr>
          <w:color w:val="auto"/>
          <w:highlight w:val="none"/>
        </w:rPr>
      </w:pPr>
    </w:p>
    <w:p w14:paraId="2B7CDB0A">
      <w:pPr>
        <w:pStyle w:val="21"/>
        <w:rPr>
          <w:color w:val="auto"/>
          <w:highlight w:val="none"/>
        </w:rPr>
      </w:pPr>
    </w:p>
    <w:p w14:paraId="2486CE17">
      <w:pPr>
        <w:pStyle w:val="21"/>
        <w:rPr>
          <w:color w:val="auto"/>
          <w:highlight w:val="none"/>
        </w:rPr>
      </w:pPr>
    </w:p>
    <w:p w14:paraId="6443E8E7">
      <w:pPr>
        <w:pStyle w:val="21"/>
        <w:rPr>
          <w:color w:val="auto"/>
          <w:highlight w:val="none"/>
        </w:rPr>
      </w:pPr>
    </w:p>
    <w:p w14:paraId="6B9CC9FB">
      <w:pPr>
        <w:pStyle w:val="21"/>
        <w:rPr>
          <w:color w:val="auto"/>
          <w:highlight w:val="none"/>
        </w:rPr>
      </w:pPr>
    </w:p>
    <w:p w14:paraId="2750EFD4">
      <w:pPr>
        <w:pStyle w:val="21"/>
        <w:rPr>
          <w:color w:val="auto"/>
          <w:highlight w:val="none"/>
        </w:rPr>
      </w:pPr>
    </w:p>
    <w:p w14:paraId="5CF862BE">
      <w:pPr>
        <w:pStyle w:val="21"/>
        <w:rPr>
          <w:color w:val="auto"/>
          <w:highlight w:val="none"/>
        </w:rPr>
      </w:pPr>
    </w:p>
    <w:p w14:paraId="6397C787">
      <w:pPr>
        <w:pStyle w:val="21"/>
        <w:rPr>
          <w:color w:val="auto"/>
          <w:highlight w:val="none"/>
        </w:rPr>
      </w:pPr>
    </w:p>
    <w:p w14:paraId="3588ED33">
      <w:pPr>
        <w:pStyle w:val="21"/>
        <w:rPr>
          <w:color w:val="auto"/>
          <w:highlight w:val="none"/>
        </w:rPr>
      </w:pPr>
    </w:p>
    <w:p w14:paraId="27D8902D">
      <w:pPr>
        <w:pStyle w:val="21"/>
        <w:rPr>
          <w:color w:val="auto"/>
          <w:highlight w:val="none"/>
          <w:lang w:val="zh-CN"/>
        </w:rPr>
      </w:pPr>
      <w:r>
        <w:rPr>
          <w:color w:val="auto"/>
          <w:highlight w:val="none"/>
          <w:lang w:val="zh-CN"/>
        </w:rPr>
        <w:t>甲方</w:t>
      </w:r>
      <w:r>
        <w:rPr>
          <w:rFonts w:hint="eastAsia"/>
          <w:color w:val="auto"/>
          <w:highlight w:val="none"/>
        </w:rPr>
        <w:t>：广州市越秀区代建项目管理中心</w:t>
      </w:r>
    </w:p>
    <w:p w14:paraId="1A0FF3B4">
      <w:pPr>
        <w:pStyle w:val="21"/>
        <w:rPr>
          <w:color w:val="auto"/>
          <w:highlight w:val="none"/>
        </w:rPr>
      </w:pPr>
      <w:r>
        <w:rPr>
          <w:rFonts w:hint="eastAsia"/>
          <w:color w:val="auto"/>
          <w:highlight w:val="none"/>
        </w:rPr>
        <w:t>乙方：</w:t>
      </w:r>
    </w:p>
    <w:p w14:paraId="18260E7E">
      <w:pPr>
        <w:widowControl/>
        <w:jc w:val="left"/>
        <w:rPr>
          <w:rFonts w:ascii="Times New Roman" w:hAnsi="Times New Roman"/>
          <w:b/>
          <w:bCs/>
          <w:color w:val="auto"/>
          <w:sz w:val="32"/>
          <w:szCs w:val="32"/>
          <w:highlight w:val="none"/>
          <w:lang w:val="zh-CN"/>
        </w:rPr>
      </w:pPr>
      <w:r>
        <w:rPr>
          <w:rFonts w:ascii="Times New Roman" w:hAnsi="Times New Roman"/>
          <w:b/>
          <w:bCs/>
          <w:color w:val="auto"/>
          <w:sz w:val="32"/>
          <w:szCs w:val="32"/>
          <w:highlight w:val="none"/>
          <w:lang w:val="zh-CN"/>
        </w:rPr>
        <w:br w:type="page"/>
      </w:r>
    </w:p>
    <w:p w14:paraId="20D461A4">
      <w:pPr>
        <w:pStyle w:val="21"/>
        <w:rPr>
          <w:color w:val="auto"/>
          <w:highlight w:val="none"/>
        </w:rPr>
      </w:pPr>
      <w:r>
        <w:rPr>
          <w:rFonts w:hint="eastAsia"/>
          <w:color w:val="auto"/>
          <w:highlight w:val="none"/>
        </w:rPr>
        <w:t>甲方系花果山产业小镇综合配套工程建设项目土壤污染修复技术服务项目（下称“项目”）的招标人。乙方系项目中标人，为项目</w:t>
      </w:r>
      <w:r>
        <w:rPr>
          <w:rFonts w:hint="eastAsia" w:ascii="宋体" w:hAnsi="宋体"/>
          <w:snapToGrid w:val="0"/>
          <w:color w:val="auto"/>
          <w:highlight w:val="none"/>
        </w:rPr>
        <w:t>土壤污染修复相关工作服务单</w:t>
      </w:r>
      <w:r>
        <w:rPr>
          <w:rFonts w:hint="eastAsia" w:ascii="宋体" w:hAnsi="宋体"/>
          <w:color w:val="auto"/>
          <w:highlight w:val="none"/>
        </w:rPr>
        <w:t>位。</w:t>
      </w:r>
    </w:p>
    <w:p w14:paraId="05D4B5AD">
      <w:pPr>
        <w:pStyle w:val="21"/>
        <w:rPr>
          <w:color w:val="auto"/>
          <w:highlight w:val="none"/>
        </w:rPr>
      </w:pPr>
      <w:r>
        <w:rPr>
          <w:rFonts w:hint="eastAsia"/>
          <w:color w:val="auto"/>
          <w:highlight w:val="none"/>
        </w:rPr>
        <w:t>依据</w:t>
      </w:r>
      <w:r>
        <w:rPr>
          <w:color w:val="auto"/>
          <w:highlight w:val="none"/>
        </w:rPr>
        <w:t>《中华人民共和国</w:t>
      </w:r>
      <w:r>
        <w:rPr>
          <w:rFonts w:hint="eastAsia"/>
          <w:color w:val="auto"/>
          <w:highlight w:val="none"/>
        </w:rPr>
        <w:t>民法典</w:t>
      </w:r>
      <w:r>
        <w:rPr>
          <w:color w:val="auto"/>
          <w:highlight w:val="none"/>
        </w:rPr>
        <w:t>》</w:t>
      </w:r>
      <w:r>
        <w:rPr>
          <w:rFonts w:hint="eastAsia"/>
          <w:color w:val="auto"/>
          <w:highlight w:val="none"/>
        </w:rPr>
        <w:t>《中华人民共和国招标投标法》</w:t>
      </w:r>
      <w:r>
        <w:rPr>
          <w:color w:val="auto"/>
          <w:highlight w:val="none"/>
        </w:rPr>
        <w:t>《中华人民共和国</w:t>
      </w:r>
      <w:r>
        <w:rPr>
          <w:rFonts w:hint="eastAsia"/>
          <w:color w:val="auto"/>
          <w:highlight w:val="none"/>
        </w:rPr>
        <w:t>土壤污染防治</w:t>
      </w:r>
      <w:r>
        <w:rPr>
          <w:color w:val="auto"/>
          <w:highlight w:val="none"/>
        </w:rPr>
        <w:t>法》</w:t>
      </w:r>
      <w:r>
        <w:rPr>
          <w:rFonts w:hint="eastAsia"/>
          <w:color w:val="auto"/>
          <w:highlight w:val="none"/>
        </w:rPr>
        <w:t>相关</w:t>
      </w:r>
      <w:r>
        <w:rPr>
          <w:color w:val="auto"/>
          <w:highlight w:val="none"/>
        </w:rPr>
        <w:t>规定</w:t>
      </w:r>
      <w:r>
        <w:rPr>
          <w:rFonts w:hint="eastAsia"/>
          <w:color w:val="auto"/>
          <w:highlight w:val="none"/>
        </w:rPr>
        <w:t>及项目招标文件、投标文件</w:t>
      </w:r>
      <w:r>
        <w:rPr>
          <w:color w:val="auto"/>
          <w:highlight w:val="none"/>
        </w:rPr>
        <w:t>，结合本合同所涉及项目的具体情况，为明确</w:t>
      </w:r>
      <w:r>
        <w:rPr>
          <w:rFonts w:hint="eastAsia"/>
          <w:color w:val="auto"/>
          <w:highlight w:val="none"/>
        </w:rPr>
        <w:t>甲乙双</w:t>
      </w:r>
      <w:r>
        <w:rPr>
          <w:color w:val="auto"/>
          <w:highlight w:val="none"/>
        </w:rPr>
        <w:t>方权利义务，确保</w:t>
      </w:r>
      <w:r>
        <w:rPr>
          <w:rFonts w:hint="eastAsia"/>
          <w:color w:val="auto"/>
          <w:highlight w:val="none"/>
        </w:rPr>
        <w:t>项目</w:t>
      </w:r>
      <w:r>
        <w:rPr>
          <w:rFonts w:hint="eastAsia" w:ascii="宋体" w:hAnsi="宋体"/>
          <w:snapToGrid w:val="0"/>
          <w:color w:val="auto"/>
          <w:szCs w:val="24"/>
          <w:highlight w:val="none"/>
        </w:rPr>
        <w:t>实施</w:t>
      </w:r>
      <w:r>
        <w:rPr>
          <w:color w:val="auto"/>
          <w:highlight w:val="none"/>
        </w:rPr>
        <w:t>工作质量，按照平等、自愿、公平和诚实信用的原则，经</w:t>
      </w:r>
      <w:r>
        <w:rPr>
          <w:rFonts w:hint="eastAsia"/>
          <w:color w:val="auto"/>
          <w:highlight w:val="none"/>
        </w:rPr>
        <w:t>甲乙双方</w:t>
      </w:r>
      <w:r>
        <w:rPr>
          <w:color w:val="auto"/>
          <w:highlight w:val="none"/>
        </w:rPr>
        <w:t>协商一致，订立本合同。</w:t>
      </w:r>
    </w:p>
    <w:p w14:paraId="6AD324B8">
      <w:pPr>
        <w:pStyle w:val="21"/>
        <w:rPr>
          <w:color w:val="auto"/>
          <w:highlight w:val="none"/>
        </w:rPr>
      </w:pPr>
      <w:r>
        <w:rPr>
          <w:color w:val="auto"/>
          <w:highlight w:val="none"/>
        </w:rPr>
        <w:t>第一条</w:t>
      </w:r>
      <w:r>
        <w:rPr>
          <w:rFonts w:hint="eastAsia"/>
          <w:color w:val="auto"/>
          <w:highlight w:val="none"/>
        </w:rPr>
        <w:t xml:space="preserve"> </w:t>
      </w:r>
      <w:r>
        <w:rPr>
          <w:color w:val="auto"/>
          <w:highlight w:val="none"/>
        </w:rPr>
        <w:t>项目概况</w:t>
      </w:r>
    </w:p>
    <w:p w14:paraId="2A18C9A2">
      <w:pPr>
        <w:pStyle w:val="21"/>
        <w:rPr>
          <w:color w:val="auto"/>
          <w:highlight w:val="none"/>
        </w:rPr>
      </w:pPr>
      <w:r>
        <w:rPr>
          <w:color w:val="auto"/>
          <w:highlight w:val="none"/>
        </w:rPr>
        <w:t>1.1</w:t>
      </w:r>
      <w:r>
        <w:rPr>
          <w:color w:val="auto"/>
          <w:highlight w:val="none"/>
        </w:rPr>
        <w:tab/>
      </w:r>
      <w:r>
        <w:rPr>
          <w:color w:val="auto"/>
          <w:highlight w:val="none"/>
        </w:rPr>
        <w:t>项目地点：</w:t>
      </w:r>
      <w:r>
        <w:rPr>
          <w:rFonts w:hint="eastAsia"/>
          <w:color w:val="auto"/>
          <w:highlight w:val="none"/>
        </w:rPr>
        <w:t>广州市越秀区西胜街以北、广州市广播电视台以东、广州青少年科技馆以西地块。</w:t>
      </w:r>
    </w:p>
    <w:p w14:paraId="3C6046F7">
      <w:pPr>
        <w:pStyle w:val="21"/>
        <w:rPr>
          <w:color w:val="auto"/>
          <w:highlight w:val="none"/>
        </w:rPr>
      </w:pPr>
      <w:r>
        <w:rPr>
          <w:color w:val="auto"/>
          <w:highlight w:val="none"/>
        </w:rPr>
        <w:t>1.2</w:t>
      </w:r>
      <w:r>
        <w:rPr>
          <w:color w:val="auto"/>
          <w:highlight w:val="none"/>
        </w:rPr>
        <w:tab/>
      </w:r>
      <w:r>
        <w:rPr>
          <w:color w:val="auto"/>
          <w:highlight w:val="none"/>
        </w:rPr>
        <w:t>项目规模：</w:t>
      </w:r>
      <w:r>
        <w:rPr>
          <w:rFonts w:hint="eastAsia"/>
          <w:color w:val="auto"/>
          <w:highlight w:val="none"/>
          <w:u w:val="single"/>
        </w:rPr>
        <w:t>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68AF7318">
      <w:pPr>
        <w:pStyle w:val="21"/>
        <w:rPr>
          <w:color w:val="auto"/>
          <w:highlight w:val="none"/>
        </w:rPr>
      </w:pPr>
      <w:r>
        <w:rPr>
          <w:color w:val="auto"/>
          <w:highlight w:val="none"/>
        </w:rPr>
        <w:t>第二条</w:t>
      </w:r>
      <w:r>
        <w:rPr>
          <w:rFonts w:hint="eastAsia"/>
          <w:color w:val="auto"/>
          <w:highlight w:val="none"/>
        </w:rPr>
        <w:t xml:space="preserve"> </w:t>
      </w:r>
      <w:r>
        <w:rPr>
          <w:color w:val="auto"/>
          <w:highlight w:val="none"/>
        </w:rPr>
        <w:t>工作范围及工作内容</w:t>
      </w:r>
    </w:p>
    <w:p w14:paraId="663C017F">
      <w:pPr>
        <w:pStyle w:val="21"/>
        <w:rPr>
          <w:color w:val="auto"/>
          <w:highlight w:val="none"/>
        </w:rPr>
      </w:pPr>
      <w:r>
        <w:rPr>
          <w:color w:val="auto"/>
          <w:highlight w:val="none"/>
        </w:rPr>
        <w:t>2.1工作范围：</w:t>
      </w:r>
    </w:p>
    <w:p w14:paraId="3677B334">
      <w:pPr>
        <w:pStyle w:val="21"/>
        <w:rPr>
          <w:color w:val="auto"/>
          <w:highlight w:val="none"/>
        </w:rPr>
      </w:pPr>
      <w:r>
        <w:rPr>
          <w:rFonts w:hint="eastAsia"/>
          <w:color w:val="auto"/>
          <w:highlight w:val="none"/>
        </w:rPr>
        <w:t>乙方负责修复范围内污染土壤及经确认为污染土的疑似污染土的处理工作（需根据《修复技术方案》调整）、外运运输至处置中心并处理，负责项目地块范围内的二次污染防治，负责根据经区、市主管部门备案的《修复实施方案》对地块风险管控区域进行管控措施工作，完成项目的污染土壤危险特性鉴别、地下水迁移模型分析、重金属污染因子迁移活性分析、修复管控模式可行性研究报告、风险评估变更（如需）、修复实施方案（含变更）、修复工程总结报告服务，自检，配合工程监理、环境监理、第三方检测单位的工作，与总包单位交叉施工中的协调工作，并与其配合完成项目各项报批、评审、验收和移出污染地块名录等相关工作。</w:t>
      </w:r>
    </w:p>
    <w:p w14:paraId="1446141B">
      <w:pPr>
        <w:pStyle w:val="21"/>
        <w:rPr>
          <w:color w:val="auto"/>
          <w:highlight w:val="none"/>
        </w:rPr>
      </w:pPr>
      <w:r>
        <w:rPr>
          <w:color w:val="auto"/>
          <w:highlight w:val="none"/>
        </w:rPr>
        <w:t>2.2工作内容：</w:t>
      </w:r>
    </w:p>
    <w:p w14:paraId="2887A03A">
      <w:pPr>
        <w:pStyle w:val="37"/>
        <w:ind w:firstLine="420" w:firstLineChars="200"/>
        <w:rPr>
          <w:rFonts w:ascii="Times New Roman" w:hAnsi="Times New Roman"/>
          <w:color w:val="auto"/>
          <w:highlight w:val="none"/>
        </w:rPr>
      </w:pPr>
      <w:r>
        <w:rPr>
          <w:rFonts w:hint="eastAsia" w:ascii="Times New Roman" w:hAnsi="Times New Roman"/>
          <w:color w:val="auto"/>
          <w:highlight w:val="none"/>
        </w:rPr>
        <w:t>乙方须按国家、广东省、广州市现行有关标准、规范、规程和甲方的相关要求，完成污染土壤修复及相关方案、报告编制工作，配合完成项目的评审、验收和移出污染地块名录等工作。具体工作内容包括但不限于：</w:t>
      </w:r>
    </w:p>
    <w:p w14:paraId="334E9CBC">
      <w:pPr>
        <w:pStyle w:val="37"/>
        <w:ind w:firstLine="420" w:firstLineChars="200"/>
        <w:rPr>
          <w:rFonts w:ascii="Times New Roman" w:hAnsi="Times New Roman"/>
          <w:color w:val="auto"/>
          <w:highlight w:val="none"/>
        </w:rPr>
      </w:pPr>
      <w:r>
        <w:rPr>
          <w:rFonts w:ascii="Times New Roman" w:hAnsi="Times New Roman"/>
          <w:color w:val="auto"/>
          <w:highlight w:val="none"/>
        </w:rPr>
        <w:t>2.2.1</w:t>
      </w:r>
      <w:r>
        <w:rPr>
          <w:rFonts w:hint="eastAsia" w:ascii="Times New Roman" w:hAnsi="Times New Roman"/>
          <w:color w:val="auto"/>
          <w:highlight w:val="none"/>
        </w:rPr>
        <w:t>根据经评审、论证并通过生态环境主管部门备案的场地土壤污染治理与修复实施方案和修复项目施工进度，有序开展土壤修复工作及其相关的临建设施建设和二次污染防治，确保在治理中不污染临近地块。为满足合同工期要求，土壤修复工程中的一切增加措施的费用均已包含在措施费中，不另作增加。</w:t>
      </w:r>
    </w:p>
    <w:p w14:paraId="72197728">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2.2.2接受并配合有资质的第三方检测机构对污染治理与修复工作质量和效果（含二次污染防治项目）进行全过程检测及监测。</w:t>
      </w:r>
    </w:p>
    <w:p w14:paraId="14D6FF8F">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2.2.3接受并配合甲方委托的环境监理单位、验收评估单位，开展各项监督、检查、监测、检测等工作。对不符合要求的工作内容和项目，必须无条件返工，确保符合质量、安全要求及治理达标，并自行承担一切费用。</w:t>
      </w:r>
    </w:p>
    <w:p w14:paraId="2464FD08">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2.2.4根据经评审、论证并通过生态环境主管部门备案的场地土壤污染治理与修复实施方案和修复项目施工进度，负责污染土壤外运处置报备、外运装车、车辆清洗、运输（含地磅系统相关工作）和污染土壤外运至异地集中处置。</w:t>
      </w:r>
    </w:p>
    <w:p w14:paraId="6757B51B">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2.2.5修复工程总结报告编制服务：按规范及要求编制地块《修复工程总结报告》，配合开展评审验收相关工作。</w:t>
      </w:r>
    </w:p>
    <w:p w14:paraId="041E0C83">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2.2.6配合完成项目各项相关报告编制、报批、评审、验收和移出污染地块名录等工作。</w:t>
      </w:r>
    </w:p>
    <w:p w14:paraId="3D9A74B4">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2.2.7负责各项验收准备，配合各方组织的各项检查、验收工作，确保治理与修复工作规范、文明施工，确保治理成果通过生态环境主管部门组织的专家评审会。</w:t>
      </w:r>
    </w:p>
    <w:p w14:paraId="76EB1C40">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2.2.8负责整理项目竣工相关资料（包括离开原场地的污染物、固废物等的处理、处置及其去向的相关证明材料），并在验收合格后30个日历天内移交给甲方。</w:t>
      </w:r>
    </w:p>
    <w:p w14:paraId="30547714">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2.2.9配合结算的审核工作，包括但不限于按要求提供材料、及时补充材料和说明解释、确认审核结果等。</w:t>
      </w:r>
    </w:p>
    <w:p w14:paraId="66A5806C">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2.2.10乙方应落实全过程管理方案，包括但不限于过程管理信息化系统的建立、运营管理体系及制度、过程管理质量保证措施等。</w:t>
      </w:r>
    </w:p>
    <w:p w14:paraId="3B72EBD3">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2.2.11乙方应建立健全安全生产组织机构和安全保证体系，落实安全生产责任制，按照项目安全生产的有关管理规定，采取相应措施，负责现场作业的安全，并对此承担全部责任。</w:t>
      </w:r>
    </w:p>
    <w:p w14:paraId="04641E21">
      <w:pPr>
        <w:pStyle w:val="37"/>
        <w:ind w:firstLine="420" w:firstLineChars="200"/>
        <w:rPr>
          <w:rFonts w:ascii="Times New Roman" w:hAnsi="Times New Roman"/>
          <w:color w:val="auto"/>
          <w:highlight w:val="none"/>
        </w:rPr>
      </w:pPr>
      <w:r>
        <w:rPr>
          <w:rFonts w:hint="eastAsia" w:ascii="Times New Roman" w:hAnsi="Times New Roman"/>
          <w:color w:val="auto"/>
          <w:highlight w:val="none"/>
        </w:rPr>
        <w:t>2.2.12项目完成地块移除污染地块名录信息系统，则本合同终止，依据本合同第四条按实际完成工作量办理结算。</w:t>
      </w:r>
    </w:p>
    <w:p w14:paraId="055AB50B">
      <w:pPr>
        <w:pStyle w:val="21"/>
        <w:rPr>
          <w:color w:val="auto"/>
          <w:highlight w:val="none"/>
        </w:rPr>
      </w:pPr>
      <w:r>
        <w:rPr>
          <w:rFonts w:hint="eastAsia"/>
          <w:color w:val="auto"/>
          <w:highlight w:val="none"/>
        </w:rPr>
        <w:t>2.3质量目标：</w:t>
      </w:r>
    </w:p>
    <w:p w14:paraId="38CA81C0">
      <w:pPr>
        <w:pStyle w:val="21"/>
        <w:rPr>
          <w:color w:val="auto"/>
          <w:highlight w:val="none"/>
        </w:rPr>
      </w:pPr>
      <w:r>
        <w:rPr>
          <w:rFonts w:hint="eastAsia"/>
          <w:color w:val="auto"/>
          <w:highlight w:val="none"/>
        </w:rPr>
        <w:t>2.3.1乙方须确保完成土壤污染治理与异位修复的各项工作，在合同时间内通过生态环境主管部门组织的专家评审会。</w:t>
      </w:r>
    </w:p>
    <w:p w14:paraId="51178883">
      <w:pPr>
        <w:pStyle w:val="21"/>
        <w:rPr>
          <w:color w:val="auto"/>
          <w:highlight w:val="none"/>
        </w:rPr>
      </w:pPr>
      <w:r>
        <w:rPr>
          <w:rFonts w:hint="eastAsia"/>
          <w:color w:val="auto"/>
          <w:highlight w:val="none"/>
        </w:rPr>
        <w:t>2.3.2乙方应遵守政府有关主管部门对项目场地交通、工作噪音以及环境保护和安全生产等的管理规定，在治理与修复工程实施过程中不得对周边环境造成不良影响及产生二次污染。如产生不良影响或二次污染，乙方须自行承担一切责任及法律后果。</w:t>
      </w:r>
    </w:p>
    <w:p w14:paraId="3BB56B59">
      <w:pPr>
        <w:pStyle w:val="21"/>
        <w:rPr>
          <w:color w:val="auto"/>
          <w:highlight w:val="none"/>
        </w:rPr>
      </w:pPr>
      <w:r>
        <w:rPr>
          <w:color w:val="auto"/>
          <w:highlight w:val="none"/>
        </w:rPr>
        <w:t>第三条</w:t>
      </w:r>
      <w:r>
        <w:rPr>
          <w:rFonts w:hint="eastAsia"/>
          <w:color w:val="auto"/>
          <w:highlight w:val="none"/>
        </w:rPr>
        <w:t xml:space="preserve"> </w:t>
      </w:r>
      <w:r>
        <w:rPr>
          <w:color w:val="auto"/>
          <w:highlight w:val="none"/>
        </w:rPr>
        <w:t>工作</w:t>
      </w:r>
      <w:r>
        <w:rPr>
          <w:rFonts w:hint="eastAsia"/>
          <w:color w:val="auto"/>
          <w:highlight w:val="none"/>
        </w:rPr>
        <w:t>期限</w:t>
      </w:r>
    </w:p>
    <w:p w14:paraId="0B7F403E">
      <w:pPr>
        <w:pStyle w:val="21"/>
        <w:rPr>
          <w:color w:val="auto"/>
          <w:highlight w:val="none"/>
        </w:rPr>
      </w:pPr>
      <w:r>
        <w:rPr>
          <w:color w:val="auto"/>
          <w:highlight w:val="none"/>
        </w:rPr>
        <w:t>3.1</w:t>
      </w:r>
      <w:bookmarkStart w:id="0" w:name="_Hlk149827990"/>
      <w:r>
        <w:rPr>
          <w:color w:val="auto"/>
          <w:highlight w:val="none"/>
        </w:rPr>
        <w:t>在本合同</w:t>
      </w:r>
      <w:r>
        <w:rPr>
          <w:rFonts w:hint="eastAsia"/>
          <w:color w:val="auto"/>
          <w:highlight w:val="none"/>
        </w:rPr>
        <w:t>生效</w:t>
      </w:r>
      <w:r>
        <w:rPr>
          <w:color w:val="auto"/>
          <w:highlight w:val="none"/>
        </w:rPr>
        <w:t>后</w:t>
      </w:r>
      <w:r>
        <w:rPr>
          <w:color w:val="auto"/>
          <w:highlight w:val="none"/>
          <w:u w:val="single"/>
        </w:rPr>
        <w:t>5</w:t>
      </w:r>
      <w:r>
        <w:rPr>
          <w:rFonts w:hint="eastAsia"/>
          <w:color w:val="auto"/>
          <w:highlight w:val="none"/>
        </w:rPr>
        <w:t>个</w:t>
      </w:r>
      <w:r>
        <w:rPr>
          <w:color w:val="auto"/>
          <w:highlight w:val="none"/>
        </w:rPr>
        <w:t>日</w:t>
      </w:r>
      <w:r>
        <w:rPr>
          <w:rFonts w:hint="eastAsia"/>
          <w:color w:val="auto"/>
          <w:highlight w:val="none"/>
        </w:rPr>
        <w:t>历天</w:t>
      </w:r>
      <w:r>
        <w:rPr>
          <w:color w:val="auto"/>
          <w:highlight w:val="none"/>
        </w:rPr>
        <w:t>内，</w:t>
      </w:r>
      <w:r>
        <w:rPr>
          <w:rFonts w:hint="eastAsia"/>
          <w:color w:val="auto"/>
          <w:highlight w:val="none"/>
        </w:rPr>
        <w:t>乙</w:t>
      </w:r>
      <w:r>
        <w:rPr>
          <w:color w:val="auto"/>
          <w:highlight w:val="none"/>
        </w:rPr>
        <w:t>方应一次性详细、完整地列明需要</w:t>
      </w:r>
      <w:r>
        <w:rPr>
          <w:rFonts w:hint="eastAsia"/>
          <w:color w:val="auto"/>
          <w:highlight w:val="none"/>
        </w:rPr>
        <w:t>甲</w:t>
      </w:r>
      <w:r>
        <w:rPr>
          <w:color w:val="auto"/>
          <w:highlight w:val="none"/>
        </w:rPr>
        <w:t>方提供的与完成项目相关的全部资料清单。</w:t>
      </w:r>
      <w:bookmarkEnd w:id="0"/>
    </w:p>
    <w:p w14:paraId="5488139C">
      <w:pPr>
        <w:pStyle w:val="21"/>
        <w:rPr>
          <w:color w:val="auto"/>
          <w:highlight w:val="none"/>
        </w:rPr>
      </w:pPr>
      <w:r>
        <w:rPr>
          <w:color w:val="auto"/>
          <w:highlight w:val="none"/>
        </w:rPr>
        <w:t>3.2</w:t>
      </w:r>
      <w:bookmarkStart w:id="1" w:name="_Hlk149828011"/>
      <w:r>
        <w:rPr>
          <w:color w:val="auto"/>
          <w:highlight w:val="none"/>
        </w:rPr>
        <w:t>如因</w:t>
      </w:r>
      <w:r>
        <w:rPr>
          <w:rFonts w:hint="eastAsia"/>
          <w:color w:val="auto"/>
          <w:highlight w:val="none"/>
        </w:rPr>
        <w:t>甲</w:t>
      </w:r>
      <w:r>
        <w:rPr>
          <w:color w:val="auto"/>
          <w:highlight w:val="none"/>
        </w:rPr>
        <w:t>方提供资料不及时、不准确或者发生非</w:t>
      </w:r>
      <w:r>
        <w:rPr>
          <w:rFonts w:hint="eastAsia"/>
          <w:color w:val="auto"/>
          <w:highlight w:val="none"/>
        </w:rPr>
        <w:t>乙</w:t>
      </w:r>
      <w:r>
        <w:rPr>
          <w:color w:val="auto"/>
          <w:highlight w:val="none"/>
        </w:rPr>
        <w:t>方所能控制的事件，则</w:t>
      </w:r>
      <w:r>
        <w:rPr>
          <w:rFonts w:hint="eastAsia"/>
          <w:color w:val="auto"/>
          <w:highlight w:val="none"/>
        </w:rPr>
        <w:t>乙</w:t>
      </w:r>
      <w:r>
        <w:rPr>
          <w:color w:val="auto"/>
          <w:highlight w:val="none"/>
        </w:rPr>
        <w:t>方工作</w:t>
      </w:r>
      <w:r>
        <w:rPr>
          <w:rFonts w:hint="eastAsia"/>
          <w:color w:val="auto"/>
          <w:highlight w:val="none"/>
        </w:rPr>
        <w:t>期限</w:t>
      </w:r>
      <w:r>
        <w:rPr>
          <w:color w:val="auto"/>
          <w:highlight w:val="none"/>
        </w:rPr>
        <w:t>相应顺延；</w:t>
      </w:r>
      <w:r>
        <w:rPr>
          <w:rFonts w:hint="eastAsia"/>
          <w:color w:val="auto"/>
          <w:highlight w:val="none"/>
        </w:rPr>
        <w:t>乙</w:t>
      </w:r>
      <w:r>
        <w:rPr>
          <w:color w:val="auto"/>
          <w:highlight w:val="none"/>
        </w:rPr>
        <w:t>方须按照甲方的要求，并结合地块的实际情况开展各阶段工作，如因地块暂不具备进场开展土壤污染</w:t>
      </w:r>
      <w:r>
        <w:rPr>
          <w:rFonts w:hint="eastAsia"/>
          <w:color w:val="auto"/>
          <w:highlight w:val="none"/>
        </w:rPr>
        <w:t>治理与修复</w:t>
      </w:r>
      <w:r>
        <w:rPr>
          <w:color w:val="auto"/>
          <w:highlight w:val="none"/>
        </w:rPr>
        <w:t>条件，则</w:t>
      </w:r>
      <w:r>
        <w:rPr>
          <w:rFonts w:hint="eastAsia"/>
          <w:color w:val="auto"/>
          <w:highlight w:val="none"/>
        </w:rPr>
        <w:t>乙</w:t>
      </w:r>
      <w:r>
        <w:rPr>
          <w:color w:val="auto"/>
          <w:highlight w:val="none"/>
        </w:rPr>
        <w:t>方工作期限相应顺延</w:t>
      </w:r>
      <w:r>
        <w:rPr>
          <w:rFonts w:hint="eastAsia"/>
          <w:color w:val="auto"/>
          <w:highlight w:val="none"/>
        </w:rPr>
        <w:t>；</w:t>
      </w:r>
      <w:r>
        <w:rPr>
          <w:color w:val="auto"/>
          <w:highlight w:val="none"/>
        </w:rPr>
        <w:t>因</w:t>
      </w:r>
      <w:r>
        <w:rPr>
          <w:rFonts w:hint="eastAsia"/>
          <w:color w:val="auto"/>
          <w:highlight w:val="none"/>
        </w:rPr>
        <w:t>乙</w:t>
      </w:r>
      <w:r>
        <w:rPr>
          <w:color w:val="auto"/>
          <w:highlight w:val="none"/>
        </w:rPr>
        <w:t>方未履行或不适当履行</w:t>
      </w:r>
      <w:r>
        <w:rPr>
          <w:rFonts w:hint="eastAsia"/>
          <w:color w:val="auto"/>
          <w:highlight w:val="none"/>
        </w:rPr>
        <w:t>本合同3.1款</w:t>
      </w:r>
      <w:r>
        <w:rPr>
          <w:color w:val="auto"/>
          <w:highlight w:val="none"/>
        </w:rPr>
        <w:t>义务导致</w:t>
      </w:r>
      <w:r>
        <w:rPr>
          <w:rFonts w:hint="eastAsia"/>
          <w:color w:val="auto"/>
          <w:highlight w:val="none"/>
        </w:rPr>
        <w:t>甲</w:t>
      </w:r>
      <w:r>
        <w:rPr>
          <w:color w:val="auto"/>
          <w:highlight w:val="none"/>
        </w:rPr>
        <w:t>方提交资料迟延，责任由</w:t>
      </w:r>
      <w:r>
        <w:rPr>
          <w:rFonts w:hint="eastAsia"/>
          <w:color w:val="auto"/>
          <w:highlight w:val="none"/>
        </w:rPr>
        <w:t>乙</w:t>
      </w:r>
      <w:r>
        <w:rPr>
          <w:color w:val="auto"/>
          <w:highlight w:val="none"/>
        </w:rPr>
        <w:t>方承担，</w:t>
      </w:r>
      <w:r>
        <w:rPr>
          <w:rFonts w:hint="eastAsia"/>
          <w:color w:val="auto"/>
          <w:highlight w:val="none"/>
        </w:rPr>
        <w:t>工作期限不予顺延</w:t>
      </w:r>
      <w:bookmarkEnd w:id="1"/>
      <w:r>
        <w:rPr>
          <w:color w:val="auto"/>
          <w:highlight w:val="none"/>
        </w:rPr>
        <w:t>。</w:t>
      </w:r>
    </w:p>
    <w:p w14:paraId="7D9F4324">
      <w:pPr>
        <w:pStyle w:val="21"/>
        <w:rPr>
          <w:color w:val="auto"/>
          <w:highlight w:val="none"/>
        </w:rPr>
      </w:pPr>
      <w:r>
        <w:rPr>
          <w:color w:val="auto"/>
          <w:highlight w:val="none"/>
        </w:rPr>
        <w:t>3.3</w:t>
      </w:r>
      <w:r>
        <w:rPr>
          <w:rFonts w:hint="eastAsia"/>
          <w:color w:val="auto"/>
          <w:highlight w:val="none"/>
        </w:rPr>
        <w:t>乙方具体工作期限如下：</w:t>
      </w:r>
    </w:p>
    <w:p w14:paraId="5573597D">
      <w:pPr>
        <w:widowControl/>
        <w:shd w:val="clear" w:color="auto" w:fill="FFFFFF"/>
        <w:spacing w:line="360" w:lineRule="auto"/>
        <w:ind w:firstLine="371" w:firstLineChars="177"/>
        <w:jc w:val="left"/>
        <w:rPr>
          <w:rFonts w:ascii="Times New Roman" w:hAnsi="Times New Roman"/>
          <w:color w:val="auto"/>
          <w:highlight w:val="none"/>
        </w:rPr>
      </w:pPr>
      <w:bookmarkStart w:id="2" w:name="OLE_LINK8"/>
      <w:r>
        <w:rPr>
          <w:rFonts w:ascii="Times New Roman" w:hAnsi="Times New Roman"/>
          <w:color w:val="auto"/>
          <w:highlight w:val="none"/>
        </w:rPr>
        <w:t>本项目施工总工期计划为1</w:t>
      </w:r>
      <w:r>
        <w:rPr>
          <w:rFonts w:hint="eastAsia" w:ascii="Times New Roman" w:hAnsi="Times New Roman"/>
          <w:color w:val="auto"/>
          <w:highlight w:val="none"/>
        </w:rPr>
        <w:t>8</w:t>
      </w:r>
      <w:r>
        <w:rPr>
          <w:rFonts w:ascii="Times New Roman" w:hAnsi="Times New Roman"/>
          <w:color w:val="auto"/>
          <w:highlight w:val="none"/>
        </w:rPr>
        <w:t>个月</w:t>
      </w:r>
      <w:r>
        <w:rPr>
          <w:rFonts w:hint="eastAsia" w:ascii="Times New Roman" w:hAnsi="Times New Roman"/>
          <w:color w:val="auto"/>
          <w:highlight w:val="none"/>
        </w:rPr>
        <w:t>（不含支护桩施工时间）</w:t>
      </w:r>
      <w:r>
        <w:rPr>
          <w:rFonts w:ascii="Times New Roman" w:hAnsi="Times New Roman"/>
          <w:color w:val="auto"/>
          <w:highlight w:val="none"/>
        </w:rPr>
        <w:t>，计划2025年</w:t>
      </w:r>
      <w:r>
        <w:rPr>
          <w:rFonts w:hint="eastAsia" w:ascii="Times New Roman" w:hAnsi="Times New Roman"/>
          <w:color w:val="auto"/>
          <w:highlight w:val="none"/>
        </w:rPr>
        <w:t>1</w:t>
      </w:r>
      <w:r>
        <w:rPr>
          <w:rFonts w:ascii="Times New Roman" w:hAnsi="Times New Roman"/>
          <w:color w:val="auto"/>
          <w:highlight w:val="none"/>
        </w:rPr>
        <w:t>0月开工，2027年</w:t>
      </w:r>
      <w:r>
        <w:rPr>
          <w:rFonts w:hint="eastAsia" w:ascii="Times New Roman" w:hAnsi="Times New Roman"/>
          <w:color w:val="auto"/>
          <w:highlight w:val="none"/>
        </w:rPr>
        <w:t>4</w:t>
      </w:r>
      <w:r>
        <w:rPr>
          <w:rFonts w:ascii="Times New Roman" w:hAnsi="Times New Roman"/>
          <w:color w:val="auto"/>
          <w:highlight w:val="none"/>
        </w:rPr>
        <w:t>月完工移交。鉴于周边居民诉求较多，</w:t>
      </w:r>
      <w:r>
        <w:rPr>
          <w:rFonts w:hint="eastAsia" w:ascii="Times New Roman" w:hAnsi="Times New Roman"/>
          <w:color w:val="auto"/>
          <w:highlight w:val="none"/>
        </w:rPr>
        <w:t>与总包单位、监理单位、第三方检测单位等配合不当</w:t>
      </w:r>
      <w:r>
        <w:rPr>
          <w:rFonts w:ascii="Times New Roman" w:hAnsi="Times New Roman"/>
          <w:color w:val="auto"/>
          <w:highlight w:val="none"/>
        </w:rPr>
        <w:t>由此可能引发的工期延误、费用增加等风险，均由中标人承担，中标人不得以任何理由向招标人提出索赔。承包单位须无条件配合省、市、区各级行政主管部门的检查，并按要求提供真实有效的相关资料。因配合检查发现需整改的事宜，工期不予顺延。</w:t>
      </w:r>
    </w:p>
    <w:bookmarkEnd w:id="2"/>
    <w:p w14:paraId="1AE9EA6C">
      <w:pPr>
        <w:pStyle w:val="21"/>
        <w:rPr>
          <w:color w:val="auto"/>
          <w:highlight w:val="none"/>
        </w:rPr>
      </w:pPr>
      <w:r>
        <w:rPr>
          <w:rFonts w:hint="eastAsia"/>
          <w:color w:val="auto"/>
          <w:highlight w:val="none"/>
        </w:rPr>
        <w:t>乙方须无条件配合各方的监督、检查、监测、检测、验收等工作，各项配合工作所需时间均已包含在上述工期范围内。具体工期计划由乙方负责编制并须经监理方及甲方审查、批准。</w:t>
      </w:r>
    </w:p>
    <w:p w14:paraId="78E9C805">
      <w:pPr>
        <w:pStyle w:val="21"/>
        <w:rPr>
          <w:color w:val="auto"/>
          <w:highlight w:val="none"/>
        </w:rPr>
      </w:pPr>
      <w:r>
        <w:rPr>
          <w:color w:val="auto"/>
          <w:highlight w:val="none"/>
        </w:rPr>
        <w:t>第四条</w:t>
      </w:r>
      <w:r>
        <w:rPr>
          <w:rFonts w:hint="eastAsia"/>
          <w:color w:val="auto"/>
          <w:highlight w:val="none"/>
        </w:rPr>
        <w:t xml:space="preserve"> </w:t>
      </w:r>
      <w:r>
        <w:rPr>
          <w:color w:val="auto"/>
          <w:highlight w:val="none"/>
        </w:rPr>
        <w:t>费用及支付方式</w:t>
      </w:r>
    </w:p>
    <w:p w14:paraId="5F352E8F">
      <w:pPr>
        <w:pStyle w:val="21"/>
        <w:rPr>
          <w:color w:val="auto"/>
          <w:highlight w:val="none"/>
        </w:rPr>
      </w:pPr>
      <w:r>
        <w:rPr>
          <w:color w:val="auto"/>
          <w:highlight w:val="none"/>
        </w:rPr>
        <w:t>4.1</w:t>
      </w:r>
      <w:r>
        <w:rPr>
          <w:rFonts w:hint="eastAsia"/>
          <w:color w:val="auto"/>
          <w:highlight w:val="none"/>
        </w:rPr>
        <w:t>本合同</w:t>
      </w:r>
      <w:r>
        <w:rPr>
          <w:color w:val="auto"/>
          <w:highlight w:val="none"/>
        </w:rPr>
        <w:t>总额（暂定价）为</w:t>
      </w:r>
      <w:r>
        <w:rPr>
          <w:rFonts w:hint="eastAsia"/>
          <w:color w:val="auto"/>
          <w:highlight w:val="none"/>
        </w:rPr>
        <w:t>：¥        元（含税，大写：人民币         )</w:t>
      </w:r>
      <w:r>
        <w:rPr>
          <w:color w:val="auto"/>
          <w:highlight w:val="none"/>
        </w:rPr>
        <w:t>。采用综合单价包干，工作内容和工作量以实际发生数量为准。与完成工作相关的其他一切费用（包括但不限于人工、材料、设备、专家咨询、交通、补贴、税费、规费及不可预见费用等）包含在</w:t>
      </w:r>
      <w:r>
        <w:rPr>
          <w:rFonts w:hint="eastAsia"/>
          <w:color w:val="auto"/>
          <w:highlight w:val="none"/>
        </w:rPr>
        <w:t>乙方</w:t>
      </w:r>
      <w:r>
        <w:rPr>
          <w:color w:val="auto"/>
          <w:highlight w:val="none"/>
        </w:rPr>
        <w:t>报价中。</w:t>
      </w:r>
      <w:r>
        <w:rPr>
          <w:rFonts w:hint="eastAsia"/>
          <w:color w:val="auto"/>
          <w:highlight w:val="none"/>
        </w:rPr>
        <w:t>污染土壤转运至污染土壤处置中心运距控制在40km以内，超过40km的按40km结算，小于40km的按实际运距结算。二次污染防治措施费（裸土覆盖、扬尘抑制、废水处理、洒水喷淋装置）已包含在合同总价内，不另外计费。</w:t>
      </w:r>
      <w:r>
        <w:rPr>
          <w:color w:val="auto"/>
          <w:highlight w:val="none"/>
        </w:rPr>
        <w:t>本合同按</w:t>
      </w:r>
      <w:r>
        <w:rPr>
          <w:rFonts w:hint="eastAsia"/>
          <w:color w:val="auto"/>
          <w:highlight w:val="none"/>
        </w:rPr>
        <w:t>乙方</w:t>
      </w:r>
      <w:r>
        <w:rPr>
          <w:color w:val="auto"/>
          <w:highlight w:val="none"/>
        </w:rPr>
        <w:t>清单报价中的综合单价和实际完成工程量进行结算</w:t>
      </w:r>
      <w:r>
        <w:rPr>
          <w:rFonts w:hint="eastAsia"/>
          <w:color w:val="auto"/>
          <w:highlight w:val="none"/>
        </w:rPr>
        <w:t>，结算价不超本合同</w:t>
      </w:r>
      <w:r>
        <w:rPr>
          <w:color w:val="auto"/>
          <w:highlight w:val="none"/>
        </w:rPr>
        <w:t>总额（暂定价）</w:t>
      </w:r>
      <w:r>
        <w:rPr>
          <w:rFonts w:hint="eastAsia"/>
          <w:color w:val="auto"/>
          <w:highlight w:val="none"/>
        </w:rPr>
        <w:t>，具体详见结算相关条款，最终以财政部门或甲方终审部门审定结算价为准。</w:t>
      </w:r>
    </w:p>
    <w:p w14:paraId="5BB6F2D5">
      <w:pPr>
        <w:pStyle w:val="21"/>
        <w:rPr>
          <w:color w:val="auto"/>
          <w:highlight w:val="none"/>
        </w:rPr>
      </w:pPr>
      <w:r>
        <w:rPr>
          <w:color w:val="auto"/>
          <w:highlight w:val="none"/>
        </w:rPr>
        <w:t>4.</w:t>
      </w:r>
      <w:r>
        <w:rPr>
          <w:rFonts w:hint="eastAsia"/>
          <w:color w:val="auto"/>
          <w:highlight w:val="none"/>
        </w:rPr>
        <w:t>2支付流程</w:t>
      </w:r>
      <w:r>
        <w:rPr>
          <w:color w:val="auto"/>
          <w:highlight w:val="none"/>
        </w:rPr>
        <w:t>：</w:t>
      </w:r>
      <w:r>
        <w:rPr>
          <w:rFonts w:hint="eastAsia"/>
          <w:color w:val="auto"/>
          <w:highlight w:val="none"/>
        </w:rPr>
        <w:t>由乙方按本合同4.3</w:t>
      </w:r>
      <w:bookmarkStart w:id="3" w:name="_Hlk149827783"/>
      <w:r>
        <w:rPr>
          <w:rFonts w:hint="eastAsia"/>
          <w:color w:val="auto"/>
          <w:highlight w:val="none"/>
        </w:rPr>
        <w:t>约定及实际工作进度提出支付申请，经甲方审核，同时按照省财政和甲方要求提供财政集中支付所需必要申请材料。甲方完成支付审批流程后支付给乙方。</w:t>
      </w:r>
      <w:bookmarkEnd w:id="3"/>
    </w:p>
    <w:p w14:paraId="792C65BF">
      <w:pPr>
        <w:pStyle w:val="21"/>
        <w:rPr>
          <w:color w:val="auto"/>
          <w:highlight w:val="none"/>
        </w:rPr>
      </w:pPr>
      <w:r>
        <w:rPr>
          <w:color w:val="auto"/>
          <w:highlight w:val="none"/>
        </w:rPr>
        <w:t>在</w:t>
      </w:r>
      <w:r>
        <w:rPr>
          <w:rFonts w:hint="eastAsia"/>
          <w:color w:val="auto"/>
          <w:highlight w:val="none"/>
        </w:rPr>
        <w:t>甲方</w:t>
      </w:r>
      <w:r>
        <w:rPr>
          <w:color w:val="auto"/>
          <w:highlight w:val="none"/>
        </w:rPr>
        <w:t>支付每笔费用前，</w:t>
      </w:r>
      <w:r>
        <w:rPr>
          <w:rFonts w:hint="eastAsia"/>
          <w:color w:val="auto"/>
          <w:highlight w:val="none"/>
        </w:rPr>
        <w:t>乙方</w:t>
      </w:r>
      <w:r>
        <w:rPr>
          <w:color w:val="auto"/>
          <w:highlight w:val="none"/>
        </w:rPr>
        <w:t>应向</w:t>
      </w:r>
      <w:r>
        <w:rPr>
          <w:rFonts w:hint="eastAsia"/>
          <w:color w:val="auto"/>
          <w:highlight w:val="none"/>
        </w:rPr>
        <w:t>甲方</w:t>
      </w:r>
      <w:r>
        <w:rPr>
          <w:color w:val="auto"/>
          <w:highlight w:val="none"/>
        </w:rPr>
        <w:t>提供正式等额增值税发票，</w:t>
      </w:r>
      <w:r>
        <w:rPr>
          <w:rFonts w:hint="eastAsia"/>
          <w:color w:val="auto"/>
          <w:highlight w:val="none"/>
        </w:rPr>
        <w:t>乙方</w:t>
      </w:r>
      <w:r>
        <w:rPr>
          <w:color w:val="auto"/>
          <w:highlight w:val="none"/>
        </w:rPr>
        <w:t>实际收到费用的时间以</w:t>
      </w:r>
      <w:r>
        <w:rPr>
          <w:rFonts w:hint="eastAsia"/>
          <w:color w:val="auto"/>
          <w:highlight w:val="none"/>
        </w:rPr>
        <w:t>甲方</w:t>
      </w:r>
      <w:r>
        <w:rPr>
          <w:color w:val="auto"/>
          <w:highlight w:val="none"/>
        </w:rPr>
        <w:t>交付的款项正式在</w:t>
      </w:r>
      <w:r>
        <w:rPr>
          <w:rFonts w:hint="eastAsia"/>
          <w:color w:val="auto"/>
          <w:highlight w:val="none"/>
        </w:rPr>
        <w:t>乙方</w:t>
      </w:r>
      <w:r>
        <w:rPr>
          <w:color w:val="auto"/>
          <w:highlight w:val="none"/>
        </w:rPr>
        <w:t>入账之日为准。</w:t>
      </w:r>
      <w:r>
        <w:rPr>
          <w:rFonts w:hint="eastAsia"/>
          <w:color w:val="auto"/>
          <w:highlight w:val="none"/>
        </w:rPr>
        <w:t>乙方</w:t>
      </w:r>
      <w:r>
        <w:rPr>
          <w:color w:val="auto"/>
          <w:highlight w:val="none"/>
        </w:rPr>
        <w:t>未提供符合要求的发票给</w:t>
      </w:r>
      <w:r>
        <w:rPr>
          <w:rFonts w:hint="eastAsia"/>
          <w:color w:val="auto"/>
          <w:highlight w:val="none"/>
        </w:rPr>
        <w:t>甲方</w:t>
      </w:r>
      <w:r>
        <w:rPr>
          <w:color w:val="auto"/>
          <w:highlight w:val="none"/>
        </w:rPr>
        <w:t>的</w:t>
      </w:r>
      <w:r>
        <w:rPr>
          <w:rFonts w:hint="eastAsia"/>
          <w:color w:val="auto"/>
          <w:highlight w:val="none"/>
        </w:rPr>
        <w:t>或乙方未</w:t>
      </w:r>
      <w:r>
        <w:rPr>
          <w:color w:val="auto"/>
          <w:highlight w:val="none"/>
        </w:rPr>
        <w:t>按</w:t>
      </w:r>
      <w:r>
        <w:rPr>
          <w:rFonts w:hint="eastAsia"/>
          <w:color w:val="auto"/>
          <w:highlight w:val="none"/>
        </w:rPr>
        <w:t>甲方</w:t>
      </w:r>
      <w:r>
        <w:rPr>
          <w:color w:val="auto"/>
          <w:highlight w:val="none"/>
        </w:rPr>
        <w:t>要求报送完整的</w:t>
      </w:r>
      <w:r>
        <w:rPr>
          <w:rFonts w:hint="eastAsia"/>
          <w:color w:val="auto"/>
          <w:highlight w:val="none"/>
        </w:rPr>
        <w:t>请款</w:t>
      </w:r>
      <w:r>
        <w:rPr>
          <w:color w:val="auto"/>
          <w:highlight w:val="none"/>
        </w:rPr>
        <w:t>资料，</w:t>
      </w:r>
      <w:r>
        <w:rPr>
          <w:rFonts w:hint="eastAsia"/>
          <w:color w:val="auto"/>
          <w:highlight w:val="none"/>
        </w:rPr>
        <w:t>甲方</w:t>
      </w:r>
      <w:r>
        <w:rPr>
          <w:color w:val="auto"/>
          <w:highlight w:val="none"/>
        </w:rPr>
        <w:t>可以顺延付款日期。因</w:t>
      </w:r>
      <w:r>
        <w:rPr>
          <w:rFonts w:hint="eastAsia"/>
          <w:color w:val="auto"/>
          <w:highlight w:val="none"/>
        </w:rPr>
        <w:t>乙方</w:t>
      </w:r>
      <w:r>
        <w:rPr>
          <w:color w:val="auto"/>
          <w:highlight w:val="none"/>
        </w:rPr>
        <w:t>提供的发票不规范、不合法引起税务问题的，</w:t>
      </w:r>
      <w:r>
        <w:rPr>
          <w:rFonts w:hint="eastAsia"/>
          <w:color w:val="auto"/>
          <w:highlight w:val="none"/>
        </w:rPr>
        <w:t>乙方</w:t>
      </w:r>
      <w:r>
        <w:rPr>
          <w:color w:val="auto"/>
          <w:highlight w:val="none"/>
        </w:rPr>
        <w:t>应承担向</w:t>
      </w:r>
      <w:r>
        <w:rPr>
          <w:rFonts w:hint="eastAsia"/>
          <w:color w:val="auto"/>
          <w:highlight w:val="none"/>
        </w:rPr>
        <w:t>甲方</w:t>
      </w:r>
      <w:r>
        <w:rPr>
          <w:color w:val="auto"/>
          <w:highlight w:val="none"/>
        </w:rPr>
        <w:t>赔偿的责任，包括但不限于税款、滞纳金、罚款及相关损失等。</w:t>
      </w:r>
    </w:p>
    <w:p w14:paraId="16A33453">
      <w:pPr>
        <w:pStyle w:val="21"/>
        <w:rPr>
          <w:color w:val="auto"/>
          <w:highlight w:val="none"/>
        </w:rPr>
      </w:pPr>
      <w:r>
        <w:rPr>
          <w:color w:val="auto"/>
          <w:highlight w:val="none"/>
        </w:rPr>
        <w:t>合同生效后，因财政部门未批复财政预算，致使逾期支付，不视为</w:t>
      </w:r>
      <w:r>
        <w:rPr>
          <w:rFonts w:hint="eastAsia"/>
          <w:color w:val="auto"/>
          <w:highlight w:val="none"/>
        </w:rPr>
        <w:t>甲方</w:t>
      </w:r>
      <w:r>
        <w:rPr>
          <w:color w:val="auto"/>
          <w:highlight w:val="none"/>
        </w:rPr>
        <w:t>违约：</w:t>
      </w:r>
      <w:r>
        <w:rPr>
          <w:rFonts w:hint="eastAsia"/>
          <w:color w:val="auto"/>
          <w:highlight w:val="none"/>
        </w:rPr>
        <w:t>甲方</w:t>
      </w:r>
      <w:r>
        <w:rPr>
          <w:color w:val="auto"/>
          <w:highlight w:val="none"/>
        </w:rPr>
        <w:t>可以顺延至财政预算批复后付款。</w:t>
      </w:r>
    </w:p>
    <w:p w14:paraId="448443FB">
      <w:pPr>
        <w:pStyle w:val="21"/>
        <w:rPr>
          <w:color w:val="auto"/>
          <w:highlight w:val="none"/>
        </w:rPr>
      </w:pPr>
      <w:r>
        <w:rPr>
          <w:rFonts w:hint="eastAsia"/>
          <w:color w:val="auto"/>
          <w:highlight w:val="none"/>
        </w:rPr>
        <w:t>甲方</w:t>
      </w:r>
      <w:r>
        <w:rPr>
          <w:color w:val="auto"/>
          <w:highlight w:val="none"/>
        </w:rPr>
        <w:t>付款时间为向财政部门提出办理财政支付申请手续的时间（不含财政部门支付审核时间），</w:t>
      </w:r>
      <w:r>
        <w:rPr>
          <w:rFonts w:hint="eastAsia"/>
          <w:color w:val="auto"/>
          <w:highlight w:val="none"/>
        </w:rPr>
        <w:t>甲方</w:t>
      </w:r>
      <w:r>
        <w:rPr>
          <w:color w:val="auto"/>
          <w:highlight w:val="none"/>
        </w:rPr>
        <w:t>在约定时间内向财政部门提出支付申请手续即视为按期支付。</w:t>
      </w:r>
    </w:p>
    <w:p w14:paraId="20861A1C">
      <w:pPr>
        <w:pStyle w:val="21"/>
        <w:rPr>
          <w:color w:val="auto"/>
          <w:highlight w:val="none"/>
        </w:rPr>
      </w:pPr>
      <w:r>
        <w:rPr>
          <w:color w:val="auto"/>
          <w:highlight w:val="none"/>
        </w:rPr>
        <w:t>本工程款项的支付方式将按越秀区财政局财政集中支付的有关规定执行。</w:t>
      </w:r>
      <w:r>
        <w:rPr>
          <w:rFonts w:hint="eastAsia"/>
          <w:color w:val="auto"/>
          <w:highlight w:val="none"/>
        </w:rPr>
        <w:t>甲方</w:t>
      </w:r>
      <w:r>
        <w:rPr>
          <w:color w:val="auto"/>
          <w:highlight w:val="none"/>
        </w:rPr>
        <w:t>在规定支付款项的时间内向财政部门申请支付，因财政部门审核延误支付的，不视为</w:t>
      </w:r>
      <w:r>
        <w:rPr>
          <w:rFonts w:hint="eastAsia"/>
          <w:color w:val="auto"/>
          <w:highlight w:val="none"/>
        </w:rPr>
        <w:t>甲方</w:t>
      </w:r>
      <w:r>
        <w:rPr>
          <w:color w:val="auto"/>
          <w:highlight w:val="none"/>
        </w:rPr>
        <w:t>违约。</w:t>
      </w:r>
    </w:p>
    <w:p w14:paraId="41D39E4C">
      <w:pPr>
        <w:pStyle w:val="21"/>
        <w:rPr>
          <w:color w:val="auto"/>
          <w:szCs w:val="21"/>
          <w:highlight w:val="none"/>
        </w:rPr>
      </w:pPr>
      <w:r>
        <w:rPr>
          <w:rFonts w:hint="eastAsia"/>
          <w:color w:val="auto"/>
          <w:szCs w:val="21"/>
          <w:highlight w:val="none"/>
        </w:rPr>
        <w:t>4.3支付比例及进度要求：</w:t>
      </w:r>
    </w:p>
    <w:p w14:paraId="21BD602F">
      <w:pPr>
        <w:pStyle w:val="37"/>
        <w:spacing w:line="360" w:lineRule="auto"/>
        <w:ind w:firstLine="420" w:firstLineChars="200"/>
        <w:rPr>
          <w:rFonts w:ascii="Times New Roman" w:hAnsi="Times New Roman"/>
          <w:color w:val="auto"/>
          <w:kern w:val="0"/>
          <w:szCs w:val="21"/>
          <w:highlight w:val="none"/>
        </w:rPr>
      </w:pPr>
      <w:r>
        <w:rPr>
          <w:rFonts w:ascii="Times New Roman" w:hAnsi="Times New Roman"/>
          <w:color w:val="auto"/>
          <w:szCs w:val="21"/>
          <w:highlight w:val="none"/>
        </w:rPr>
        <w:t xml:space="preserve">4.3.1 </w:t>
      </w:r>
      <w:bookmarkStart w:id="4" w:name="_Hlk149827910"/>
      <w:r>
        <w:rPr>
          <w:rFonts w:hint="eastAsia" w:ascii="Times New Roman" w:hAnsi="Times New Roman"/>
          <w:color w:val="auto"/>
          <w:kern w:val="0"/>
          <w:szCs w:val="21"/>
          <w:highlight w:val="none"/>
        </w:rPr>
        <w:t>预付款：</w:t>
      </w:r>
      <w:r>
        <w:rPr>
          <w:rFonts w:hint="eastAsia" w:ascii="Times New Roman" w:hAnsi="Times New Roman"/>
          <w:color w:val="auto"/>
          <w:szCs w:val="21"/>
          <w:highlight w:val="none"/>
        </w:rPr>
        <w:t>乙方</w:t>
      </w:r>
      <w:r>
        <w:rPr>
          <w:rFonts w:hint="eastAsia" w:ascii="Times New Roman" w:hAnsi="Times New Roman"/>
          <w:color w:val="auto"/>
          <w:kern w:val="0"/>
          <w:szCs w:val="21"/>
          <w:highlight w:val="none"/>
        </w:rPr>
        <w:t>向甲方提供履约担保及预付款担保原件，</w:t>
      </w:r>
      <w:r>
        <w:rPr>
          <w:rFonts w:hint="eastAsia" w:ascii="Times New Roman" w:hAnsi="Times New Roman" w:eastAsiaTheme="minorEastAsia"/>
          <w:color w:val="auto"/>
          <w:kern w:val="0"/>
          <w:szCs w:val="21"/>
          <w:highlight w:val="none"/>
        </w:rPr>
        <w:t>并完成合同签订，《修复工程实施方案》专家评审及备案完成，环境监理核发开工令后，乙方</w:t>
      </w:r>
      <w:r>
        <w:rPr>
          <w:rFonts w:hint="eastAsia" w:ascii="Times New Roman" w:hAnsi="Times New Roman"/>
          <w:color w:val="auto"/>
          <w:kern w:val="0"/>
          <w:szCs w:val="21"/>
          <w:highlight w:val="none"/>
        </w:rPr>
        <w:t>按甲方要求</w:t>
      </w:r>
      <w:r>
        <w:rPr>
          <w:rFonts w:hint="eastAsia" w:ascii="Times New Roman" w:hAnsi="Times New Roman" w:eastAsiaTheme="minorEastAsia"/>
          <w:color w:val="auto"/>
          <w:kern w:val="0"/>
          <w:szCs w:val="21"/>
          <w:highlight w:val="none"/>
        </w:rPr>
        <w:t>提出支付申请，甲方完成审批流程后办理支付，预付款为合同暂定价（扣除暂列金和暂估价）的30％</w:t>
      </w:r>
      <w:r>
        <w:rPr>
          <w:rFonts w:hint="eastAsia" w:ascii="Times New Roman" w:hAnsi="Times New Roman"/>
          <w:color w:val="auto"/>
          <w:kern w:val="0"/>
          <w:szCs w:val="21"/>
          <w:highlight w:val="none"/>
        </w:rPr>
        <w:t>。发包人根据财政资金到位情况分期分批支付，同时预留不少于合同总额1%的金额作为工人工资专户资金，并从工程预付款中扣除承包人的驻场人员现场组织实施管理费的50%即</w:t>
      </w:r>
      <w:r>
        <w:rPr>
          <w:rFonts w:hint="eastAsia" w:ascii="Times New Roman" w:hAnsi="Times New Roman"/>
          <w:color w:val="auto"/>
          <w:kern w:val="0"/>
          <w:szCs w:val="21"/>
          <w:highlight w:val="none"/>
          <w:lang w:val="en-US" w:eastAsia="zh-CN"/>
        </w:rPr>
        <w:t>40.5</w:t>
      </w:r>
      <w:r>
        <w:rPr>
          <w:rFonts w:hint="eastAsia" w:ascii="Times New Roman" w:hAnsi="Times New Roman"/>
          <w:color w:val="auto"/>
          <w:kern w:val="0"/>
          <w:szCs w:val="21"/>
          <w:highlight w:val="none"/>
        </w:rPr>
        <w:t>万（</w:t>
      </w:r>
      <w:r>
        <w:rPr>
          <w:rFonts w:ascii="Times New Roman" w:hAnsi="Times New Roman"/>
          <w:color w:val="auto"/>
          <w:kern w:val="0"/>
          <w:szCs w:val="21"/>
          <w:highlight w:val="none"/>
        </w:rPr>
        <w:t>1</w:t>
      </w:r>
      <w:r>
        <w:rPr>
          <w:rFonts w:hint="eastAsia" w:ascii="Times New Roman" w:hAnsi="Times New Roman"/>
          <w:color w:val="auto"/>
          <w:kern w:val="0"/>
          <w:szCs w:val="21"/>
          <w:highlight w:val="none"/>
          <w:lang w:val="en-US" w:eastAsia="zh-CN"/>
        </w:rPr>
        <w:t>8</w:t>
      </w:r>
      <w:r>
        <w:rPr>
          <w:rFonts w:hint="eastAsia" w:ascii="Times New Roman" w:hAnsi="Times New Roman"/>
          <w:color w:val="auto"/>
          <w:kern w:val="0"/>
          <w:szCs w:val="21"/>
          <w:highlight w:val="none"/>
        </w:rPr>
        <w:t>个月*4.</w:t>
      </w:r>
      <w:r>
        <w:rPr>
          <w:rFonts w:ascii="Times New Roman" w:hAnsi="Times New Roman"/>
          <w:color w:val="auto"/>
          <w:kern w:val="0"/>
          <w:szCs w:val="21"/>
          <w:highlight w:val="none"/>
        </w:rPr>
        <w:t>5</w:t>
      </w:r>
      <w:r>
        <w:rPr>
          <w:rFonts w:hint="eastAsia" w:ascii="Times New Roman" w:hAnsi="Times New Roman"/>
          <w:color w:val="auto"/>
          <w:kern w:val="0"/>
          <w:szCs w:val="21"/>
          <w:highlight w:val="none"/>
        </w:rPr>
        <w:t>万/月*0.5=</w:t>
      </w:r>
      <w:r>
        <w:rPr>
          <w:rFonts w:hint="eastAsia" w:ascii="Times New Roman" w:hAnsi="Times New Roman"/>
          <w:color w:val="auto"/>
          <w:kern w:val="0"/>
          <w:szCs w:val="21"/>
          <w:highlight w:val="none"/>
          <w:lang w:val="en-US" w:eastAsia="zh-CN"/>
        </w:rPr>
        <w:t>40.5</w:t>
      </w:r>
      <w:r>
        <w:rPr>
          <w:rFonts w:hint="eastAsia" w:ascii="Times New Roman" w:hAnsi="Times New Roman"/>
          <w:color w:val="auto"/>
          <w:kern w:val="0"/>
          <w:szCs w:val="21"/>
          <w:highlight w:val="none"/>
        </w:rPr>
        <w:t>万），剩余</w:t>
      </w:r>
      <w:r>
        <w:rPr>
          <w:rFonts w:hint="eastAsia" w:ascii="Times New Roman" w:hAnsi="Times New Roman"/>
          <w:color w:val="auto"/>
          <w:kern w:val="0"/>
          <w:szCs w:val="21"/>
          <w:highlight w:val="none"/>
          <w:lang w:val="en-US" w:eastAsia="zh-CN"/>
        </w:rPr>
        <w:t>40.5</w:t>
      </w:r>
      <w:r>
        <w:rPr>
          <w:rFonts w:hint="eastAsia" w:ascii="Times New Roman" w:hAnsi="Times New Roman"/>
          <w:color w:val="auto"/>
          <w:kern w:val="0"/>
          <w:szCs w:val="21"/>
          <w:highlight w:val="none"/>
        </w:rPr>
        <w:t>万按</w:t>
      </w:r>
      <w:r>
        <w:rPr>
          <w:rFonts w:ascii="Times New Roman" w:hAnsi="Times New Roman"/>
          <w:color w:val="auto"/>
          <w:kern w:val="0"/>
          <w:szCs w:val="21"/>
          <w:highlight w:val="none"/>
        </w:rPr>
        <w:t>2.</w:t>
      </w:r>
      <w:r>
        <w:rPr>
          <w:rFonts w:hint="eastAsia" w:ascii="Times New Roman" w:hAnsi="Times New Roman"/>
          <w:color w:val="auto"/>
          <w:kern w:val="0"/>
          <w:szCs w:val="21"/>
          <w:highlight w:val="none"/>
        </w:rPr>
        <w:t>2</w:t>
      </w:r>
      <w:r>
        <w:rPr>
          <w:rFonts w:ascii="Times New Roman" w:hAnsi="Times New Roman"/>
          <w:color w:val="auto"/>
          <w:kern w:val="0"/>
          <w:szCs w:val="21"/>
          <w:highlight w:val="none"/>
        </w:rPr>
        <w:t>5</w:t>
      </w:r>
      <w:r>
        <w:rPr>
          <w:rFonts w:hint="eastAsia" w:ascii="Times New Roman" w:hAnsi="Times New Roman"/>
          <w:color w:val="auto"/>
          <w:kern w:val="0"/>
          <w:szCs w:val="21"/>
          <w:highlight w:val="none"/>
        </w:rPr>
        <w:t>万/月在进度款中根据每月考勤情况支付现场组织实施管理费。</w:t>
      </w:r>
    </w:p>
    <w:p w14:paraId="15966683">
      <w:pPr>
        <w:pStyle w:val="37"/>
        <w:spacing w:line="360" w:lineRule="auto"/>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4.3.2预付款的扣回：</w:t>
      </w:r>
      <w:r>
        <w:rPr>
          <w:rFonts w:hint="eastAsia" w:ascii="Times New Roman" w:hAnsi="Times New Roman"/>
          <w:color w:val="auto"/>
          <w:kern w:val="0"/>
          <w:szCs w:val="21"/>
          <w:highlight w:val="none"/>
        </w:rPr>
        <w:t>预付款在现场已完成产值达到预付款起扣点时一次性扣回，起扣点金额为预付款金额/80%。</w:t>
      </w:r>
    </w:p>
    <w:p w14:paraId="5A7498C9">
      <w:pPr>
        <w:pStyle w:val="37"/>
        <w:spacing w:line="360" w:lineRule="auto"/>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4.3.3进度款：以季度为单位，乙方每季度</w:t>
      </w:r>
      <w:r>
        <w:rPr>
          <w:rFonts w:hint="eastAsia" w:ascii="Times New Roman" w:hAnsi="Times New Roman"/>
          <w:color w:val="auto"/>
          <w:kern w:val="0"/>
          <w:szCs w:val="21"/>
          <w:highlight w:val="none"/>
        </w:rPr>
        <w:t>按甲方要求上报上季度完成的工程量及请款资料，每一期拨付的进度按监理和甲方确认的实际完成工作量的80%进行支付（同时限扣除暂列金额及专业工程暂估价，暂定合同价中的施工费的80%以内）。当所有款项累计支付达到本合同价款（不含暂列金额；不含原清单减少或未实施内容；）的80%时，暂停支付除暂列金额外的所有款项。</w:t>
      </w:r>
    </w:p>
    <w:p w14:paraId="1AE3C340">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4.3.4 </w:t>
      </w:r>
      <w:r>
        <w:rPr>
          <w:rFonts w:hint="eastAsia" w:ascii="Times New Roman" w:hAnsi="Times New Roman"/>
          <w:color w:val="auto"/>
          <w:kern w:val="0"/>
          <w:szCs w:val="21"/>
          <w:highlight w:val="none"/>
        </w:rPr>
        <w:t>结算款</w:t>
      </w:r>
      <w:r>
        <w:rPr>
          <w:rFonts w:hint="eastAsia" w:ascii="Times New Roman" w:hAnsi="Times New Roman"/>
          <w:color w:val="auto"/>
          <w:szCs w:val="21"/>
          <w:highlight w:val="none"/>
        </w:rPr>
        <w:t>：在乙方提交《修复工程总结报告》后，待效果评估报告通过生态环境主管部门的评审和备案后，在广东省生态环境厅和省自然资源厅名录系统中移出污染地块名录，并完成档案资料归档后，乙方编制本合同结算，本合同结算以甲方委托的造价咨询单位审核价作为结算送审价，经有权结算终审部门定审后，</w:t>
      </w:r>
      <w:r>
        <w:rPr>
          <w:rFonts w:hint="eastAsia" w:ascii="Times New Roman" w:hAnsi="Times New Roman"/>
          <w:color w:val="auto"/>
          <w:kern w:val="0"/>
          <w:szCs w:val="21"/>
          <w:highlight w:val="none"/>
        </w:rPr>
        <w:t>乙方按甲方要求提出支付申请，甲方</w:t>
      </w:r>
      <w:r>
        <w:rPr>
          <w:rFonts w:hint="eastAsia" w:ascii="Times New Roman" w:hAnsi="Times New Roman"/>
          <w:color w:val="auto"/>
          <w:szCs w:val="21"/>
          <w:highlight w:val="none"/>
        </w:rPr>
        <w:t>一次性付清全部结算余款。</w:t>
      </w:r>
      <w:bookmarkEnd w:id="4"/>
    </w:p>
    <w:p w14:paraId="473CBC7F">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4.3.</w:t>
      </w:r>
      <w:r>
        <w:rPr>
          <w:rFonts w:hint="eastAsia" w:ascii="Times New Roman" w:hAnsi="Times New Roman"/>
          <w:color w:val="auto"/>
          <w:szCs w:val="21"/>
          <w:highlight w:val="none"/>
        </w:rPr>
        <w:t>5上述各项付款申请中，如乙方未按甲方要求报送完整的请款资料的或经甲方审核请款资料存在问题而需要修改等情况，甲方可以相应顺延审核及付款日期。</w:t>
      </w:r>
    </w:p>
    <w:p w14:paraId="0CE4A155">
      <w:pPr>
        <w:pStyle w:val="21"/>
        <w:rPr>
          <w:color w:val="auto"/>
          <w:szCs w:val="21"/>
          <w:highlight w:val="none"/>
        </w:rPr>
      </w:pPr>
      <w:r>
        <w:rPr>
          <w:color w:val="auto"/>
          <w:szCs w:val="21"/>
          <w:highlight w:val="none"/>
        </w:rPr>
        <w:t xml:space="preserve">4.4 </w:t>
      </w:r>
      <w:r>
        <w:rPr>
          <w:rFonts w:hint="eastAsia"/>
          <w:color w:val="auto"/>
          <w:szCs w:val="21"/>
          <w:highlight w:val="none"/>
        </w:rPr>
        <w:t>本合同的款项采用汇款的方式支付，乙方开户银行名称和账号为：</w:t>
      </w:r>
    </w:p>
    <w:p w14:paraId="5FF083E7">
      <w:pPr>
        <w:pStyle w:val="21"/>
        <w:rPr>
          <w:color w:val="auto"/>
          <w:szCs w:val="21"/>
          <w:highlight w:val="none"/>
        </w:rPr>
      </w:pPr>
      <w:r>
        <w:rPr>
          <w:rFonts w:hint="eastAsia"/>
          <w:color w:val="auto"/>
          <w:szCs w:val="21"/>
          <w:highlight w:val="none"/>
        </w:rPr>
        <w:t xml:space="preserve">单位名称： </w:t>
      </w:r>
    </w:p>
    <w:p w14:paraId="3A81CD4E">
      <w:pPr>
        <w:pStyle w:val="21"/>
        <w:rPr>
          <w:color w:val="auto"/>
          <w:szCs w:val="21"/>
          <w:highlight w:val="none"/>
        </w:rPr>
      </w:pPr>
      <w:r>
        <w:rPr>
          <w:rFonts w:hint="eastAsia"/>
          <w:color w:val="auto"/>
          <w:szCs w:val="21"/>
          <w:highlight w:val="none"/>
        </w:rPr>
        <w:t xml:space="preserve">开户银行： </w:t>
      </w:r>
    </w:p>
    <w:p w14:paraId="4EFA414E">
      <w:pPr>
        <w:pStyle w:val="21"/>
        <w:rPr>
          <w:color w:val="auto"/>
          <w:szCs w:val="21"/>
          <w:highlight w:val="none"/>
        </w:rPr>
      </w:pPr>
      <w:r>
        <w:rPr>
          <w:rFonts w:hint="eastAsia"/>
          <w:color w:val="auto"/>
          <w:szCs w:val="21"/>
          <w:highlight w:val="none"/>
        </w:rPr>
        <w:t>银行帐号：</w:t>
      </w:r>
    </w:p>
    <w:p w14:paraId="23421833">
      <w:pPr>
        <w:pStyle w:val="21"/>
        <w:rPr>
          <w:color w:val="auto"/>
          <w:szCs w:val="21"/>
          <w:highlight w:val="none"/>
        </w:rPr>
      </w:pPr>
      <w:r>
        <w:rPr>
          <w:rFonts w:hint="eastAsia"/>
          <w:color w:val="auto"/>
          <w:szCs w:val="21"/>
          <w:highlight w:val="none"/>
        </w:rPr>
        <w:t>银行转账费用由乙方承担。</w:t>
      </w:r>
    </w:p>
    <w:p w14:paraId="05841325">
      <w:pPr>
        <w:pStyle w:val="21"/>
        <w:rPr>
          <w:color w:val="auto"/>
          <w:szCs w:val="21"/>
          <w:highlight w:val="none"/>
        </w:rPr>
      </w:pPr>
      <w:r>
        <w:rPr>
          <w:color w:val="auto"/>
          <w:szCs w:val="21"/>
          <w:highlight w:val="none"/>
        </w:rPr>
        <w:t>4.5</w:t>
      </w:r>
      <w:r>
        <w:rPr>
          <w:rFonts w:hint="eastAsia"/>
          <w:color w:val="auto"/>
          <w:szCs w:val="21"/>
          <w:highlight w:val="none"/>
        </w:rPr>
        <w:t>如在土壤修复项目实施期间，因国家政策变化、政府对本合同工程的计划调整或不可抗力等非甲方原因造成本合同工程停建的，则乙方必须接受终止服务并积极配合甲方做好善后工作，按已实际完成的乙方工作内容和本合同的相关约定结清修复费用，乙方不得要求额外的费用及任何形式的补偿。</w:t>
      </w:r>
    </w:p>
    <w:p w14:paraId="03849D18">
      <w:pPr>
        <w:pStyle w:val="21"/>
        <w:rPr>
          <w:color w:val="auto"/>
          <w:szCs w:val="21"/>
          <w:highlight w:val="none"/>
        </w:rPr>
      </w:pPr>
      <w:r>
        <w:rPr>
          <w:color w:val="auto"/>
          <w:szCs w:val="21"/>
          <w:highlight w:val="none"/>
        </w:rPr>
        <w:t>4.6</w:t>
      </w:r>
      <w:r>
        <w:rPr>
          <w:rFonts w:hint="eastAsia"/>
          <w:color w:val="auto"/>
          <w:szCs w:val="21"/>
          <w:highlight w:val="none"/>
        </w:rPr>
        <w:t>如在土壤修复项目实施期间，无论任何原因造成本项目中间停工而导致乙方必须二次或多次进出场，本合同费用不会因此而有所增加，相关费用亦已包含在本合同价款之中。</w:t>
      </w:r>
    </w:p>
    <w:p w14:paraId="59C69BEC">
      <w:pPr>
        <w:pStyle w:val="21"/>
        <w:rPr>
          <w:color w:val="auto"/>
          <w:szCs w:val="21"/>
          <w:highlight w:val="none"/>
        </w:rPr>
      </w:pPr>
      <w:r>
        <w:rPr>
          <w:color w:val="auto"/>
          <w:szCs w:val="21"/>
          <w:highlight w:val="none"/>
        </w:rPr>
        <w:t>4.7</w:t>
      </w:r>
      <w:r>
        <w:rPr>
          <w:rFonts w:hint="eastAsia"/>
          <w:color w:val="auto"/>
          <w:szCs w:val="21"/>
          <w:highlight w:val="none"/>
        </w:rPr>
        <w:t>工程量计算原则：以经审查及评审备案的施工图、修复实施方案（结算时以竣工图、实际开挖分布图及现场确认资料为准）为依据，参考工程量计量规范（GB50584～50862-2013），结合经工程及环境监理、造价咨询、工程咨询及甲方等几方确认相关计量工具或设备计量记录资料为依据计算实际工程量。</w:t>
      </w:r>
    </w:p>
    <w:p w14:paraId="662E9984">
      <w:pPr>
        <w:pStyle w:val="21"/>
        <w:rPr>
          <w:color w:val="auto"/>
          <w:szCs w:val="21"/>
          <w:highlight w:val="none"/>
        </w:rPr>
      </w:pPr>
      <w:r>
        <w:rPr>
          <w:color w:val="auto"/>
          <w:szCs w:val="21"/>
          <w:highlight w:val="none"/>
        </w:rPr>
        <w:t>4.8</w:t>
      </w:r>
      <w:r>
        <w:rPr>
          <w:rFonts w:hint="eastAsia"/>
          <w:color w:val="auto"/>
          <w:szCs w:val="21"/>
          <w:highlight w:val="none"/>
        </w:rPr>
        <w:t>合同价款变更：</w:t>
      </w:r>
      <w:r>
        <w:rPr>
          <w:color w:val="auto"/>
          <w:szCs w:val="21"/>
          <w:highlight w:val="none"/>
        </w:rPr>
        <w:t xml:space="preserve"> </w:t>
      </w:r>
    </w:p>
    <w:p w14:paraId="3CADE427">
      <w:pPr>
        <w:pStyle w:val="21"/>
        <w:rPr>
          <w:color w:val="auto"/>
          <w:szCs w:val="21"/>
          <w:highlight w:val="none"/>
        </w:rPr>
      </w:pPr>
      <w:r>
        <w:rPr>
          <w:color w:val="auto"/>
          <w:szCs w:val="21"/>
          <w:highlight w:val="none"/>
        </w:rPr>
        <w:t>4.8.1</w:t>
      </w:r>
      <w:r>
        <w:rPr>
          <w:rFonts w:hint="eastAsia"/>
          <w:color w:val="auto"/>
          <w:szCs w:val="21"/>
          <w:highlight w:val="none"/>
        </w:rPr>
        <w:t>风险范围以外合同价款调整范围：当发生招标清单缺项、招标清单漏项、设计变更、现场签证增减经费需经甲方和乙方双方确认后实施，相关工程量及费用最终以甲方审定的为准。</w:t>
      </w:r>
    </w:p>
    <w:p w14:paraId="6358AF13">
      <w:pPr>
        <w:pStyle w:val="21"/>
        <w:rPr>
          <w:color w:val="auto"/>
          <w:szCs w:val="21"/>
          <w:highlight w:val="none"/>
        </w:rPr>
      </w:pPr>
      <w:r>
        <w:rPr>
          <w:color w:val="auto"/>
          <w:szCs w:val="21"/>
          <w:highlight w:val="none"/>
        </w:rPr>
        <w:t xml:space="preserve">4.8.2 </w:t>
      </w:r>
      <w:r>
        <w:rPr>
          <w:rFonts w:hint="eastAsia"/>
          <w:color w:val="auto"/>
          <w:szCs w:val="21"/>
          <w:highlight w:val="none"/>
        </w:rPr>
        <w:t>设计变更和现场签证由乙方提出经甲方确认后进行调整。任何变更洽商须有监理单位、甲方签字才能生效，乙方因没有遵守此条款，引起的任何返工，其损失或工期延误都应由乙方负责。</w:t>
      </w:r>
    </w:p>
    <w:p w14:paraId="2C2C9F22">
      <w:pPr>
        <w:pStyle w:val="21"/>
        <w:rPr>
          <w:color w:val="auto"/>
          <w:szCs w:val="21"/>
          <w:highlight w:val="none"/>
        </w:rPr>
      </w:pPr>
      <w:r>
        <w:rPr>
          <w:color w:val="auto"/>
          <w:szCs w:val="21"/>
          <w:highlight w:val="none"/>
        </w:rPr>
        <w:t xml:space="preserve">4.8.3 </w:t>
      </w:r>
      <w:r>
        <w:rPr>
          <w:rFonts w:hint="eastAsia"/>
          <w:color w:val="auto"/>
          <w:szCs w:val="21"/>
          <w:highlight w:val="none"/>
        </w:rPr>
        <w:t>在项目实施期间，招标文件工程量清单漏项的项目、设计变更的项目，经甲方审批确认后，按下列办法进行工程量及综合单价的计算：工程量依据合同第</w:t>
      </w:r>
      <w:r>
        <w:rPr>
          <w:color w:val="auto"/>
          <w:szCs w:val="21"/>
          <w:highlight w:val="none"/>
        </w:rPr>
        <w:t>4.7</w:t>
      </w:r>
      <w:r>
        <w:rPr>
          <w:rFonts w:hint="eastAsia"/>
          <w:color w:val="auto"/>
          <w:szCs w:val="21"/>
          <w:highlight w:val="none"/>
        </w:rPr>
        <w:t>条规定计量；综合单价计算方法为：</w:t>
      </w:r>
    </w:p>
    <w:p w14:paraId="354A1FF1">
      <w:pPr>
        <w:pStyle w:val="21"/>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）中标（成交）的工程量清单中已有适用的综合单价，则沿用该综合单价。</w:t>
      </w:r>
    </w:p>
    <w:p w14:paraId="7664928D">
      <w:pPr>
        <w:pStyle w:val="21"/>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中标（成交）的工程量清单中只有类似的综合单价，则按类似的综合单价进行调整换算，如类似项目的综合单价有两个以上，则按消耗量最少、管理费和利润取费最低的优先顺序选择类似项目综合单价进行换算。合同工程量清单中的项目与清单漏项的项目、设计变更的项目，两者只存在项目中材料费最高的材料的材质、型号、规格不同时，则新的综合单价只换算原清单项目综合单价中材料费最高的材料单价，其它不变。</w:t>
      </w:r>
    </w:p>
    <w:p w14:paraId="2D997A24">
      <w:pPr>
        <w:pStyle w:val="21"/>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）中标（成交）的工程量清单中没有适用或类似的综合单价，则作为新增项目，采用清单计价办法，由乙方依据《建设工程工程量清单计价规范》（</w:t>
      </w:r>
      <w:r>
        <w:rPr>
          <w:color w:val="auto"/>
          <w:szCs w:val="21"/>
          <w:highlight w:val="none"/>
        </w:rPr>
        <w:t>GB50500-2013</w:t>
      </w:r>
      <w:r>
        <w:rPr>
          <w:rFonts w:hint="eastAsia"/>
          <w:color w:val="auto"/>
          <w:szCs w:val="21"/>
          <w:highlight w:val="none"/>
        </w:rPr>
        <w:t>）、《广东省建设工程计价依据（</w:t>
      </w:r>
      <w:r>
        <w:rPr>
          <w:color w:val="auto"/>
          <w:szCs w:val="21"/>
          <w:highlight w:val="none"/>
        </w:rPr>
        <w:t>2018</w:t>
      </w:r>
      <w:r>
        <w:rPr>
          <w:rFonts w:hint="eastAsia"/>
          <w:color w:val="auto"/>
          <w:szCs w:val="21"/>
          <w:highlight w:val="none"/>
        </w:rPr>
        <w:t>）》及《广东省房屋建筑和市政修缮工程综合定额</w:t>
      </w:r>
      <w:r>
        <w:rPr>
          <w:color w:val="auto"/>
          <w:szCs w:val="21"/>
          <w:highlight w:val="none"/>
        </w:rPr>
        <w:t>(2012)</w:t>
      </w:r>
      <w:r>
        <w:rPr>
          <w:rFonts w:hint="eastAsia"/>
          <w:color w:val="auto"/>
          <w:szCs w:val="21"/>
          <w:highlight w:val="none"/>
        </w:rPr>
        <w:t>》、《广东省土壤修复工程造价指引》等编制综合单价，人工费和机械费执行施工同期广州市建设工程价格信息、材料单价按施工同期《广州地区建设工程常用材料税前综合价格》及《广州地区建设工程材料（设备）厂商信息价格》计算；其中，根据《广州地区建设工程材料（设备）厂商价格信息》计算的材料价应根据施工期间市场的实际情况做相应的下浮，《广州地区建设工程常用材料税前综合价格》及《广州地区建设工程材料（设备）厂商价格信息》都没有的材料单价，参考甲方及监理工程师审核确认的有效发票的材料单价计算，或由建设单位、代建单位、监理单位、施工单位按实际使用的厂家、品牌、规格、质量等进行市场询价后报相关部门审核确定。新增项目总价应按乙方报价浮动率给与下浮，乙方报价浮动率=（1—成交价格/最高限价）×100%（式中：成交价格、最高限价均不含绿色施工安全防护费）</w:t>
      </w:r>
    </w:p>
    <w:p w14:paraId="39B32DC2">
      <w:pPr>
        <w:pStyle w:val="21"/>
        <w:rPr>
          <w:color w:val="auto"/>
          <w:szCs w:val="21"/>
          <w:highlight w:val="none"/>
        </w:rPr>
      </w:pPr>
      <w:r>
        <w:rPr>
          <w:rFonts w:hint="eastAsia"/>
          <w:color w:val="auto"/>
          <w:szCs w:val="21"/>
          <w:highlight w:val="none"/>
        </w:rPr>
        <w:t>（4）上述综合单价均须经甲方审核确定后执行。</w:t>
      </w:r>
    </w:p>
    <w:p w14:paraId="18C9D607">
      <w:pPr>
        <w:pStyle w:val="21"/>
        <w:rPr>
          <w:color w:val="auto"/>
          <w:szCs w:val="21"/>
          <w:highlight w:val="none"/>
        </w:rPr>
      </w:pPr>
      <w:r>
        <w:rPr>
          <w:rFonts w:hint="eastAsia"/>
          <w:color w:val="auto"/>
          <w:szCs w:val="21"/>
          <w:highlight w:val="none"/>
        </w:rPr>
        <w:t>乙方投标报价相对于甲方提供的工程量清单有漏项或未填报综合单价项目，此项目的费用视为已包含在投标报价的其他单价和合价中</w:t>
      </w:r>
      <w:r>
        <w:rPr>
          <w:color w:val="auto"/>
          <w:szCs w:val="21"/>
          <w:highlight w:val="none"/>
        </w:rPr>
        <w:t xml:space="preserve"> </w:t>
      </w:r>
      <w:r>
        <w:rPr>
          <w:rFonts w:hint="eastAsia"/>
          <w:color w:val="auto"/>
          <w:szCs w:val="21"/>
          <w:highlight w:val="none"/>
        </w:rPr>
        <w:t>。</w:t>
      </w:r>
    </w:p>
    <w:p w14:paraId="719D07A6">
      <w:pPr>
        <w:pStyle w:val="21"/>
        <w:rPr>
          <w:color w:val="auto"/>
          <w:szCs w:val="21"/>
          <w:highlight w:val="none"/>
        </w:rPr>
      </w:pPr>
      <w:r>
        <w:rPr>
          <w:rFonts w:hint="eastAsia"/>
          <w:color w:val="auto"/>
          <w:szCs w:val="21"/>
          <w:highlight w:val="none"/>
        </w:rPr>
        <w:t>招标文件工程量清单中的项目在实际施工中没有做的项目，此项目的费用扣除。</w:t>
      </w:r>
    </w:p>
    <w:p w14:paraId="61DB131C">
      <w:pPr>
        <w:pStyle w:val="21"/>
        <w:rPr>
          <w:color w:val="auto"/>
          <w:szCs w:val="21"/>
          <w:highlight w:val="none"/>
        </w:rPr>
      </w:pPr>
      <w:r>
        <w:rPr>
          <w:color w:val="auto"/>
          <w:szCs w:val="21"/>
          <w:highlight w:val="none"/>
        </w:rPr>
        <w:t>4.9</w:t>
      </w:r>
      <w:r>
        <w:rPr>
          <w:rFonts w:hint="eastAsia"/>
          <w:color w:val="auto"/>
          <w:szCs w:val="21"/>
          <w:highlight w:val="none"/>
        </w:rPr>
        <w:t>结算方式：固定综合单价包干，工程量按实结算。按乙方投标报价时的工程量清单综合单价以及经甲方审批的新增综合单价，工程量依据合同第4.7条规定计量进行结算。本项目合同结算价不超合同价款，且不超过概算批复价，最终以财政部门或甲方终审部门审定结算价为准。</w:t>
      </w:r>
    </w:p>
    <w:p w14:paraId="48EC52B0">
      <w:pPr>
        <w:pStyle w:val="21"/>
        <w:rPr>
          <w:color w:val="auto"/>
          <w:szCs w:val="21"/>
          <w:highlight w:val="none"/>
        </w:rPr>
      </w:pPr>
      <w:r>
        <w:rPr>
          <w:rFonts w:hint="eastAsia"/>
          <w:color w:val="auto"/>
          <w:szCs w:val="21"/>
          <w:highlight w:val="none"/>
        </w:rPr>
        <w:t>措施费及其他项目费不另单独列项，已综合考虑在分部分项计价中。</w:t>
      </w:r>
    </w:p>
    <w:p w14:paraId="164ADEBE">
      <w:pPr>
        <w:pStyle w:val="21"/>
        <w:rPr>
          <w:color w:val="auto"/>
          <w:highlight w:val="none"/>
        </w:rPr>
      </w:pPr>
      <w:r>
        <w:rPr>
          <w:rFonts w:hint="eastAsia"/>
          <w:color w:val="auto"/>
          <w:highlight w:val="none"/>
        </w:rPr>
        <w:t>污染土壤处置工程量待项目竣工验收且完成地块移除污染地块名录信息系统后，结算工程量若大于招标清单工程量的，则按招标清单工程量计算；结算工程量若小于招标清单工程量的，则按实际完成工程量计算。</w:t>
      </w:r>
    </w:p>
    <w:p w14:paraId="40CE79C6">
      <w:pPr>
        <w:pStyle w:val="21"/>
        <w:rPr>
          <w:color w:val="auto"/>
          <w:highlight w:val="none"/>
        </w:rPr>
      </w:pPr>
      <w:r>
        <w:rPr>
          <w:rFonts w:hint="eastAsia"/>
          <w:color w:val="auto"/>
          <w:highlight w:val="none"/>
        </w:rPr>
        <w:t xml:space="preserve">第五条 </w:t>
      </w:r>
      <w:r>
        <w:rPr>
          <w:color w:val="auto"/>
          <w:highlight w:val="none"/>
        </w:rPr>
        <w:t>履约保证金</w:t>
      </w:r>
    </w:p>
    <w:p w14:paraId="6CB0E2C6">
      <w:pPr>
        <w:pStyle w:val="21"/>
        <w:rPr>
          <w:color w:val="auto"/>
          <w:highlight w:val="none"/>
        </w:rPr>
      </w:pPr>
      <w:r>
        <w:rPr>
          <w:rFonts w:hint="eastAsia"/>
          <w:color w:val="auto"/>
          <w:highlight w:val="none"/>
        </w:rPr>
        <w:t>5</w:t>
      </w:r>
      <w:r>
        <w:rPr>
          <w:color w:val="auto"/>
          <w:highlight w:val="none"/>
        </w:rPr>
        <w:t>.1</w:t>
      </w:r>
      <w:r>
        <w:rPr>
          <w:rFonts w:hint="eastAsia"/>
          <w:color w:val="auto"/>
          <w:highlight w:val="none"/>
        </w:rPr>
        <w:t xml:space="preserve"> 乙方提供的履约保证金为本合同总金额的10%。</w:t>
      </w:r>
    </w:p>
    <w:p w14:paraId="18480861">
      <w:pPr>
        <w:pStyle w:val="21"/>
        <w:rPr>
          <w:color w:val="auto"/>
          <w:highlight w:val="none"/>
        </w:rPr>
      </w:pPr>
      <w:r>
        <w:rPr>
          <w:rFonts w:hint="eastAsia"/>
          <w:color w:val="auto"/>
          <w:highlight w:val="none"/>
        </w:rPr>
        <w:t>5</w:t>
      </w:r>
      <w:r>
        <w:rPr>
          <w:color w:val="auto"/>
          <w:highlight w:val="none"/>
        </w:rPr>
        <w:t>.</w:t>
      </w:r>
      <w:r>
        <w:rPr>
          <w:rFonts w:hint="eastAsia"/>
          <w:color w:val="auto"/>
          <w:highlight w:val="none"/>
        </w:rPr>
        <w:t xml:space="preserve">2 履约担保的形式：以银行保函的形式交给甲方。乙方应于合同签订后 10 天内向甲方提供履约保函原件，如乙方提供银行保函，需为中华人民共和国境内的银行分行或以上开具的无条件、不可撤销、见索即付银行保函。待本项目验收通过后甲方向乙方退回履约保函原件。待本项目验收通过后，且合同执行期间，乙方不存在违约情况或违约行为已按合同约定完成处理的，甲方可向乙方退回履约保函原件。乙方需确保履约保函有效期与本合同项目工期一致，若本项目工期出现延长，乙方的履约保函也相应延期，直至本合同终止，且履约保函延期费用已包含在合同价款中，不再额外计取。 </w:t>
      </w:r>
    </w:p>
    <w:p w14:paraId="4640F405">
      <w:pPr>
        <w:pStyle w:val="21"/>
        <w:rPr>
          <w:color w:val="auto"/>
          <w:highlight w:val="none"/>
        </w:rPr>
      </w:pPr>
      <w:r>
        <w:rPr>
          <w:rFonts w:hint="eastAsia"/>
          <w:color w:val="auto"/>
          <w:highlight w:val="none"/>
        </w:rPr>
        <w:t>5.3 如乙方违约，且未按合同约定或甲方要求接受处理的，可依据合同约定没收履约保证金。</w:t>
      </w:r>
    </w:p>
    <w:p w14:paraId="40A34B59">
      <w:pPr>
        <w:pStyle w:val="21"/>
        <w:rPr>
          <w:color w:val="auto"/>
          <w:highlight w:val="none"/>
        </w:rPr>
      </w:pPr>
      <w:r>
        <w:rPr>
          <w:rFonts w:hint="eastAsia"/>
          <w:color w:val="auto"/>
          <w:highlight w:val="none"/>
        </w:rPr>
        <w:t>第六条 技术成果及其验收标准</w:t>
      </w:r>
    </w:p>
    <w:p w14:paraId="6BE51263">
      <w:pPr>
        <w:pStyle w:val="21"/>
        <w:rPr>
          <w:color w:val="auto"/>
          <w:highlight w:val="none"/>
        </w:rPr>
      </w:pPr>
      <w:r>
        <w:rPr>
          <w:rFonts w:hint="eastAsia"/>
          <w:color w:val="auto"/>
          <w:highlight w:val="none"/>
        </w:rPr>
        <w:t>6.1乙方根据项目开展情况向甲方提交</w:t>
      </w:r>
      <w:bookmarkStart w:id="5" w:name="_Hlk149829119"/>
      <w:r>
        <w:rPr>
          <w:rFonts w:hint="eastAsia"/>
          <w:color w:val="auto"/>
          <w:highlight w:val="none"/>
        </w:rPr>
        <w:t>《污染土壤危废鉴定报告》、《修复实施方案》、《修复工程总结报告》</w:t>
      </w:r>
      <w:bookmarkEnd w:id="5"/>
      <w:r>
        <w:rPr>
          <w:rFonts w:hint="eastAsia"/>
          <w:color w:val="auto"/>
          <w:highlight w:val="none"/>
        </w:rPr>
        <w:t>，乙方应按国家有关环境监测技术规范以及相关生态环境法规要求编写相关报告，以生态环境部门及相关部门备案作为成果的最终验收依据。以上资料暂定纸质版6份，电子版2份，并负责按有关评审及招标要求提供成果及份数。</w:t>
      </w:r>
    </w:p>
    <w:p w14:paraId="5CF6B548">
      <w:pPr>
        <w:pStyle w:val="21"/>
        <w:rPr>
          <w:color w:val="auto"/>
          <w:highlight w:val="none"/>
        </w:rPr>
      </w:pPr>
      <w:r>
        <w:rPr>
          <w:rFonts w:hint="eastAsia"/>
          <w:color w:val="auto"/>
          <w:highlight w:val="none"/>
        </w:rPr>
        <w:t>6.2乙方在修复过程中应根据招标文件要求及国家相关标准完成本项目工作，</w:t>
      </w:r>
      <w:bookmarkStart w:id="6" w:name="_Hlk149829169"/>
      <w:r>
        <w:rPr>
          <w:rFonts w:hint="eastAsia"/>
          <w:color w:val="auto"/>
          <w:highlight w:val="none"/>
        </w:rPr>
        <w:t>修复工程相关工作</w:t>
      </w:r>
      <w:bookmarkEnd w:id="6"/>
      <w:r>
        <w:rPr>
          <w:rFonts w:hint="eastAsia"/>
          <w:color w:val="auto"/>
          <w:highlight w:val="none"/>
        </w:rPr>
        <w:t>应通过生态环境主管部门组织的修复效果评估专家评审会，最终本地块移出广东省建设用地土壤污染风险管控和修复名录即为验收通过。</w:t>
      </w:r>
    </w:p>
    <w:p w14:paraId="729556B1">
      <w:pPr>
        <w:pStyle w:val="21"/>
        <w:rPr>
          <w:color w:val="auto"/>
          <w:highlight w:val="none"/>
        </w:rPr>
      </w:pPr>
      <w:r>
        <w:rPr>
          <w:color w:val="auto"/>
          <w:highlight w:val="none"/>
        </w:rPr>
        <w:t>第</w:t>
      </w:r>
      <w:r>
        <w:rPr>
          <w:rFonts w:hint="eastAsia"/>
          <w:color w:val="auto"/>
          <w:highlight w:val="none"/>
        </w:rPr>
        <w:t>七</w:t>
      </w:r>
      <w:r>
        <w:rPr>
          <w:color w:val="auto"/>
          <w:highlight w:val="none"/>
        </w:rPr>
        <w:t>条 甲方权利及义务</w:t>
      </w:r>
    </w:p>
    <w:p w14:paraId="2FFEFE8A">
      <w:pPr>
        <w:pStyle w:val="21"/>
        <w:rPr>
          <w:color w:val="auto"/>
          <w:highlight w:val="none"/>
        </w:rPr>
      </w:pPr>
      <w:r>
        <w:rPr>
          <w:rFonts w:hint="eastAsia"/>
          <w:color w:val="auto"/>
          <w:highlight w:val="none"/>
        </w:rPr>
        <w:t>7</w:t>
      </w:r>
      <w:r>
        <w:rPr>
          <w:color w:val="auto"/>
          <w:highlight w:val="none"/>
        </w:rPr>
        <w:t>.1甲方对</w:t>
      </w:r>
      <w:r>
        <w:rPr>
          <w:rFonts w:hint="eastAsia"/>
          <w:color w:val="auto"/>
          <w:highlight w:val="none"/>
        </w:rPr>
        <w:t>乙</w:t>
      </w:r>
      <w:r>
        <w:rPr>
          <w:color w:val="auto"/>
          <w:highlight w:val="none"/>
        </w:rPr>
        <w:t>方的工作进行全过程</w:t>
      </w:r>
      <w:r>
        <w:rPr>
          <w:rFonts w:hint="eastAsia"/>
          <w:color w:val="auto"/>
          <w:highlight w:val="none"/>
        </w:rPr>
        <w:t>管理及监督</w:t>
      </w:r>
      <w:r>
        <w:rPr>
          <w:color w:val="auto"/>
          <w:highlight w:val="none"/>
        </w:rPr>
        <w:t>，包括但不限于</w:t>
      </w:r>
      <w:r>
        <w:rPr>
          <w:rFonts w:hint="eastAsia"/>
          <w:color w:val="auto"/>
          <w:highlight w:val="none"/>
        </w:rPr>
        <w:t>乙</w:t>
      </w:r>
      <w:r>
        <w:rPr>
          <w:color w:val="auto"/>
          <w:highlight w:val="none"/>
        </w:rPr>
        <w:t>方收集的资料审核、现场</w:t>
      </w:r>
      <w:r>
        <w:rPr>
          <w:rFonts w:hint="eastAsia"/>
          <w:color w:val="auto"/>
          <w:highlight w:val="none"/>
        </w:rPr>
        <w:t>实施</w:t>
      </w:r>
      <w:r>
        <w:rPr>
          <w:color w:val="auto"/>
          <w:highlight w:val="none"/>
        </w:rPr>
        <w:t>过程督导、</w:t>
      </w:r>
      <w:r>
        <w:rPr>
          <w:rFonts w:hint="eastAsia"/>
          <w:color w:val="auto"/>
          <w:highlight w:val="none"/>
        </w:rPr>
        <w:t>采样</w:t>
      </w:r>
      <w:r>
        <w:rPr>
          <w:color w:val="auto"/>
          <w:highlight w:val="none"/>
        </w:rPr>
        <w:t>化验</w:t>
      </w:r>
      <w:r>
        <w:rPr>
          <w:rFonts w:hint="eastAsia"/>
          <w:color w:val="auto"/>
          <w:highlight w:val="none"/>
        </w:rPr>
        <w:t>监督</w:t>
      </w:r>
      <w:r>
        <w:rPr>
          <w:color w:val="auto"/>
          <w:highlight w:val="none"/>
        </w:rPr>
        <w:t>、数据分析处理</w:t>
      </w:r>
      <w:r>
        <w:rPr>
          <w:rFonts w:hint="eastAsia"/>
          <w:color w:val="auto"/>
          <w:highlight w:val="none"/>
        </w:rPr>
        <w:t>抽查</w:t>
      </w:r>
      <w:r>
        <w:rPr>
          <w:color w:val="auto"/>
          <w:highlight w:val="none"/>
        </w:rPr>
        <w:t>、报告初步审核等。</w:t>
      </w:r>
      <w:r>
        <w:rPr>
          <w:rFonts w:hint="eastAsia"/>
          <w:color w:val="auto"/>
          <w:highlight w:val="none"/>
        </w:rPr>
        <w:t>如乙</w:t>
      </w:r>
      <w:r>
        <w:rPr>
          <w:color w:val="auto"/>
          <w:highlight w:val="none"/>
        </w:rPr>
        <w:t>方</w:t>
      </w:r>
      <w:r>
        <w:rPr>
          <w:rFonts w:hint="eastAsia"/>
          <w:color w:val="auto"/>
          <w:highlight w:val="none"/>
        </w:rPr>
        <w:t>违反合同义务，甲方应及时采取措施维护甲方权益，追究乙</w:t>
      </w:r>
      <w:r>
        <w:rPr>
          <w:color w:val="auto"/>
          <w:highlight w:val="none"/>
        </w:rPr>
        <w:t>方</w:t>
      </w:r>
      <w:r>
        <w:rPr>
          <w:rFonts w:hint="eastAsia"/>
          <w:color w:val="auto"/>
          <w:highlight w:val="none"/>
        </w:rPr>
        <w:t>违约责任。</w:t>
      </w:r>
    </w:p>
    <w:p w14:paraId="0E172C64">
      <w:pPr>
        <w:pStyle w:val="21"/>
        <w:rPr>
          <w:color w:val="auto"/>
          <w:highlight w:val="none"/>
        </w:rPr>
      </w:pPr>
      <w:r>
        <w:rPr>
          <w:rFonts w:hint="eastAsia"/>
          <w:color w:val="auto"/>
          <w:highlight w:val="none"/>
        </w:rPr>
        <w:t>7.2甲</w:t>
      </w:r>
      <w:r>
        <w:rPr>
          <w:color w:val="auto"/>
          <w:highlight w:val="none"/>
        </w:rPr>
        <w:t>方应及时向</w:t>
      </w:r>
      <w:r>
        <w:rPr>
          <w:rFonts w:hint="eastAsia"/>
          <w:color w:val="auto"/>
          <w:highlight w:val="none"/>
        </w:rPr>
        <w:t>乙方</w:t>
      </w:r>
      <w:r>
        <w:rPr>
          <w:color w:val="auto"/>
          <w:highlight w:val="none"/>
        </w:rPr>
        <w:t>提供</w:t>
      </w:r>
      <w:r>
        <w:rPr>
          <w:rFonts w:hint="eastAsia"/>
          <w:color w:val="auto"/>
          <w:highlight w:val="none"/>
        </w:rPr>
        <w:t>项目</w:t>
      </w:r>
      <w:r>
        <w:rPr>
          <w:color w:val="auto"/>
          <w:highlight w:val="none"/>
        </w:rPr>
        <w:t>相关的原始数据资料。如</w:t>
      </w:r>
      <w:r>
        <w:rPr>
          <w:rFonts w:hint="eastAsia"/>
          <w:color w:val="auto"/>
          <w:highlight w:val="none"/>
        </w:rPr>
        <w:t>乙</w:t>
      </w:r>
      <w:r>
        <w:rPr>
          <w:color w:val="auto"/>
          <w:highlight w:val="none"/>
        </w:rPr>
        <w:t>方</w:t>
      </w:r>
      <w:r>
        <w:rPr>
          <w:rFonts w:hint="eastAsia"/>
          <w:color w:val="auto"/>
          <w:highlight w:val="none"/>
        </w:rPr>
        <w:t>还需要其他相关资料，甲</w:t>
      </w:r>
      <w:r>
        <w:rPr>
          <w:color w:val="auto"/>
          <w:highlight w:val="none"/>
        </w:rPr>
        <w:t>方负责</w:t>
      </w:r>
      <w:r>
        <w:rPr>
          <w:rFonts w:hint="eastAsia"/>
          <w:color w:val="auto"/>
          <w:highlight w:val="none"/>
        </w:rPr>
        <w:t>协助乙</w:t>
      </w:r>
      <w:r>
        <w:rPr>
          <w:color w:val="auto"/>
          <w:highlight w:val="none"/>
        </w:rPr>
        <w:t>方</w:t>
      </w:r>
      <w:r>
        <w:rPr>
          <w:rFonts w:hint="eastAsia"/>
          <w:color w:val="auto"/>
          <w:highlight w:val="none"/>
        </w:rPr>
        <w:t>获取</w:t>
      </w:r>
      <w:r>
        <w:rPr>
          <w:color w:val="auto"/>
          <w:highlight w:val="none"/>
        </w:rPr>
        <w:t>。如因</w:t>
      </w:r>
      <w:r>
        <w:rPr>
          <w:rFonts w:hint="eastAsia"/>
          <w:color w:val="auto"/>
          <w:highlight w:val="none"/>
        </w:rPr>
        <w:t>非乙方</w:t>
      </w:r>
      <w:r>
        <w:rPr>
          <w:color w:val="auto"/>
          <w:highlight w:val="none"/>
        </w:rPr>
        <w:t>原因导致数据资料收集延迟或停顿的，则相应</w:t>
      </w:r>
      <w:r>
        <w:rPr>
          <w:rFonts w:hint="eastAsia"/>
          <w:color w:val="auto"/>
          <w:highlight w:val="none"/>
        </w:rPr>
        <w:t>项目</w:t>
      </w:r>
      <w:r>
        <w:rPr>
          <w:color w:val="auto"/>
          <w:highlight w:val="none"/>
        </w:rPr>
        <w:t>成果提交时限顺延。</w:t>
      </w:r>
    </w:p>
    <w:p w14:paraId="6BD85C61">
      <w:pPr>
        <w:pStyle w:val="21"/>
        <w:rPr>
          <w:color w:val="auto"/>
          <w:highlight w:val="none"/>
        </w:rPr>
      </w:pPr>
      <w:r>
        <w:rPr>
          <w:rFonts w:hint="eastAsia"/>
          <w:color w:val="auto"/>
          <w:highlight w:val="none"/>
        </w:rPr>
        <w:t>7.3甲方</w:t>
      </w:r>
      <w:r>
        <w:rPr>
          <w:color w:val="auto"/>
          <w:highlight w:val="none"/>
        </w:rPr>
        <w:t>应及时按照合同约定办理</w:t>
      </w:r>
      <w:r>
        <w:rPr>
          <w:rFonts w:hint="eastAsia"/>
          <w:color w:val="auto"/>
          <w:highlight w:val="none"/>
        </w:rPr>
        <w:t>项目</w:t>
      </w:r>
      <w:r>
        <w:rPr>
          <w:color w:val="auto"/>
          <w:highlight w:val="none"/>
        </w:rPr>
        <w:t>款项的</w:t>
      </w:r>
      <w:r>
        <w:rPr>
          <w:rFonts w:hint="eastAsia"/>
          <w:color w:val="auto"/>
          <w:highlight w:val="none"/>
        </w:rPr>
        <w:t>审核及</w:t>
      </w:r>
      <w:r>
        <w:rPr>
          <w:color w:val="auto"/>
          <w:highlight w:val="none"/>
        </w:rPr>
        <w:t>支付</w:t>
      </w:r>
      <w:r>
        <w:rPr>
          <w:rFonts w:hint="eastAsia"/>
          <w:color w:val="auto"/>
          <w:highlight w:val="none"/>
        </w:rPr>
        <w:t>申请手续</w:t>
      </w:r>
      <w:r>
        <w:rPr>
          <w:color w:val="auto"/>
          <w:highlight w:val="none"/>
        </w:rPr>
        <w:t>。</w:t>
      </w:r>
    </w:p>
    <w:p w14:paraId="2B7CDC1B">
      <w:pPr>
        <w:pStyle w:val="21"/>
        <w:rPr>
          <w:color w:val="auto"/>
          <w:highlight w:val="none"/>
        </w:rPr>
      </w:pPr>
      <w:r>
        <w:rPr>
          <w:rFonts w:hint="eastAsia"/>
          <w:color w:val="auto"/>
          <w:highlight w:val="none"/>
        </w:rPr>
        <w:t>8.5甲方有权要求乙方更换不称职人员，乙方应当在收到甲方的书面通知后30</w:t>
      </w:r>
      <w:r>
        <w:rPr>
          <w:color w:val="auto"/>
          <w:highlight w:val="none"/>
        </w:rPr>
        <w:t>天内</w:t>
      </w:r>
      <w:r>
        <w:rPr>
          <w:rFonts w:hint="eastAsia"/>
          <w:color w:val="auto"/>
          <w:highlight w:val="none"/>
        </w:rPr>
        <w:t>无条件进行</w:t>
      </w:r>
      <w:r>
        <w:rPr>
          <w:color w:val="auto"/>
          <w:highlight w:val="none"/>
        </w:rPr>
        <w:t>更换，更换人员的资历不得低于本合同</w:t>
      </w:r>
      <w:r>
        <w:rPr>
          <w:rFonts w:hint="eastAsia"/>
          <w:color w:val="auto"/>
          <w:highlight w:val="none"/>
        </w:rPr>
        <w:t>乙方人员资历规定的要求，且更换人员须事先经过甲方书面确认。</w:t>
      </w:r>
    </w:p>
    <w:p w14:paraId="5C8069E0">
      <w:pPr>
        <w:pStyle w:val="21"/>
        <w:rPr>
          <w:color w:val="auto"/>
          <w:spacing w:val="15"/>
          <w:highlight w:val="none"/>
        </w:rPr>
      </w:pPr>
      <w:r>
        <w:rPr>
          <w:rFonts w:hint="eastAsia"/>
          <w:color w:val="auto"/>
          <w:highlight w:val="none"/>
        </w:rPr>
        <w:t>第八条 乙方权利及义务</w:t>
      </w:r>
    </w:p>
    <w:p w14:paraId="2C6B46CA">
      <w:pPr>
        <w:pStyle w:val="21"/>
        <w:rPr>
          <w:color w:val="auto"/>
          <w:highlight w:val="none"/>
        </w:rPr>
      </w:pPr>
      <w:r>
        <w:rPr>
          <w:rFonts w:hint="eastAsia"/>
          <w:color w:val="auto"/>
          <w:highlight w:val="none"/>
        </w:rPr>
        <w:t>8</w:t>
      </w:r>
      <w:r>
        <w:rPr>
          <w:color w:val="auto"/>
          <w:highlight w:val="none"/>
        </w:rPr>
        <w:t>.1乙方应按</w:t>
      </w:r>
      <w:r>
        <w:rPr>
          <w:rFonts w:hint="eastAsia"/>
          <w:color w:val="auto"/>
          <w:highlight w:val="none"/>
        </w:rPr>
        <w:t>工作</w:t>
      </w:r>
      <w:r>
        <w:rPr>
          <w:color w:val="auto"/>
          <w:highlight w:val="none"/>
        </w:rPr>
        <w:t>内容和要求按时投入合格的、充足的技术人员开展</w:t>
      </w:r>
      <w:r>
        <w:rPr>
          <w:rFonts w:hint="eastAsia"/>
          <w:color w:val="auto"/>
          <w:highlight w:val="none"/>
        </w:rPr>
        <w:t>本项目</w:t>
      </w:r>
      <w:r>
        <w:rPr>
          <w:color w:val="auto"/>
          <w:highlight w:val="none"/>
        </w:rPr>
        <w:t>工作</w:t>
      </w:r>
      <w:r>
        <w:rPr>
          <w:rFonts w:hint="eastAsia"/>
          <w:color w:val="auto"/>
          <w:highlight w:val="none"/>
        </w:rPr>
        <w:t>（人员及资质要求具体以采购需求书为准）</w:t>
      </w:r>
      <w:r>
        <w:rPr>
          <w:color w:val="auto"/>
          <w:highlight w:val="none"/>
        </w:rPr>
        <w:t>，提供所承担任务的全部软、硬件环境，包括数据处理工具、硬件设备等。</w:t>
      </w:r>
    </w:p>
    <w:p w14:paraId="1051073F">
      <w:pPr>
        <w:pStyle w:val="21"/>
        <w:rPr>
          <w:color w:val="auto"/>
          <w:highlight w:val="none"/>
        </w:rPr>
      </w:pPr>
      <w:r>
        <w:rPr>
          <w:rFonts w:hint="eastAsia"/>
          <w:color w:val="auto"/>
          <w:highlight w:val="none"/>
        </w:rPr>
        <w:t>8</w:t>
      </w:r>
      <w:r>
        <w:rPr>
          <w:color w:val="auto"/>
          <w:highlight w:val="none"/>
        </w:rPr>
        <w:t>.2乙方应按期保质开展</w:t>
      </w:r>
      <w:r>
        <w:rPr>
          <w:rFonts w:hint="eastAsia"/>
          <w:color w:val="auto"/>
          <w:highlight w:val="none"/>
        </w:rPr>
        <w:t>本项目</w:t>
      </w:r>
      <w:r>
        <w:rPr>
          <w:color w:val="auto"/>
          <w:highlight w:val="none"/>
        </w:rPr>
        <w:t>工作，按照本合同约定向</w:t>
      </w:r>
      <w:r>
        <w:rPr>
          <w:rFonts w:hint="eastAsia"/>
          <w:color w:val="auto"/>
          <w:highlight w:val="none"/>
        </w:rPr>
        <w:t>甲</w:t>
      </w:r>
      <w:r>
        <w:rPr>
          <w:color w:val="auto"/>
          <w:highlight w:val="none"/>
        </w:rPr>
        <w:t>方提交</w:t>
      </w:r>
      <w:r>
        <w:rPr>
          <w:rFonts w:hint="eastAsia"/>
          <w:color w:val="auto"/>
          <w:highlight w:val="none"/>
        </w:rPr>
        <w:t>本合同6</w:t>
      </w:r>
      <w:r>
        <w:rPr>
          <w:color w:val="auto"/>
          <w:highlight w:val="none"/>
        </w:rPr>
        <w:t>.1</w:t>
      </w:r>
      <w:r>
        <w:rPr>
          <w:rFonts w:hint="eastAsia"/>
          <w:color w:val="auto"/>
          <w:highlight w:val="none"/>
        </w:rPr>
        <w:t>条规定的技术咨询成果</w:t>
      </w:r>
      <w:r>
        <w:rPr>
          <w:color w:val="auto"/>
          <w:highlight w:val="none"/>
        </w:rPr>
        <w:t>，并对</w:t>
      </w:r>
      <w:r>
        <w:rPr>
          <w:rFonts w:hint="eastAsia"/>
          <w:color w:val="auto"/>
          <w:highlight w:val="none"/>
        </w:rPr>
        <w:t>其</w:t>
      </w:r>
      <w:r>
        <w:rPr>
          <w:color w:val="auto"/>
          <w:highlight w:val="none"/>
        </w:rPr>
        <w:t>负责。</w:t>
      </w:r>
    </w:p>
    <w:p w14:paraId="6B7307F9">
      <w:pPr>
        <w:pStyle w:val="21"/>
        <w:rPr>
          <w:color w:val="auto"/>
          <w:highlight w:val="none"/>
        </w:rPr>
      </w:pPr>
      <w:r>
        <w:rPr>
          <w:rFonts w:hint="eastAsia"/>
          <w:color w:val="auto"/>
          <w:highlight w:val="none"/>
        </w:rPr>
        <w:t>8</w:t>
      </w:r>
      <w:r>
        <w:rPr>
          <w:color w:val="auto"/>
          <w:highlight w:val="none"/>
        </w:rPr>
        <w:t>.3乙方应在项目服务期间</w:t>
      </w:r>
      <w:r>
        <w:rPr>
          <w:rFonts w:hint="eastAsia"/>
          <w:color w:val="auto"/>
          <w:highlight w:val="none"/>
        </w:rPr>
        <w:t>按甲方要求</w:t>
      </w:r>
      <w:r>
        <w:rPr>
          <w:color w:val="auto"/>
          <w:highlight w:val="none"/>
        </w:rPr>
        <w:t>书面汇报工作进度和工作计划。</w:t>
      </w:r>
    </w:p>
    <w:p w14:paraId="67C1FBC5">
      <w:pPr>
        <w:pStyle w:val="21"/>
        <w:rPr>
          <w:color w:val="auto"/>
          <w:highlight w:val="none"/>
        </w:rPr>
      </w:pPr>
      <w:r>
        <w:rPr>
          <w:rFonts w:hint="eastAsia"/>
          <w:color w:val="auto"/>
          <w:highlight w:val="none"/>
        </w:rPr>
        <w:t>8</w:t>
      </w:r>
      <w:r>
        <w:rPr>
          <w:color w:val="auto"/>
          <w:highlight w:val="none"/>
        </w:rPr>
        <w:t>.4乙方应承担</w:t>
      </w:r>
      <w:r>
        <w:rPr>
          <w:rFonts w:hint="eastAsia"/>
          <w:color w:val="auto"/>
          <w:highlight w:val="none"/>
        </w:rPr>
        <w:t>内部</w:t>
      </w:r>
      <w:r>
        <w:rPr>
          <w:color w:val="auto"/>
          <w:highlight w:val="none"/>
        </w:rPr>
        <w:t>专家</w:t>
      </w:r>
      <w:r>
        <w:rPr>
          <w:rFonts w:hint="eastAsia"/>
          <w:color w:val="auto"/>
          <w:highlight w:val="none"/>
        </w:rPr>
        <w:t>咨询</w:t>
      </w:r>
      <w:r>
        <w:rPr>
          <w:color w:val="auto"/>
          <w:highlight w:val="none"/>
        </w:rPr>
        <w:t>会的相关费用。</w:t>
      </w:r>
    </w:p>
    <w:p w14:paraId="09CF3360">
      <w:pPr>
        <w:pStyle w:val="21"/>
        <w:rPr>
          <w:color w:val="auto"/>
          <w:highlight w:val="none"/>
        </w:rPr>
      </w:pPr>
      <w:r>
        <w:rPr>
          <w:rFonts w:hint="eastAsia"/>
          <w:color w:val="auto"/>
          <w:highlight w:val="none"/>
        </w:rPr>
        <w:t>8</w:t>
      </w:r>
      <w:r>
        <w:rPr>
          <w:color w:val="auto"/>
          <w:highlight w:val="none"/>
        </w:rPr>
        <w:t>.5乙方</w:t>
      </w:r>
      <w:r>
        <w:rPr>
          <w:rFonts w:hint="eastAsia"/>
          <w:color w:val="auto"/>
          <w:highlight w:val="none"/>
        </w:rPr>
        <w:t>服务</w:t>
      </w:r>
      <w:r>
        <w:rPr>
          <w:color w:val="auto"/>
          <w:highlight w:val="none"/>
        </w:rPr>
        <w:t>过程中涉及需要向</w:t>
      </w:r>
      <w:r>
        <w:rPr>
          <w:rFonts w:hint="eastAsia"/>
          <w:color w:val="auto"/>
          <w:highlight w:val="none"/>
        </w:rPr>
        <w:t>甲</w:t>
      </w:r>
      <w:r>
        <w:rPr>
          <w:color w:val="auto"/>
          <w:highlight w:val="none"/>
        </w:rPr>
        <w:t>方公开有关技术细节，应提供必要的技术材料，并向</w:t>
      </w:r>
      <w:r>
        <w:rPr>
          <w:rFonts w:hint="eastAsia"/>
          <w:color w:val="auto"/>
          <w:highlight w:val="none"/>
        </w:rPr>
        <w:t>甲</w:t>
      </w:r>
      <w:r>
        <w:rPr>
          <w:color w:val="auto"/>
          <w:highlight w:val="none"/>
        </w:rPr>
        <w:t>方相关人员提供培训和技术支持。</w:t>
      </w:r>
    </w:p>
    <w:p w14:paraId="14331884">
      <w:pPr>
        <w:pStyle w:val="21"/>
        <w:rPr>
          <w:color w:val="auto"/>
          <w:highlight w:val="none"/>
        </w:rPr>
      </w:pPr>
      <w:r>
        <w:rPr>
          <w:rFonts w:hint="eastAsia"/>
          <w:color w:val="auto"/>
          <w:highlight w:val="none"/>
        </w:rPr>
        <w:t>8.6 乙方应</w:t>
      </w:r>
      <w:r>
        <w:rPr>
          <w:color w:val="auto"/>
          <w:highlight w:val="none"/>
        </w:rPr>
        <w:t>编制、整理</w:t>
      </w:r>
      <w:r>
        <w:rPr>
          <w:rFonts w:hint="eastAsia"/>
          <w:color w:val="auto"/>
          <w:highlight w:val="none"/>
        </w:rPr>
        <w:t>项目</w:t>
      </w:r>
      <w:r>
        <w:rPr>
          <w:color w:val="auto"/>
          <w:highlight w:val="none"/>
        </w:rPr>
        <w:t>过程中</w:t>
      </w:r>
      <w:r>
        <w:rPr>
          <w:rFonts w:hint="eastAsia"/>
          <w:color w:val="auto"/>
          <w:highlight w:val="none"/>
        </w:rPr>
        <w:t>的</w:t>
      </w:r>
      <w:r>
        <w:rPr>
          <w:color w:val="auto"/>
          <w:highlight w:val="none"/>
        </w:rPr>
        <w:t>归档文件并报</w:t>
      </w:r>
      <w:r>
        <w:rPr>
          <w:rFonts w:hint="eastAsia"/>
          <w:color w:val="auto"/>
          <w:highlight w:val="none"/>
        </w:rPr>
        <w:t>甲方。</w:t>
      </w:r>
    </w:p>
    <w:p w14:paraId="533E2424">
      <w:pPr>
        <w:pStyle w:val="21"/>
        <w:rPr>
          <w:color w:val="auto"/>
          <w:highlight w:val="none"/>
        </w:rPr>
      </w:pPr>
      <w:r>
        <w:rPr>
          <w:rFonts w:hint="eastAsia"/>
          <w:color w:val="auto"/>
          <w:highlight w:val="none"/>
        </w:rPr>
        <w:t>8</w:t>
      </w:r>
      <w:r>
        <w:rPr>
          <w:color w:val="auto"/>
          <w:highlight w:val="none"/>
        </w:rPr>
        <w:t>.</w:t>
      </w:r>
      <w:r>
        <w:rPr>
          <w:rFonts w:hint="eastAsia"/>
          <w:color w:val="auto"/>
          <w:highlight w:val="none"/>
        </w:rPr>
        <w:t>7</w:t>
      </w:r>
      <w:r>
        <w:rPr>
          <w:color w:val="auto"/>
          <w:highlight w:val="none"/>
        </w:rPr>
        <w:t>乙方对工作过程中由于自身原因而出现的遗漏与错误应负责进行修改和补充，不得要求</w:t>
      </w:r>
      <w:r>
        <w:rPr>
          <w:rFonts w:hint="eastAsia"/>
          <w:color w:val="auto"/>
          <w:highlight w:val="none"/>
        </w:rPr>
        <w:t>甲</w:t>
      </w:r>
      <w:r>
        <w:rPr>
          <w:color w:val="auto"/>
          <w:highlight w:val="none"/>
        </w:rPr>
        <w:t>方另行支付任何费用。</w:t>
      </w:r>
    </w:p>
    <w:p w14:paraId="4808F5C5">
      <w:pPr>
        <w:pStyle w:val="21"/>
        <w:rPr>
          <w:color w:val="auto"/>
          <w:highlight w:val="none"/>
        </w:rPr>
      </w:pPr>
      <w:r>
        <w:rPr>
          <w:rFonts w:hint="eastAsia"/>
          <w:color w:val="auto"/>
          <w:highlight w:val="none"/>
        </w:rPr>
        <w:t>8.8乙方应按甲方要求更换不称职人员，乙方应当在收到甲方的书面通知后</w:t>
      </w:r>
      <w:r>
        <w:rPr>
          <w:color w:val="auto"/>
          <w:highlight w:val="none"/>
        </w:rPr>
        <w:t>5天内</w:t>
      </w:r>
      <w:r>
        <w:rPr>
          <w:rFonts w:hint="eastAsia"/>
          <w:color w:val="auto"/>
          <w:highlight w:val="none"/>
        </w:rPr>
        <w:t>无条件进行</w:t>
      </w:r>
      <w:r>
        <w:rPr>
          <w:color w:val="auto"/>
          <w:highlight w:val="none"/>
        </w:rPr>
        <w:t>更换，更换人员的资历不得低于本合同乙方</w:t>
      </w:r>
      <w:r>
        <w:rPr>
          <w:rFonts w:hint="eastAsia"/>
          <w:color w:val="auto"/>
          <w:highlight w:val="none"/>
        </w:rPr>
        <w:t>人员资历规定的要求，且更换人员须事先经过甲方书面确认。</w:t>
      </w:r>
    </w:p>
    <w:p w14:paraId="0035C005">
      <w:pPr>
        <w:pStyle w:val="21"/>
        <w:rPr>
          <w:color w:val="auto"/>
          <w:highlight w:val="none"/>
        </w:rPr>
      </w:pPr>
      <w:r>
        <w:rPr>
          <w:rFonts w:hint="eastAsia"/>
          <w:color w:val="auto"/>
          <w:highlight w:val="none"/>
        </w:rPr>
        <w:t>8</w:t>
      </w:r>
      <w:r>
        <w:rPr>
          <w:color w:val="auto"/>
          <w:highlight w:val="none"/>
        </w:rPr>
        <w:t>.9</w:t>
      </w:r>
      <w:r>
        <w:rPr>
          <w:rFonts w:hint="eastAsia"/>
          <w:color w:val="auto"/>
          <w:highlight w:val="none"/>
        </w:rPr>
        <w:t>项目结束后，乙方按照甲方档案管理要求，向甲方移交一套存档资料。</w:t>
      </w:r>
    </w:p>
    <w:p w14:paraId="0741ED68">
      <w:pPr>
        <w:pStyle w:val="21"/>
        <w:rPr>
          <w:color w:val="auto"/>
          <w:highlight w:val="none"/>
        </w:rPr>
      </w:pPr>
      <w:r>
        <w:rPr>
          <w:rFonts w:hint="eastAsia"/>
          <w:color w:val="auto"/>
          <w:highlight w:val="none"/>
        </w:rPr>
        <w:t>8.10乙方在合同履行期间需按照甲方的考核管理办法进行考核，如甲方相关的考核管理办法有修改更新的则以最新办法为准，如乙方如拒不执行甲方的考核管理办法则</w:t>
      </w:r>
      <w:r>
        <w:rPr>
          <w:color w:val="auto"/>
          <w:highlight w:val="none"/>
        </w:rPr>
        <w:t>按合同</w:t>
      </w:r>
      <w:r>
        <w:rPr>
          <w:rFonts w:hint="eastAsia"/>
          <w:color w:val="auto"/>
          <w:highlight w:val="none"/>
        </w:rPr>
        <w:t>暂定价的2</w:t>
      </w:r>
      <w:r>
        <w:rPr>
          <w:color w:val="auto"/>
          <w:highlight w:val="none"/>
        </w:rPr>
        <w:t>%</w:t>
      </w:r>
      <w:r>
        <w:rPr>
          <w:rFonts w:hint="eastAsia"/>
          <w:color w:val="auto"/>
          <w:highlight w:val="none"/>
        </w:rPr>
        <w:t>进行罚款且甲方有权与乙方解除合同，并要求乙方赔偿由此造成的损失。</w:t>
      </w:r>
    </w:p>
    <w:p w14:paraId="44B3D07C">
      <w:pPr>
        <w:pStyle w:val="21"/>
        <w:rPr>
          <w:color w:val="auto"/>
          <w:highlight w:val="none"/>
        </w:rPr>
      </w:pPr>
      <w:r>
        <w:rPr>
          <w:rFonts w:hint="eastAsia"/>
          <w:color w:val="auto"/>
          <w:highlight w:val="none"/>
        </w:rPr>
        <w:t>8.11乙方需按甲方要求配合本项目相关单位进行施工进度优化或施工现场管理等，相关费用已包含在合同价款中，不再额外计取。</w:t>
      </w:r>
    </w:p>
    <w:p w14:paraId="3AD2A8FA">
      <w:pPr>
        <w:pStyle w:val="21"/>
        <w:rPr>
          <w:color w:val="auto"/>
          <w:highlight w:val="none"/>
        </w:rPr>
      </w:pPr>
      <w:r>
        <w:rPr>
          <w:rFonts w:hint="eastAsia"/>
          <w:color w:val="auto"/>
          <w:highlight w:val="none"/>
        </w:rPr>
        <w:t>第九条</w:t>
      </w:r>
      <w:r>
        <w:rPr>
          <w:color w:val="auto"/>
          <w:highlight w:val="none"/>
        </w:rPr>
        <w:t xml:space="preserve"> </w:t>
      </w:r>
      <w:r>
        <w:rPr>
          <w:rFonts w:hint="eastAsia"/>
          <w:color w:val="auto"/>
          <w:highlight w:val="none"/>
        </w:rPr>
        <w:t>违约责任</w:t>
      </w:r>
    </w:p>
    <w:p w14:paraId="5C684C56">
      <w:pPr>
        <w:pStyle w:val="21"/>
        <w:rPr>
          <w:color w:val="auto"/>
          <w:highlight w:val="none"/>
        </w:rPr>
      </w:pPr>
      <w:r>
        <w:rPr>
          <w:rFonts w:hint="eastAsia"/>
          <w:color w:val="auto"/>
          <w:highlight w:val="none"/>
        </w:rPr>
        <w:t>9</w:t>
      </w:r>
      <w:r>
        <w:rPr>
          <w:color w:val="auto"/>
          <w:highlight w:val="none"/>
        </w:rPr>
        <w:t>.</w:t>
      </w:r>
      <w:r>
        <w:rPr>
          <w:rFonts w:hint="eastAsia"/>
          <w:color w:val="auto"/>
          <w:highlight w:val="none"/>
        </w:rPr>
        <w:t>1乙</w:t>
      </w:r>
      <w:r>
        <w:rPr>
          <w:color w:val="auto"/>
          <w:highlight w:val="none"/>
        </w:rPr>
        <w:t>方违反3.1条约定的，</w:t>
      </w:r>
      <w:r>
        <w:rPr>
          <w:rFonts w:hint="eastAsia"/>
          <w:color w:val="auto"/>
          <w:highlight w:val="none"/>
        </w:rPr>
        <w:t>甲</w:t>
      </w:r>
      <w:r>
        <w:rPr>
          <w:color w:val="auto"/>
          <w:highlight w:val="none"/>
        </w:rPr>
        <w:t>方有权顺延</w:t>
      </w:r>
      <w:r>
        <w:rPr>
          <w:rFonts w:hint="eastAsia"/>
          <w:color w:val="auto"/>
          <w:highlight w:val="none"/>
        </w:rPr>
        <w:t>办理</w:t>
      </w:r>
      <w:r>
        <w:rPr>
          <w:color w:val="auto"/>
          <w:highlight w:val="none"/>
        </w:rPr>
        <w:t>支付款项</w:t>
      </w:r>
      <w:r>
        <w:rPr>
          <w:rFonts w:hint="eastAsia"/>
          <w:color w:val="auto"/>
          <w:highlight w:val="none"/>
        </w:rPr>
        <w:t>手续</w:t>
      </w:r>
      <w:r>
        <w:rPr>
          <w:color w:val="auto"/>
          <w:highlight w:val="none"/>
        </w:rPr>
        <w:t>。</w:t>
      </w:r>
    </w:p>
    <w:p w14:paraId="6DC8F7AD">
      <w:pPr>
        <w:pStyle w:val="21"/>
        <w:rPr>
          <w:color w:val="auto"/>
          <w:highlight w:val="none"/>
        </w:rPr>
      </w:pPr>
      <w:r>
        <w:rPr>
          <w:rFonts w:hint="eastAsia"/>
          <w:color w:val="auto"/>
          <w:highlight w:val="none"/>
        </w:rPr>
        <w:t>9</w:t>
      </w:r>
      <w:r>
        <w:rPr>
          <w:color w:val="auto"/>
          <w:highlight w:val="none"/>
        </w:rPr>
        <w:t>.</w:t>
      </w:r>
      <w:r>
        <w:rPr>
          <w:rFonts w:hint="eastAsia"/>
          <w:color w:val="auto"/>
          <w:highlight w:val="none"/>
        </w:rPr>
        <w:t>2</w:t>
      </w:r>
      <w:r>
        <w:rPr>
          <w:color w:val="auto"/>
          <w:highlight w:val="none"/>
        </w:rPr>
        <w:t>在本合同生效期间，如</w:t>
      </w:r>
      <w:r>
        <w:rPr>
          <w:rFonts w:hint="eastAsia"/>
          <w:color w:val="auto"/>
          <w:highlight w:val="none"/>
        </w:rPr>
        <w:t>乙</w:t>
      </w:r>
      <w:r>
        <w:rPr>
          <w:color w:val="auto"/>
          <w:highlight w:val="none"/>
        </w:rPr>
        <w:t>方完成</w:t>
      </w:r>
      <w:r>
        <w:rPr>
          <w:rFonts w:hint="eastAsia"/>
          <w:color w:val="auto"/>
          <w:highlight w:val="none"/>
        </w:rPr>
        <w:t>的</w:t>
      </w:r>
      <w:r>
        <w:rPr>
          <w:color w:val="auto"/>
          <w:highlight w:val="none"/>
        </w:rPr>
        <w:t>相关报告受到生态环境部门退案或通报处理的，</w:t>
      </w:r>
      <w:r>
        <w:rPr>
          <w:rFonts w:hint="eastAsia"/>
          <w:color w:val="auto"/>
          <w:highlight w:val="none"/>
        </w:rPr>
        <w:t>乙</w:t>
      </w:r>
      <w:r>
        <w:rPr>
          <w:color w:val="auto"/>
          <w:highlight w:val="none"/>
        </w:rPr>
        <w:t>方应做出书面解释并保证通过生态环境部门审核；如果</w:t>
      </w:r>
      <w:r>
        <w:rPr>
          <w:rFonts w:hint="eastAsia"/>
          <w:color w:val="auto"/>
          <w:highlight w:val="none"/>
        </w:rPr>
        <w:t>乙</w:t>
      </w:r>
      <w:r>
        <w:rPr>
          <w:color w:val="auto"/>
          <w:highlight w:val="none"/>
        </w:rPr>
        <w:t>方未在</w:t>
      </w:r>
      <w:r>
        <w:rPr>
          <w:rFonts w:hint="eastAsia"/>
          <w:color w:val="auto"/>
          <w:highlight w:val="none"/>
        </w:rPr>
        <w:t>3个日历天</w:t>
      </w:r>
      <w:r>
        <w:rPr>
          <w:color w:val="auto"/>
          <w:highlight w:val="none"/>
        </w:rPr>
        <w:t>内按上述要求采取补救措施的，</w:t>
      </w:r>
      <w:r>
        <w:rPr>
          <w:rFonts w:hint="eastAsia"/>
          <w:color w:val="auto"/>
          <w:highlight w:val="none"/>
        </w:rPr>
        <w:t>乙</w:t>
      </w:r>
      <w:r>
        <w:rPr>
          <w:color w:val="auto"/>
          <w:highlight w:val="none"/>
        </w:rPr>
        <w:t>方应按合同</w:t>
      </w:r>
      <w:r>
        <w:rPr>
          <w:rFonts w:hint="eastAsia"/>
          <w:color w:val="auto"/>
          <w:highlight w:val="none"/>
        </w:rPr>
        <w:t>暂定价的</w:t>
      </w:r>
      <w:r>
        <w:rPr>
          <w:color w:val="auto"/>
          <w:highlight w:val="none"/>
        </w:rPr>
        <w:t>2%</w:t>
      </w:r>
      <w:r>
        <w:rPr>
          <w:rFonts w:hint="eastAsia"/>
          <w:color w:val="auto"/>
          <w:highlight w:val="none"/>
        </w:rPr>
        <w:t>向甲方支付违约金</w:t>
      </w:r>
      <w:r>
        <w:rPr>
          <w:color w:val="auto"/>
          <w:highlight w:val="none"/>
        </w:rPr>
        <w:t>，同时</w:t>
      </w:r>
      <w:r>
        <w:rPr>
          <w:rFonts w:hint="eastAsia"/>
          <w:color w:val="auto"/>
          <w:highlight w:val="none"/>
        </w:rPr>
        <w:t>甲方</w:t>
      </w:r>
      <w:r>
        <w:rPr>
          <w:color w:val="auto"/>
          <w:highlight w:val="none"/>
        </w:rPr>
        <w:t>有权解除合同</w:t>
      </w:r>
      <w:r>
        <w:rPr>
          <w:rFonts w:hint="eastAsia"/>
          <w:color w:val="auto"/>
          <w:highlight w:val="none"/>
        </w:rPr>
        <w:t>并</w:t>
      </w:r>
      <w:r>
        <w:rPr>
          <w:color w:val="auto"/>
          <w:highlight w:val="none"/>
        </w:rPr>
        <w:t>将有关行为通报行业主管部门。</w:t>
      </w:r>
    </w:p>
    <w:p w14:paraId="59F13873">
      <w:pPr>
        <w:pStyle w:val="21"/>
        <w:rPr>
          <w:color w:val="auto"/>
          <w:highlight w:val="none"/>
        </w:rPr>
      </w:pPr>
      <w:r>
        <w:rPr>
          <w:rFonts w:hint="eastAsia"/>
          <w:color w:val="auto"/>
          <w:highlight w:val="none"/>
        </w:rPr>
        <w:t>9</w:t>
      </w:r>
      <w:r>
        <w:rPr>
          <w:color w:val="auto"/>
          <w:highlight w:val="none"/>
        </w:rPr>
        <w:t>.</w:t>
      </w:r>
      <w:r>
        <w:rPr>
          <w:rFonts w:hint="eastAsia"/>
          <w:color w:val="auto"/>
          <w:highlight w:val="none"/>
        </w:rPr>
        <w:t>3乙</w:t>
      </w:r>
      <w:r>
        <w:rPr>
          <w:color w:val="auto"/>
          <w:highlight w:val="none"/>
        </w:rPr>
        <w:t>方未按合同要求提供服务的，应积极采取补救措施，直至符合合同要求为止。</w:t>
      </w:r>
      <w:r>
        <w:rPr>
          <w:rFonts w:hint="eastAsia"/>
          <w:color w:val="auto"/>
          <w:highlight w:val="none"/>
        </w:rPr>
        <w:t>乙</w:t>
      </w:r>
      <w:r>
        <w:rPr>
          <w:color w:val="auto"/>
          <w:highlight w:val="none"/>
        </w:rPr>
        <w:t>方违反合同约定，逾期交付服务成果</w:t>
      </w:r>
      <w:r>
        <w:rPr>
          <w:rFonts w:hint="eastAsia"/>
          <w:color w:val="auto"/>
          <w:highlight w:val="none"/>
        </w:rPr>
        <w:t>或者提供其他约定的服务</w:t>
      </w:r>
      <w:r>
        <w:rPr>
          <w:color w:val="auto"/>
          <w:highlight w:val="none"/>
        </w:rPr>
        <w:t>的，每迟延一</w:t>
      </w:r>
      <w:r>
        <w:rPr>
          <w:rFonts w:hint="eastAsia"/>
          <w:color w:val="auto"/>
          <w:highlight w:val="none"/>
        </w:rPr>
        <w:t>个日历</w:t>
      </w:r>
      <w:r>
        <w:rPr>
          <w:color w:val="auto"/>
          <w:highlight w:val="none"/>
        </w:rPr>
        <w:t>天，</w:t>
      </w:r>
      <w:r>
        <w:rPr>
          <w:rFonts w:hint="eastAsia"/>
          <w:color w:val="auto"/>
          <w:highlight w:val="none"/>
        </w:rPr>
        <w:t>乙</w:t>
      </w:r>
      <w:r>
        <w:rPr>
          <w:color w:val="auto"/>
          <w:highlight w:val="none"/>
        </w:rPr>
        <w:t>方应按合同</w:t>
      </w:r>
      <w:r>
        <w:rPr>
          <w:rFonts w:hint="eastAsia"/>
          <w:color w:val="auto"/>
          <w:highlight w:val="none"/>
        </w:rPr>
        <w:t>暂定</w:t>
      </w:r>
      <w:r>
        <w:rPr>
          <w:color w:val="auto"/>
          <w:highlight w:val="none"/>
        </w:rPr>
        <w:t>价的0.</w:t>
      </w:r>
      <w:r>
        <w:rPr>
          <w:rFonts w:hint="eastAsia"/>
          <w:color w:val="auto"/>
          <w:highlight w:val="none"/>
        </w:rPr>
        <w:t>2</w:t>
      </w:r>
      <w:r>
        <w:rPr>
          <w:color w:val="auto"/>
          <w:highlight w:val="none"/>
        </w:rPr>
        <w:t>‰ 向</w:t>
      </w:r>
      <w:r>
        <w:rPr>
          <w:rFonts w:hint="eastAsia"/>
          <w:color w:val="auto"/>
          <w:highlight w:val="none"/>
        </w:rPr>
        <w:t>甲</w:t>
      </w:r>
      <w:r>
        <w:rPr>
          <w:color w:val="auto"/>
          <w:highlight w:val="none"/>
        </w:rPr>
        <w:t>方支付违约金。</w:t>
      </w:r>
      <w:r>
        <w:rPr>
          <w:rFonts w:hint="eastAsia"/>
          <w:color w:val="auto"/>
          <w:highlight w:val="none"/>
        </w:rPr>
        <w:t>乙</w:t>
      </w:r>
      <w:r>
        <w:rPr>
          <w:color w:val="auto"/>
          <w:highlight w:val="none"/>
        </w:rPr>
        <w:t>方逾期 30 日仍未交付符合合同约定的技术咨询成果的，</w:t>
      </w:r>
      <w:r>
        <w:rPr>
          <w:rFonts w:hint="eastAsia"/>
          <w:color w:val="auto"/>
          <w:highlight w:val="none"/>
        </w:rPr>
        <w:t>甲方</w:t>
      </w:r>
      <w:r>
        <w:rPr>
          <w:color w:val="auto"/>
          <w:highlight w:val="none"/>
        </w:rPr>
        <w:t>有权解除本合同，</w:t>
      </w:r>
      <w:r>
        <w:rPr>
          <w:rFonts w:hint="eastAsia"/>
          <w:color w:val="auto"/>
          <w:highlight w:val="none"/>
        </w:rPr>
        <w:t>乙</w:t>
      </w:r>
      <w:r>
        <w:rPr>
          <w:color w:val="auto"/>
          <w:highlight w:val="none"/>
        </w:rPr>
        <w:t>方应退回</w:t>
      </w:r>
      <w:r>
        <w:rPr>
          <w:rFonts w:hint="eastAsia"/>
          <w:color w:val="auto"/>
          <w:highlight w:val="none"/>
        </w:rPr>
        <w:t>甲</w:t>
      </w:r>
      <w:r>
        <w:rPr>
          <w:color w:val="auto"/>
          <w:highlight w:val="none"/>
        </w:rPr>
        <w:t>方已支付的全部技术咨询费用。违约金不足以补偿给</w:t>
      </w:r>
      <w:r>
        <w:rPr>
          <w:rFonts w:hint="eastAsia"/>
          <w:color w:val="auto"/>
          <w:highlight w:val="none"/>
        </w:rPr>
        <w:t>甲方</w:t>
      </w:r>
      <w:r>
        <w:rPr>
          <w:color w:val="auto"/>
          <w:highlight w:val="none"/>
        </w:rPr>
        <w:t>造成的损失的，</w:t>
      </w:r>
      <w:r>
        <w:rPr>
          <w:rFonts w:hint="eastAsia"/>
          <w:color w:val="auto"/>
          <w:highlight w:val="none"/>
        </w:rPr>
        <w:t>乙</w:t>
      </w:r>
      <w:r>
        <w:rPr>
          <w:color w:val="auto"/>
          <w:highlight w:val="none"/>
        </w:rPr>
        <w:t>方应当赔偿</w:t>
      </w:r>
      <w:r>
        <w:rPr>
          <w:rFonts w:hint="eastAsia"/>
          <w:color w:val="auto"/>
          <w:highlight w:val="none"/>
        </w:rPr>
        <w:t>甲方</w:t>
      </w:r>
      <w:r>
        <w:rPr>
          <w:color w:val="auto"/>
          <w:highlight w:val="none"/>
        </w:rPr>
        <w:t>的全部损失。</w:t>
      </w:r>
    </w:p>
    <w:p w14:paraId="11F9872C">
      <w:pPr>
        <w:pStyle w:val="21"/>
        <w:rPr>
          <w:color w:val="auto"/>
          <w:highlight w:val="none"/>
        </w:rPr>
      </w:pPr>
      <w:r>
        <w:rPr>
          <w:rFonts w:hint="eastAsia"/>
          <w:color w:val="auto"/>
          <w:highlight w:val="none"/>
        </w:rPr>
        <w:t>9</w:t>
      </w:r>
      <w:r>
        <w:rPr>
          <w:color w:val="auto"/>
          <w:highlight w:val="none"/>
        </w:rPr>
        <w:t>.</w:t>
      </w:r>
      <w:r>
        <w:rPr>
          <w:rFonts w:hint="eastAsia"/>
          <w:color w:val="auto"/>
          <w:highlight w:val="none"/>
        </w:rPr>
        <w:t>4如乙方未经甲方同意，擅自更换本项目的技术人员，或乙方提供的技术人员不符合本合同约定要求，一次罚款5万元，经两次更换后仍不能满足合同要求的，甲方有权解除合同，乙方应退回甲方已支付的全部技术咨询费用，并向甲方支付本合同总价款 2 %的违约金。</w:t>
      </w:r>
    </w:p>
    <w:p w14:paraId="7FA369E6">
      <w:pPr>
        <w:pStyle w:val="21"/>
        <w:rPr>
          <w:color w:val="auto"/>
          <w:highlight w:val="none"/>
        </w:rPr>
      </w:pPr>
      <w:r>
        <w:rPr>
          <w:rFonts w:hint="eastAsia"/>
          <w:color w:val="auto"/>
          <w:highlight w:val="none"/>
        </w:rPr>
        <w:t>9.5 如乙方未按甲方要求更换不称职人员，甲方</w:t>
      </w:r>
      <w:r>
        <w:rPr>
          <w:color w:val="auto"/>
          <w:highlight w:val="none"/>
        </w:rPr>
        <w:t>有权解除合同，</w:t>
      </w:r>
      <w:r>
        <w:rPr>
          <w:rFonts w:hint="eastAsia"/>
          <w:color w:val="auto"/>
          <w:highlight w:val="none"/>
        </w:rPr>
        <w:t>乙</w:t>
      </w:r>
      <w:r>
        <w:rPr>
          <w:color w:val="auto"/>
          <w:highlight w:val="none"/>
        </w:rPr>
        <w:t>方应退回</w:t>
      </w:r>
      <w:r>
        <w:rPr>
          <w:rFonts w:hint="eastAsia"/>
          <w:color w:val="auto"/>
          <w:highlight w:val="none"/>
        </w:rPr>
        <w:t>甲</w:t>
      </w:r>
      <w:r>
        <w:rPr>
          <w:color w:val="auto"/>
          <w:highlight w:val="none"/>
        </w:rPr>
        <w:t>方已支付的全部技术咨询费用，并向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总价款 2 %的违约金。</w:t>
      </w:r>
    </w:p>
    <w:p w14:paraId="35DEE678">
      <w:pPr>
        <w:pStyle w:val="21"/>
        <w:rPr>
          <w:color w:val="auto"/>
          <w:highlight w:val="none"/>
        </w:rPr>
      </w:pPr>
      <w:r>
        <w:rPr>
          <w:rFonts w:hint="eastAsia"/>
          <w:color w:val="auto"/>
          <w:highlight w:val="none"/>
        </w:rPr>
        <w:t>9</w:t>
      </w:r>
      <w:r>
        <w:rPr>
          <w:color w:val="auto"/>
          <w:highlight w:val="none"/>
        </w:rPr>
        <w:t>.</w:t>
      </w:r>
      <w:r>
        <w:rPr>
          <w:rFonts w:hint="eastAsia"/>
          <w:color w:val="auto"/>
          <w:highlight w:val="none"/>
        </w:rPr>
        <w:t>6甲</w:t>
      </w:r>
      <w:r>
        <w:rPr>
          <w:color w:val="auto"/>
          <w:highlight w:val="none"/>
        </w:rPr>
        <w:t>方按照</w:t>
      </w:r>
      <w:r>
        <w:rPr>
          <w:rFonts w:hint="eastAsia"/>
          <w:color w:val="auto"/>
          <w:highlight w:val="none"/>
        </w:rPr>
        <w:t>乙</w:t>
      </w:r>
      <w:r>
        <w:rPr>
          <w:color w:val="auto"/>
          <w:highlight w:val="none"/>
        </w:rPr>
        <w:t>方提交的技术成果作出决策所造成的损失，全部由</w:t>
      </w:r>
      <w:r>
        <w:rPr>
          <w:rFonts w:hint="eastAsia"/>
          <w:color w:val="auto"/>
          <w:highlight w:val="none"/>
        </w:rPr>
        <w:t>乙</w:t>
      </w:r>
      <w:r>
        <w:rPr>
          <w:color w:val="auto"/>
          <w:highlight w:val="none"/>
        </w:rPr>
        <w:t>方承担。</w:t>
      </w:r>
    </w:p>
    <w:p w14:paraId="1C7402B0">
      <w:pPr>
        <w:pStyle w:val="21"/>
        <w:rPr>
          <w:color w:val="auto"/>
          <w:highlight w:val="none"/>
        </w:rPr>
      </w:pPr>
      <w:r>
        <w:rPr>
          <w:rFonts w:hint="eastAsia"/>
          <w:color w:val="auto"/>
          <w:highlight w:val="none"/>
        </w:rPr>
        <w:t>9.7因乙方责任过失造成安全事故的，除按照国家规定由行政主管部门给予乙方处罚外，乙方还应负责赔偿甲方的损失，乙方按事故所造成损失金额的8%向甲方支付违约金，同时违约金数额不得低于10万元。</w:t>
      </w:r>
    </w:p>
    <w:p w14:paraId="19DD0817">
      <w:pPr>
        <w:pStyle w:val="21"/>
        <w:rPr>
          <w:color w:val="auto"/>
          <w:highlight w:val="none"/>
        </w:rPr>
      </w:pPr>
      <w:r>
        <w:rPr>
          <w:rFonts w:hint="eastAsia"/>
          <w:color w:val="auto"/>
          <w:highlight w:val="none"/>
        </w:rPr>
        <w:t>9</w:t>
      </w:r>
      <w:r>
        <w:rPr>
          <w:color w:val="auto"/>
          <w:highlight w:val="none"/>
        </w:rPr>
        <w:t>.</w:t>
      </w:r>
      <w:r>
        <w:rPr>
          <w:rFonts w:hint="eastAsia"/>
          <w:color w:val="auto"/>
          <w:highlight w:val="none"/>
        </w:rPr>
        <w:t>8乙</w:t>
      </w:r>
      <w:r>
        <w:rPr>
          <w:color w:val="auto"/>
          <w:highlight w:val="none"/>
        </w:rPr>
        <w:t>方应向</w:t>
      </w:r>
      <w:r>
        <w:rPr>
          <w:rFonts w:hint="eastAsia"/>
          <w:color w:val="auto"/>
          <w:highlight w:val="none"/>
        </w:rPr>
        <w:t>甲方</w:t>
      </w:r>
      <w:r>
        <w:rPr>
          <w:color w:val="auto"/>
          <w:highlight w:val="none"/>
        </w:rPr>
        <w:t>支付本合同项下的违约金或赔偿金时，</w:t>
      </w:r>
      <w:r>
        <w:rPr>
          <w:rFonts w:hint="eastAsia"/>
          <w:color w:val="auto"/>
          <w:highlight w:val="none"/>
        </w:rPr>
        <w:t>甲</w:t>
      </w:r>
      <w:r>
        <w:rPr>
          <w:color w:val="auto"/>
          <w:highlight w:val="none"/>
        </w:rPr>
        <w:t>方有权在尚未向</w:t>
      </w:r>
      <w:r>
        <w:rPr>
          <w:rFonts w:hint="eastAsia"/>
          <w:color w:val="auto"/>
          <w:highlight w:val="none"/>
        </w:rPr>
        <w:t>乙</w:t>
      </w:r>
      <w:r>
        <w:rPr>
          <w:color w:val="auto"/>
          <w:highlight w:val="none"/>
        </w:rPr>
        <w:t>方支付的费用中抵扣。</w:t>
      </w:r>
    </w:p>
    <w:p w14:paraId="3F68B74A">
      <w:pPr>
        <w:pStyle w:val="21"/>
        <w:rPr>
          <w:color w:val="auto"/>
          <w:highlight w:val="none"/>
        </w:rPr>
      </w:pPr>
      <w:r>
        <w:rPr>
          <w:rFonts w:hint="eastAsia"/>
          <w:color w:val="auto"/>
          <w:highlight w:val="none"/>
        </w:rPr>
        <w:t>9.9本合同项下的违约条款执行情况由乙方向甲方报备。</w:t>
      </w:r>
    </w:p>
    <w:p w14:paraId="5E31EA33">
      <w:pPr>
        <w:pStyle w:val="21"/>
        <w:rPr>
          <w:color w:val="auto"/>
          <w:highlight w:val="none"/>
        </w:rPr>
      </w:pPr>
      <w:r>
        <w:rPr>
          <w:rFonts w:hint="eastAsia"/>
          <w:color w:val="auto"/>
          <w:highlight w:val="none"/>
        </w:rPr>
        <w:t>9.10乙方需遵守国家或地方政府及有关部门对施工现场管理的规定，妥善保护好施工现场周围建筑物、设备管线、古树名木不受损坏，如有损坏按实际损坏金额赔偿。处理好由于土壤修复带来的扰民问题及与周围单位（住户）的关系。土壤修复完成后，需按甲方要求拆除相关临时措施或设备等，相关费用已包含在合同价款中，不再另外计算。</w:t>
      </w:r>
    </w:p>
    <w:p w14:paraId="7445DADE">
      <w:pPr>
        <w:pStyle w:val="21"/>
        <w:rPr>
          <w:color w:val="auto"/>
          <w:highlight w:val="none"/>
        </w:rPr>
      </w:pPr>
      <w:r>
        <w:rPr>
          <w:rFonts w:hint="eastAsia"/>
          <w:color w:val="auto"/>
          <w:highlight w:val="none"/>
        </w:rPr>
        <w:t>9.11乙方需保证本项目所采用的各类计量工具或设备（包括但不限于地磅、废气收集仪器等）的准确度符合国家及行业相关规范，并定期按相关规定进行校准或检定，不符合要求的不得使用。如乙方有利用相关计量工具或设备进行计量作弊等行为的，每发现1次，必须</w:t>
      </w:r>
      <w:r>
        <w:rPr>
          <w:color w:val="auto"/>
          <w:highlight w:val="none"/>
        </w:rPr>
        <w:t>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 xml:space="preserve">价的0.5‰ </w:t>
      </w:r>
      <w:r>
        <w:rPr>
          <w:rFonts w:hint="eastAsia"/>
          <w:color w:val="auto"/>
          <w:highlight w:val="none"/>
        </w:rPr>
        <w:t>的</w:t>
      </w:r>
      <w:r>
        <w:rPr>
          <w:color w:val="auto"/>
          <w:highlight w:val="none"/>
        </w:rPr>
        <w:t>违约金</w:t>
      </w:r>
      <w:r>
        <w:rPr>
          <w:rFonts w:hint="eastAsia"/>
          <w:color w:val="auto"/>
          <w:highlight w:val="none"/>
        </w:rPr>
        <w:t>。</w:t>
      </w:r>
    </w:p>
    <w:p w14:paraId="25454E5B">
      <w:pPr>
        <w:pStyle w:val="21"/>
        <w:rPr>
          <w:color w:val="auto"/>
          <w:highlight w:val="none"/>
        </w:rPr>
      </w:pPr>
      <w:r>
        <w:rPr>
          <w:rFonts w:hint="eastAsia"/>
          <w:color w:val="auto"/>
          <w:highlight w:val="none"/>
        </w:rPr>
        <w:t>9.12乙方在申报进度款或结算时，必须严格按甲方要求申报，并确保申报资料真实性及准确性，如出现以下情况，则按相应违约处罚：</w:t>
      </w:r>
    </w:p>
    <w:p w14:paraId="211CDEC9">
      <w:pPr>
        <w:pStyle w:val="21"/>
        <w:rPr>
          <w:color w:val="auto"/>
          <w:highlight w:val="none"/>
        </w:rPr>
      </w:pPr>
      <w:r>
        <w:rPr>
          <w:rFonts w:hint="eastAsia"/>
          <w:color w:val="auto"/>
          <w:highlight w:val="none"/>
        </w:rPr>
        <w:t>如乙方在申报进度款时，经甲方或甲方委托的第三方造价咨询审核，出现申报工程量偏差绝对值累计额相对于乙方报送总数量，误差率在</w:t>
      </w:r>
      <w:r>
        <w:rPr>
          <w:color w:val="auto"/>
          <w:highlight w:val="none"/>
        </w:rPr>
        <w:t>3%~8%</w:t>
      </w:r>
      <w:r>
        <w:rPr>
          <w:rFonts w:hint="eastAsia"/>
          <w:color w:val="auto"/>
          <w:highlight w:val="none"/>
        </w:rPr>
        <w:t>的，乙方除应在甲方限定期限内完成修改外，每出现1次，还必须</w:t>
      </w:r>
      <w:r>
        <w:rPr>
          <w:color w:val="auto"/>
          <w:highlight w:val="none"/>
        </w:rPr>
        <w:t>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价的0.2‰</w:t>
      </w:r>
      <w:r>
        <w:rPr>
          <w:rFonts w:hint="eastAsia"/>
          <w:color w:val="auto"/>
          <w:highlight w:val="none"/>
        </w:rPr>
        <w:t>的</w:t>
      </w:r>
      <w:r>
        <w:rPr>
          <w:color w:val="auto"/>
          <w:highlight w:val="none"/>
        </w:rPr>
        <w:t>违约金</w:t>
      </w:r>
      <w:r>
        <w:rPr>
          <w:rFonts w:hint="eastAsia"/>
          <w:color w:val="auto"/>
          <w:highlight w:val="none"/>
        </w:rPr>
        <w:t>；误差率超过</w:t>
      </w:r>
      <w:r>
        <w:rPr>
          <w:color w:val="auto"/>
          <w:highlight w:val="none"/>
        </w:rPr>
        <w:t>8%</w:t>
      </w:r>
      <w:r>
        <w:rPr>
          <w:rFonts w:hint="eastAsia"/>
          <w:color w:val="auto"/>
          <w:highlight w:val="none"/>
        </w:rPr>
        <w:t>的，乙方除应在甲方限定期限内完成修改外，每出现1次，还必须</w:t>
      </w:r>
      <w:r>
        <w:rPr>
          <w:color w:val="auto"/>
          <w:highlight w:val="none"/>
        </w:rPr>
        <w:t>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价的</w:t>
      </w:r>
      <w:r>
        <w:rPr>
          <w:rFonts w:hint="eastAsia"/>
          <w:color w:val="auto"/>
          <w:highlight w:val="none"/>
        </w:rPr>
        <w:t>0.5</w:t>
      </w:r>
      <w:r>
        <w:rPr>
          <w:color w:val="auto"/>
          <w:highlight w:val="none"/>
        </w:rPr>
        <w:t>%</w:t>
      </w:r>
      <w:r>
        <w:rPr>
          <w:rFonts w:hint="eastAsia"/>
          <w:color w:val="auto"/>
          <w:highlight w:val="none"/>
        </w:rPr>
        <w:t>的</w:t>
      </w:r>
      <w:r>
        <w:rPr>
          <w:color w:val="auto"/>
          <w:highlight w:val="none"/>
        </w:rPr>
        <w:t>违约金</w:t>
      </w:r>
      <w:r>
        <w:rPr>
          <w:rFonts w:hint="eastAsia"/>
          <w:color w:val="auto"/>
          <w:highlight w:val="none"/>
        </w:rPr>
        <w:t>。</w:t>
      </w:r>
    </w:p>
    <w:p w14:paraId="24F4B66A">
      <w:pPr>
        <w:pStyle w:val="21"/>
        <w:rPr>
          <w:color w:val="auto"/>
          <w:highlight w:val="none"/>
        </w:rPr>
      </w:pPr>
      <w:r>
        <w:rPr>
          <w:rFonts w:hint="eastAsia"/>
          <w:color w:val="auto"/>
          <w:highlight w:val="none"/>
        </w:rPr>
        <w:t>如乙方编制的结算经甲方审核（或委托有资质的咨询单位审核）或资金主管财政部门审核，工程造价审减率在</w:t>
      </w:r>
      <w:r>
        <w:rPr>
          <w:color w:val="auto"/>
          <w:highlight w:val="none"/>
        </w:rPr>
        <w:t>3%~8%</w:t>
      </w:r>
      <w:r>
        <w:rPr>
          <w:rFonts w:hint="eastAsia"/>
          <w:color w:val="auto"/>
          <w:highlight w:val="none"/>
        </w:rPr>
        <w:t>的，必须</w:t>
      </w:r>
      <w:r>
        <w:rPr>
          <w:color w:val="auto"/>
          <w:highlight w:val="none"/>
        </w:rPr>
        <w:t>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价的</w:t>
      </w:r>
      <w:r>
        <w:rPr>
          <w:rFonts w:hint="eastAsia"/>
          <w:color w:val="auto"/>
          <w:highlight w:val="none"/>
        </w:rPr>
        <w:t>0.5</w:t>
      </w:r>
      <w:r>
        <w:rPr>
          <w:color w:val="auto"/>
          <w:highlight w:val="none"/>
        </w:rPr>
        <w:t xml:space="preserve"> %</w:t>
      </w:r>
      <w:r>
        <w:rPr>
          <w:rFonts w:hint="eastAsia"/>
          <w:color w:val="auto"/>
          <w:highlight w:val="none"/>
        </w:rPr>
        <w:t>的</w:t>
      </w:r>
      <w:r>
        <w:rPr>
          <w:color w:val="auto"/>
          <w:highlight w:val="none"/>
        </w:rPr>
        <w:t>违约金</w:t>
      </w:r>
      <w:r>
        <w:rPr>
          <w:rFonts w:hint="eastAsia"/>
          <w:color w:val="auto"/>
          <w:highlight w:val="none"/>
        </w:rPr>
        <w:t>；审减率超过</w:t>
      </w:r>
      <w:r>
        <w:rPr>
          <w:color w:val="auto"/>
          <w:highlight w:val="none"/>
        </w:rPr>
        <w:t>8%</w:t>
      </w:r>
      <w:r>
        <w:rPr>
          <w:rFonts w:hint="eastAsia"/>
          <w:color w:val="auto"/>
          <w:highlight w:val="none"/>
        </w:rPr>
        <w:t>的，必须</w:t>
      </w:r>
      <w:r>
        <w:rPr>
          <w:color w:val="auto"/>
          <w:highlight w:val="none"/>
        </w:rPr>
        <w:t>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价的</w:t>
      </w:r>
      <w:r>
        <w:rPr>
          <w:rFonts w:hint="eastAsia"/>
          <w:color w:val="auto"/>
          <w:highlight w:val="none"/>
        </w:rPr>
        <w:t>1</w:t>
      </w:r>
      <w:r>
        <w:rPr>
          <w:color w:val="auto"/>
          <w:highlight w:val="none"/>
        </w:rPr>
        <w:t>%</w:t>
      </w:r>
      <w:r>
        <w:rPr>
          <w:rFonts w:hint="eastAsia"/>
          <w:color w:val="auto"/>
          <w:highlight w:val="none"/>
        </w:rPr>
        <w:t>的</w:t>
      </w:r>
      <w:r>
        <w:rPr>
          <w:color w:val="auto"/>
          <w:highlight w:val="none"/>
        </w:rPr>
        <w:t>违约金</w:t>
      </w:r>
      <w:r>
        <w:rPr>
          <w:rFonts w:hint="eastAsia"/>
          <w:color w:val="auto"/>
          <w:highlight w:val="none"/>
        </w:rPr>
        <w:t>。</w:t>
      </w:r>
    </w:p>
    <w:p w14:paraId="0DA44BE7">
      <w:pPr>
        <w:pStyle w:val="21"/>
        <w:rPr>
          <w:color w:val="auto"/>
          <w:highlight w:val="none"/>
        </w:rPr>
      </w:pPr>
      <w:r>
        <w:rPr>
          <w:rFonts w:hint="eastAsia"/>
          <w:color w:val="auto"/>
          <w:highlight w:val="none"/>
        </w:rPr>
        <w:t>如乙方在申报进度款或结算时，经甲方审核（或委托有资质的咨询单位审核）或资金主管财政部门审核，发现存在虚假申报资料情况的，每出现1次，还必须</w:t>
      </w:r>
      <w:r>
        <w:rPr>
          <w:color w:val="auto"/>
          <w:highlight w:val="none"/>
        </w:rPr>
        <w:t>向</w:t>
      </w:r>
      <w:r>
        <w:rPr>
          <w:rFonts w:hint="eastAsia"/>
          <w:color w:val="auto"/>
          <w:highlight w:val="none"/>
        </w:rPr>
        <w:t>甲</w:t>
      </w:r>
      <w:r>
        <w:rPr>
          <w:color w:val="auto"/>
          <w:highlight w:val="none"/>
        </w:rPr>
        <w:t>方支付合同</w:t>
      </w:r>
      <w:r>
        <w:rPr>
          <w:rFonts w:hint="eastAsia"/>
          <w:color w:val="auto"/>
          <w:highlight w:val="none"/>
        </w:rPr>
        <w:t>暂定</w:t>
      </w:r>
      <w:r>
        <w:rPr>
          <w:color w:val="auto"/>
          <w:highlight w:val="none"/>
        </w:rPr>
        <w:t>价的0.5‰</w:t>
      </w:r>
      <w:r>
        <w:rPr>
          <w:rFonts w:hint="eastAsia"/>
          <w:color w:val="auto"/>
          <w:highlight w:val="none"/>
        </w:rPr>
        <w:t>的</w:t>
      </w:r>
      <w:r>
        <w:rPr>
          <w:color w:val="auto"/>
          <w:highlight w:val="none"/>
        </w:rPr>
        <w:t>违约金</w:t>
      </w:r>
      <w:r>
        <w:rPr>
          <w:rFonts w:hint="eastAsia"/>
          <w:color w:val="auto"/>
          <w:highlight w:val="none"/>
        </w:rPr>
        <w:t>。</w:t>
      </w:r>
    </w:p>
    <w:p w14:paraId="678748A7">
      <w:pPr>
        <w:pStyle w:val="21"/>
        <w:rPr>
          <w:color w:val="auto"/>
          <w:highlight w:val="none"/>
        </w:rPr>
      </w:pPr>
      <w:r>
        <w:rPr>
          <w:color w:val="auto"/>
          <w:highlight w:val="none"/>
        </w:rPr>
        <w:t>9.13</w:t>
      </w:r>
      <w:r>
        <w:rPr>
          <w:rFonts w:hint="eastAsia"/>
          <w:color w:val="auto"/>
          <w:highlight w:val="none"/>
        </w:rPr>
        <w:t>现场组织实施管理费根据考勤违约处罚标准为：项目负责人</w:t>
      </w:r>
      <w:r>
        <w:rPr>
          <w:color w:val="auto"/>
          <w:highlight w:val="none"/>
        </w:rPr>
        <w:t>1</w:t>
      </w:r>
      <w:r>
        <w:rPr>
          <w:rFonts w:hint="eastAsia"/>
          <w:color w:val="auto"/>
          <w:highlight w:val="none"/>
        </w:rPr>
        <w:t>万元/月、安全负责人1万元/月、专职安全员</w:t>
      </w:r>
      <w:r>
        <w:rPr>
          <w:color w:val="auto"/>
          <w:highlight w:val="none"/>
        </w:rPr>
        <w:t>0.5</w:t>
      </w:r>
      <w:r>
        <w:rPr>
          <w:rFonts w:hint="eastAsia"/>
          <w:color w:val="auto"/>
          <w:highlight w:val="none"/>
        </w:rPr>
        <w:t>万元/月、专业工程师1万元/月（分阶段）、资料员</w:t>
      </w:r>
      <w:r>
        <w:rPr>
          <w:color w:val="auto"/>
          <w:highlight w:val="none"/>
        </w:rPr>
        <w:t>0.5</w:t>
      </w:r>
      <w:r>
        <w:rPr>
          <w:rFonts w:hint="eastAsia"/>
          <w:color w:val="auto"/>
          <w:highlight w:val="none"/>
        </w:rPr>
        <w:t>万元/月、施工员</w:t>
      </w:r>
      <w:r>
        <w:rPr>
          <w:color w:val="auto"/>
          <w:highlight w:val="none"/>
        </w:rPr>
        <w:t>0.5</w:t>
      </w:r>
      <w:r>
        <w:rPr>
          <w:rFonts w:hint="eastAsia"/>
          <w:color w:val="auto"/>
          <w:highlight w:val="none"/>
        </w:rPr>
        <w:t>万元/月；在施工期内，如承包人的上述相关人员在一个月内经监理单位、发包人书面确认的现场办公管理天数如低于25个日历天，则相应人员按照以上考勤违约处罚标准在当期进度款扣除相应费用。</w:t>
      </w:r>
    </w:p>
    <w:p w14:paraId="697D38FE">
      <w:pPr>
        <w:pStyle w:val="21"/>
        <w:rPr>
          <w:color w:val="auto"/>
          <w:highlight w:val="none"/>
        </w:rPr>
      </w:pPr>
      <w:r>
        <w:rPr>
          <w:color w:val="auto"/>
          <w:highlight w:val="none"/>
        </w:rPr>
        <w:t>第</w:t>
      </w:r>
      <w:r>
        <w:rPr>
          <w:rFonts w:hint="eastAsia"/>
          <w:color w:val="auto"/>
          <w:highlight w:val="none"/>
        </w:rPr>
        <w:t>十</w:t>
      </w:r>
      <w:r>
        <w:rPr>
          <w:color w:val="auto"/>
          <w:highlight w:val="none"/>
        </w:rPr>
        <w:t>条</w:t>
      </w:r>
      <w:r>
        <w:rPr>
          <w:rFonts w:hint="eastAsia"/>
          <w:color w:val="auto"/>
          <w:highlight w:val="none"/>
        </w:rPr>
        <w:t xml:space="preserve"> </w:t>
      </w:r>
      <w:r>
        <w:rPr>
          <w:color w:val="auto"/>
          <w:highlight w:val="none"/>
        </w:rPr>
        <w:t>知识产权</w:t>
      </w:r>
    </w:p>
    <w:p w14:paraId="2598463E">
      <w:pPr>
        <w:pStyle w:val="21"/>
        <w:rPr>
          <w:color w:val="auto"/>
          <w:highlight w:val="none"/>
        </w:rPr>
      </w:pPr>
      <w:r>
        <w:rPr>
          <w:rFonts w:hint="eastAsia"/>
          <w:color w:val="auto"/>
          <w:highlight w:val="none"/>
        </w:rPr>
        <w:t>10</w:t>
      </w:r>
      <w:r>
        <w:rPr>
          <w:color w:val="auto"/>
          <w:highlight w:val="none"/>
        </w:rPr>
        <w:t>.1 甲方享有</w:t>
      </w:r>
      <w:r>
        <w:rPr>
          <w:rFonts w:hint="eastAsia"/>
          <w:color w:val="auto"/>
          <w:highlight w:val="none"/>
        </w:rPr>
        <w:t>乙</w:t>
      </w:r>
      <w:r>
        <w:rPr>
          <w:color w:val="auto"/>
          <w:highlight w:val="none"/>
        </w:rPr>
        <w:t>方所提交的全部成果文件（包括但不限于图纸、说明、电子文件、计算机程序及其产生的数据等）的著作权。</w:t>
      </w:r>
    </w:p>
    <w:p w14:paraId="0E3F8A63">
      <w:pPr>
        <w:pStyle w:val="21"/>
        <w:rPr>
          <w:color w:val="auto"/>
          <w:highlight w:val="none"/>
        </w:rPr>
      </w:pPr>
      <w:r>
        <w:rPr>
          <w:rFonts w:hint="eastAsia"/>
          <w:color w:val="auto"/>
          <w:highlight w:val="none"/>
        </w:rPr>
        <w:t>10</w:t>
      </w:r>
      <w:r>
        <w:rPr>
          <w:color w:val="auto"/>
          <w:highlight w:val="none"/>
        </w:rPr>
        <w:t>.2 未经甲方</w:t>
      </w:r>
      <w:r>
        <w:rPr>
          <w:rFonts w:hint="eastAsia"/>
          <w:color w:val="auto"/>
          <w:highlight w:val="none"/>
        </w:rPr>
        <w:t>事先书面</w:t>
      </w:r>
      <w:r>
        <w:rPr>
          <w:color w:val="auto"/>
          <w:highlight w:val="none"/>
        </w:rPr>
        <w:t>同意，</w:t>
      </w:r>
      <w:r>
        <w:rPr>
          <w:rFonts w:hint="eastAsia"/>
          <w:color w:val="auto"/>
          <w:highlight w:val="none"/>
        </w:rPr>
        <w:t>乙</w:t>
      </w:r>
      <w:r>
        <w:rPr>
          <w:color w:val="auto"/>
          <w:highlight w:val="none"/>
        </w:rPr>
        <w:t>方不得使用其依照本合同约定提交的任何成果文件</w:t>
      </w:r>
      <w:r>
        <w:rPr>
          <w:rFonts w:hint="eastAsia"/>
          <w:color w:val="auto"/>
          <w:highlight w:val="none"/>
        </w:rPr>
        <w:t>，且不得将任何成果文件转让给第三方</w:t>
      </w:r>
      <w:r>
        <w:rPr>
          <w:color w:val="auto"/>
          <w:highlight w:val="none"/>
        </w:rPr>
        <w:t>。</w:t>
      </w:r>
    </w:p>
    <w:p w14:paraId="062D753B">
      <w:pPr>
        <w:pStyle w:val="21"/>
        <w:rPr>
          <w:color w:val="auto"/>
          <w:highlight w:val="none"/>
        </w:rPr>
      </w:pPr>
      <w:r>
        <w:rPr>
          <w:rFonts w:hint="eastAsia"/>
          <w:color w:val="auto"/>
          <w:highlight w:val="none"/>
        </w:rPr>
        <w:t>10</w:t>
      </w:r>
      <w:r>
        <w:rPr>
          <w:color w:val="auto"/>
          <w:highlight w:val="none"/>
        </w:rPr>
        <w:t xml:space="preserve">.3 </w:t>
      </w:r>
      <w:r>
        <w:rPr>
          <w:rFonts w:hint="eastAsia"/>
          <w:color w:val="auto"/>
          <w:highlight w:val="none"/>
        </w:rPr>
        <w:t>乙</w:t>
      </w:r>
      <w:r>
        <w:rPr>
          <w:color w:val="auto"/>
          <w:highlight w:val="none"/>
        </w:rPr>
        <w:t>方在提供服务的过程中以及</w:t>
      </w:r>
      <w:r>
        <w:rPr>
          <w:rFonts w:hint="eastAsia"/>
          <w:color w:val="auto"/>
          <w:highlight w:val="none"/>
        </w:rPr>
        <w:t>乙</w:t>
      </w:r>
      <w:r>
        <w:rPr>
          <w:color w:val="auto"/>
          <w:highlight w:val="none"/>
        </w:rPr>
        <w:t>方提交的成果文件不得侵犯第三方的知识产权等合法权益，否则，一切法律责任由</w:t>
      </w:r>
      <w:r>
        <w:rPr>
          <w:rFonts w:hint="eastAsia"/>
          <w:color w:val="auto"/>
          <w:highlight w:val="none"/>
        </w:rPr>
        <w:t>乙</w:t>
      </w:r>
      <w:r>
        <w:rPr>
          <w:color w:val="auto"/>
          <w:highlight w:val="none"/>
        </w:rPr>
        <w:t>方自行承担，</w:t>
      </w:r>
      <w:r>
        <w:rPr>
          <w:rFonts w:hint="eastAsia"/>
          <w:color w:val="auto"/>
          <w:highlight w:val="none"/>
        </w:rPr>
        <w:t>乙</w:t>
      </w:r>
      <w:r>
        <w:rPr>
          <w:color w:val="auto"/>
          <w:highlight w:val="none"/>
        </w:rPr>
        <w:t>方还应赔偿因此给甲方造成的损失。</w:t>
      </w:r>
    </w:p>
    <w:p w14:paraId="5E6D0130">
      <w:pPr>
        <w:pStyle w:val="21"/>
        <w:rPr>
          <w:color w:val="auto"/>
          <w:highlight w:val="none"/>
        </w:rPr>
      </w:pPr>
      <w:r>
        <w:rPr>
          <w:color w:val="auto"/>
          <w:highlight w:val="none"/>
        </w:rPr>
        <w:t>第十</w:t>
      </w:r>
      <w:r>
        <w:rPr>
          <w:rFonts w:hint="eastAsia"/>
          <w:color w:val="auto"/>
          <w:highlight w:val="none"/>
        </w:rPr>
        <w:t>一</w:t>
      </w:r>
      <w:r>
        <w:rPr>
          <w:color w:val="auto"/>
          <w:highlight w:val="none"/>
        </w:rPr>
        <w:t>条</w:t>
      </w:r>
      <w:r>
        <w:rPr>
          <w:rFonts w:hint="eastAsia"/>
          <w:color w:val="auto"/>
          <w:highlight w:val="none"/>
        </w:rPr>
        <w:t xml:space="preserve"> </w:t>
      </w:r>
      <w:r>
        <w:rPr>
          <w:bCs/>
          <w:color w:val="auto"/>
          <w:highlight w:val="none"/>
        </w:rPr>
        <w:t>不可抗力与</w:t>
      </w:r>
      <w:r>
        <w:rPr>
          <w:color w:val="auto"/>
          <w:highlight w:val="none"/>
        </w:rPr>
        <w:t>保密条款</w:t>
      </w:r>
    </w:p>
    <w:p w14:paraId="511C167D">
      <w:pPr>
        <w:pStyle w:val="21"/>
        <w:rPr>
          <w:color w:val="auto"/>
          <w:highlight w:val="none"/>
        </w:rPr>
      </w:pPr>
      <w:r>
        <w:rPr>
          <w:color w:val="auto"/>
          <w:highlight w:val="none"/>
        </w:rPr>
        <w:t>1</w:t>
      </w:r>
      <w:r>
        <w:rPr>
          <w:rFonts w:hint="eastAsia"/>
          <w:color w:val="auto"/>
          <w:highlight w:val="none"/>
        </w:rPr>
        <w:t>1</w:t>
      </w:r>
      <w:r>
        <w:rPr>
          <w:color w:val="auto"/>
          <w:highlight w:val="none"/>
        </w:rPr>
        <w:t>.1本合同所称“不可抗力”是指受因政府规划改变或自然灾害等影响，一方不能合理控制且无法预料，或即使可预料到也不可避免且无法克服，并于本合同签订日之后出现的事件。</w:t>
      </w:r>
    </w:p>
    <w:p w14:paraId="664B933A">
      <w:pPr>
        <w:pStyle w:val="21"/>
        <w:rPr>
          <w:color w:val="auto"/>
          <w:highlight w:val="none"/>
        </w:rPr>
      </w:pPr>
      <w:r>
        <w:rPr>
          <w:color w:val="auto"/>
          <w:highlight w:val="none"/>
        </w:rPr>
        <w:t>1</w:t>
      </w:r>
      <w:r>
        <w:rPr>
          <w:rFonts w:hint="eastAsia"/>
          <w:color w:val="auto"/>
          <w:highlight w:val="none"/>
        </w:rPr>
        <w:t>1</w:t>
      </w:r>
      <w:r>
        <w:rPr>
          <w:color w:val="auto"/>
          <w:highlight w:val="none"/>
        </w:rPr>
        <w:t>.2不可抗力事件发生时或其影响终止或消除后，双方应立即通过友好协商决定如何执行本合同。如因不可抗力导致合同无法履行的，甲乙双方均不承担违约责任。</w:t>
      </w:r>
    </w:p>
    <w:p w14:paraId="03043807">
      <w:pPr>
        <w:pStyle w:val="21"/>
        <w:rPr>
          <w:color w:val="auto"/>
          <w:highlight w:val="none"/>
        </w:rPr>
      </w:pPr>
      <w:r>
        <w:rPr>
          <w:color w:val="auto"/>
          <w:highlight w:val="none"/>
        </w:rPr>
        <w:t>1</w:t>
      </w:r>
      <w:r>
        <w:rPr>
          <w:rFonts w:hint="eastAsia"/>
          <w:color w:val="auto"/>
          <w:highlight w:val="none"/>
        </w:rPr>
        <w:t>1</w:t>
      </w:r>
      <w:r>
        <w:rPr>
          <w:color w:val="auto"/>
          <w:highlight w:val="none"/>
        </w:rPr>
        <w:t>.3本合同各方均应严格保护其相关方的秘密，未经相关方</w:t>
      </w:r>
      <w:r>
        <w:rPr>
          <w:snapToGrid w:val="0"/>
          <w:color w:val="auto"/>
          <w:kern w:val="0"/>
          <w:highlight w:val="none"/>
        </w:rPr>
        <w:t>书面</w:t>
      </w:r>
      <w:r>
        <w:rPr>
          <w:color w:val="auto"/>
          <w:highlight w:val="none"/>
        </w:rPr>
        <w:t xml:space="preserve">同意，不得披露、使用或者允许他人使用。 </w:t>
      </w:r>
    </w:p>
    <w:p w14:paraId="70BA07D9">
      <w:pPr>
        <w:pStyle w:val="21"/>
        <w:rPr>
          <w:color w:val="auto"/>
          <w:highlight w:val="none"/>
        </w:rPr>
      </w:pPr>
      <w:r>
        <w:rPr>
          <w:color w:val="auto"/>
          <w:highlight w:val="none"/>
        </w:rPr>
        <w:t>1</w:t>
      </w:r>
      <w:r>
        <w:rPr>
          <w:rFonts w:hint="eastAsia"/>
          <w:color w:val="auto"/>
          <w:highlight w:val="none"/>
        </w:rPr>
        <w:t>1</w:t>
      </w:r>
      <w:r>
        <w:rPr>
          <w:color w:val="auto"/>
          <w:highlight w:val="none"/>
        </w:rPr>
        <w:t xml:space="preserve">.4掌握相关方秘密的本合同各方应采取必要措施将其他方秘密仅披露给有必要知悉的其工作人员、代理人及/或专业顾问，并确保上述人员遵守本合同项下的保密义务。 </w:t>
      </w:r>
    </w:p>
    <w:p w14:paraId="71173E58">
      <w:pPr>
        <w:pStyle w:val="21"/>
        <w:rPr>
          <w:snapToGrid w:val="0"/>
          <w:color w:val="auto"/>
          <w:highlight w:val="none"/>
        </w:rPr>
      </w:pPr>
      <w:r>
        <w:rPr>
          <w:snapToGrid w:val="0"/>
          <w:color w:val="auto"/>
          <w:highlight w:val="none"/>
        </w:rPr>
        <w:t>1</w:t>
      </w:r>
      <w:r>
        <w:rPr>
          <w:rFonts w:hint="eastAsia"/>
          <w:snapToGrid w:val="0"/>
          <w:color w:val="auto"/>
          <w:highlight w:val="none"/>
        </w:rPr>
        <w:t>1</w:t>
      </w:r>
      <w:r>
        <w:rPr>
          <w:snapToGrid w:val="0"/>
          <w:color w:val="auto"/>
          <w:highlight w:val="none"/>
        </w:rPr>
        <w:t>.5本合同解除或者终止时，掌握相关方秘密的本合同各方应将相关方提交的载有秘密的信息资料归还相关方，并从任何有关记忆装置中删除相关方的秘密，并且不得继续使用。</w:t>
      </w:r>
    </w:p>
    <w:p w14:paraId="5773C323">
      <w:pPr>
        <w:pStyle w:val="21"/>
        <w:rPr>
          <w:snapToGrid w:val="0"/>
          <w:color w:val="auto"/>
          <w:highlight w:val="none"/>
        </w:rPr>
      </w:pPr>
      <w:r>
        <w:rPr>
          <w:snapToGrid w:val="0"/>
          <w:color w:val="auto"/>
          <w:highlight w:val="none"/>
        </w:rPr>
        <w:t>1</w:t>
      </w:r>
      <w:r>
        <w:rPr>
          <w:rFonts w:hint="eastAsia"/>
          <w:snapToGrid w:val="0"/>
          <w:color w:val="auto"/>
          <w:highlight w:val="none"/>
        </w:rPr>
        <w:t>1</w:t>
      </w:r>
      <w:r>
        <w:rPr>
          <w:snapToGrid w:val="0"/>
          <w:color w:val="auto"/>
          <w:highlight w:val="none"/>
        </w:rPr>
        <w:t>.6违反保密义务的本合同任何一方，应承担由此产生的一切法律责任。</w:t>
      </w:r>
    </w:p>
    <w:p w14:paraId="3321033D">
      <w:pPr>
        <w:pStyle w:val="21"/>
        <w:rPr>
          <w:snapToGrid w:val="0"/>
          <w:color w:val="auto"/>
          <w:highlight w:val="none"/>
        </w:rPr>
      </w:pPr>
      <w:r>
        <w:rPr>
          <w:rFonts w:hint="eastAsia"/>
          <w:snapToGrid w:val="0"/>
          <w:color w:val="auto"/>
          <w:highlight w:val="none"/>
        </w:rPr>
        <w:t>11</w:t>
      </w:r>
      <w:r>
        <w:rPr>
          <w:snapToGrid w:val="0"/>
          <w:color w:val="auto"/>
          <w:highlight w:val="none"/>
        </w:rPr>
        <w:t>.7不论本合同是否变更、解除或终止，本合同关于保守秘密的条款将持续有效。</w:t>
      </w:r>
    </w:p>
    <w:p w14:paraId="075FC119">
      <w:pPr>
        <w:pStyle w:val="21"/>
        <w:rPr>
          <w:color w:val="auto"/>
          <w:highlight w:val="none"/>
        </w:rPr>
      </w:pPr>
      <w:r>
        <w:rPr>
          <w:color w:val="auto"/>
          <w:highlight w:val="none"/>
        </w:rPr>
        <w:t>第十</w:t>
      </w:r>
      <w:r>
        <w:rPr>
          <w:rFonts w:hint="eastAsia"/>
          <w:color w:val="auto"/>
          <w:highlight w:val="none"/>
        </w:rPr>
        <w:t>二</w:t>
      </w:r>
      <w:r>
        <w:rPr>
          <w:color w:val="auto"/>
          <w:highlight w:val="none"/>
        </w:rPr>
        <w:t>条</w:t>
      </w:r>
      <w:r>
        <w:rPr>
          <w:rFonts w:hint="eastAsia"/>
          <w:color w:val="auto"/>
          <w:highlight w:val="none"/>
        </w:rPr>
        <w:t xml:space="preserve"> </w:t>
      </w:r>
      <w:r>
        <w:rPr>
          <w:color w:val="auto"/>
          <w:highlight w:val="none"/>
        </w:rPr>
        <w:t>合同变更及解除</w:t>
      </w:r>
    </w:p>
    <w:p w14:paraId="4353AE6F">
      <w:pPr>
        <w:pStyle w:val="21"/>
        <w:rPr>
          <w:color w:val="auto"/>
          <w:highlight w:val="none"/>
        </w:rPr>
      </w:pPr>
      <w:r>
        <w:rPr>
          <w:color w:val="auto"/>
          <w:highlight w:val="none"/>
        </w:rPr>
        <w:t>1</w:t>
      </w:r>
      <w:r>
        <w:rPr>
          <w:rFonts w:hint="eastAsia"/>
          <w:color w:val="auto"/>
          <w:highlight w:val="none"/>
        </w:rPr>
        <w:t>2</w:t>
      </w:r>
      <w:r>
        <w:rPr>
          <w:color w:val="auto"/>
          <w:highlight w:val="none"/>
        </w:rPr>
        <w:t>.1 本合同各方协商一致，可以对本合同约定进行变更。变更本合同的应签订书面补充合同。</w:t>
      </w:r>
    </w:p>
    <w:p w14:paraId="4171AE89">
      <w:pPr>
        <w:pStyle w:val="21"/>
        <w:rPr>
          <w:color w:val="auto"/>
          <w:highlight w:val="none"/>
        </w:rPr>
      </w:pPr>
      <w:r>
        <w:rPr>
          <w:color w:val="auto"/>
          <w:highlight w:val="none"/>
        </w:rPr>
        <w:t>1</w:t>
      </w:r>
      <w:r>
        <w:rPr>
          <w:rFonts w:hint="eastAsia"/>
          <w:color w:val="auto"/>
          <w:highlight w:val="none"/>
        </w:rPr>
        <w:t>2</w:t>
      </w:r>
      <w:r>
        <w:rPr>
          <w:color w:val="auto"/>
          <w:highlight w:val="none"/>
        </w:rPr>
        <w:t>.2 本合同各方协商一致解除本合同应签订书面解除合同。</w:t>
      </w:r>
    </w:p>
    <w:p w14:paraId="5394C265">
      <w:pPr>
        <w:pStyle w:val="21"/>
        <w:rPr>
          <w:color w:val="auto"/>
          <w:highlight w:val="none"/>
        </w:rPr>
      </w:pPr>
      <w:r>
        <w:rPr>
          <w:color w:val="auto"/>
          <w:highlight w:val="none"/>
        </w:rPr>
        <w:t>1</w:t>
      </w:r>
      <w:r>
        <w:rPr>
          <w:rFonts w:hint="eastAsia"/>
          <w:color w:val="auto"/>
          <w:highlight w:val="none"/>
        </w:rPr>
        <w:t>2</w:t>
      </w:r>
      <w:r>
        <w:rPr>
          <w:color w:val="auto"/>
          <w:highlight w:val="none"/>
        </w:rPr>
        <w:t>.3 本合同各方依照法律规定单方解除本合同的，应当书面通知对方，本合同自书面通知到达对方之时起解除。</w:t>
      </w:r>
    </w:p>
    <w:p w14:paraId="26B65720">
      <w:pPr>
        <w:pStyle w:val="21"/>
        <w:rPr>
          <w:color w:val="auto"/>
          <w:highlight w:val="none"/>
        </w:rPr>
      </w:pPr>
      <w:r>
        <w:rPr>
          <w:color w:val="auto"/>
          <w:highlight w:val="none"/>
        </w:rPr>
        <w:t>1</w:t>
      </w:r>
      <w:r>
        <w:rPr>
          <w:rFonts w:hint="eastAsia"/>
          <w:color w:val="auto"/>
          <w:highlight w:val="none"/>
        </w:rPr>
        <w:t>2</w:t>
      </w:r>
      <w:r>
        <w:rPr>
          <w:color w:val="auto"/>
          <w:highlight w:val="none"/>
        </w:rPr>
        <w:t>.4 本合同解除后，不影响本合同中争议解决条款的效力。</w:t>
      </w:r>
    </w:p>
    <w:p w14:paraId="3B9AB02A">
      <w:pPr>
        <w:pStyle w:val="21"/>
        <w:rPr>
          <w:color w:val="auto"/>
          <w:highlight w:val="none"/>
        </w:rPr>
      </w:pPr>
      <w:r>
        <w:rPr>
          <w:color w:val="auto"/>
          <w:highlight w:val="none"/>
        </w:rPr>
        <w:t>第十</w:t>
      </w:r>
      <w:r>
        <w:rPr>
          <w:rFonts w:hint="eastAsia"/>
          <w:color w:val="auto"/>
          <w:highlight w:val="none"/>
        </w:rPr>
        <w:t>三</w:t>
      </w:r>
      <w:r>
        <w:rPr>
          <w:color w:val="auto"/>
          <w:highlight w:val="none"/>
        </w:rPr>
        <w:t>条</w:t>
      </w:r>
      <w:r>
        <w:rPr>
          <w:rFonts w:hint="eastAsia"/>
          <w:color w:val="auto"/>
          <w:highlight w:val="none"/>
        </w:rPr>
        <w:t xml:space="preserve"> </w:t>
      </w:r>
      <w:r>
        <w:rPr>
          <w:color w:val="auto"/>
          <w:highlight w:val="none"/>
        </w:rPr>
        <w:t>通讯和送达</w:t>
      </w:r>
    </w:p>
    <w:p w14:paraId="6E3FC43D">
      <w:pPr>
        <w:pStyle w:val="21"/>
        <w:rPr>
          <w:color w:val="auto"/>
          <w:highlight w:val="none"/>
        </w:rPr>
      </w:pPr>
      <w:r>
        <w:rPr>
          <w:color w:val="auto"/>
          <w:highlight w:val="none"/>
        </w:rPr>
        <w:t>1</w:t>
      </w:r>
      <w:r>
        <w:rPr>
          <w:rFonts w:hint="eastAsia"/>
          <w:color w:val="auto"/>
          <w:highlight w:val="none"/>
        </w:rPr>
        <w:t>3</w:t>
      </w:r>
      <w:r>
        <w:rPr>
          <w:color w:val="auto"/>
          <w:highlight w:val="none"/>
        </w:rPr>
        <w:t>.1 通讯是指本合同各方依照本合同约定向另一方发出的通知、决定、指令、同意、证明等各类书面形式的函件。</w:t>
      </w:r>
    </w:p>
    <w:p w14:paraId="6AF64575">
      <w:pPr>
        <w:pStyle w:val="21"/>
        <w:rPr>
          <w:color w:val="auto"/>
          <w:highlight w:val="none"/>
        </w:rPr>
      </w:pPr>
      <w:r>
        <w:rPr>
          <w:color w:val="auto"/>
          <w:highlight w:val="none"/>
        </w:rPr>
        <w:t>1</w:t>
      </w:r>
      <w:r>
        <w:rPr>
          <w:rFonts w:hint="eastAsia"/>
          <w:color w:val="auto"/>
          <w:highlight w:val="none"/>
        </w:rPr>
        <w:t>3</w:t>
      </w:r>
      <w:r>
        <w:rPr>
          <w:color w:val="auto"/>
          <w:highlight w:val="none"/>
        </w:rPr>
        <w:t>.2 通讯由专人递送的，各方签收之日为送达之日；由特快专递递送的，各方签收后视为已送达；由传真递送的，传真到达对方之日视为已送达；由电子邮件递送的，电子邮件成功发送时视为送达。</w:t>
      </w:r>
    </w:p>
    <w:p w14:paraId="0C8A19BA">
      <w:pPr>
        <w:pStyle w:val="21"/>
        <w:rPr>
          <w:color w:val="auto"/>
          <w:highlight w:val="none"/>
        </w:rPr>
      </w:pPr>
      <w:r>
        <w:rPr>
          <w:rFonts w:hint="eastAsia"/>
          <w:color w:val="auto"/>
          <w:highlight w:val="none"/>
        </w:rPr>
        <w:t>甲方通讯地址：</w:t>
      </w:r>
      <w:r>
        <w:rPr>
          <w:color w:val="auto"/>
          <w:highlight w:val="none"/>
        </w:rPr>
        <w:t xml:space="preserve">             </w:t>
      </w:r>
      <w:r>
        <w:rPr>
          <w:rFonts w:hint="eastAsia"/>
          <w:color w:val="auto"/>
          <w:highlight w:val="none"/>
        </w:rPr>
        <w:t>电子邮箱：</w:t>
      </w:r>
      <w:r>
        <w:rPr>
          <w:color w:val="auto"/>
          <w:highlight w:val="none"/>
        </w:rPr>
        <w:t xml:space="preserve">                 </w:t>
      </w:r>
      <w:r>
        <w:rPr>
          <w:rFonts w:hint="eastAsia"/>
          <w:color w:val="auto"/>
          <w:highlight w:val="none"/>
        </w:rPr>
        <w:t xml:space="preserve"> </w:t>
      </w:r>
    </w:p>
    <w:p w14:paraId="3EC33473">
      <w:pPr>
        <w:pStyle w:val="21"/>
        <w:rPr>
          <w:color w:val="auto"/>
          <w:highlight w:val="none"/>
        </w:rPr>
      </w:pPr>
      <w:r>
        <w:rPr>
          <w:rFonts w:hint="eastAsia"/>
          <w:color w:val="auto"/>
          <w:highlight w:val="none"/>
        </w:rPr>
        <w:t xml:space="preserve">乙方通讯地址：             电子邮箱：                  </w:t>
      </w:r>
    </w:p>
    <w:p w14:paraId="5F07A789">
      <w:pPr>
        <w:pStyle w:val="21"/>
        <w:rPr>
          <w:color w:val="auto"/>
          <w:highlight w:val="none"/>
        </w:rPr>
      </w:pPr>
      <w:r>
        <w:rPr>
          <w:color w:val="auto"/>
          <w:highlight w:val="none"/>
        </w:rPr>
        <w:t>1</w:t>
      </w:r>
      <w:r>
        <w:rPr>
          <w:rFonts w:hint="eastAsia"/>
          <w:color w:val="auto"/>
          <w:highlight w:val="none"/>
        </w:rPr>
        <w:t>3</w:t>
      </w:r>
      <w:r>
        <w:rPr>
          <w:color w:val="auto"/>
          <w:highlight w:val="none"/>
        </w:rPr>
        <w:t>.3 本合同各方变更通讯递送地址、联系人、电子邮件及/或传真的，应在变更之日起30日内通知另一方，未通知的，另一方按本合同上约定的通讯地址和联系方式发送的文件，均视为送达。</w:t>
      </w:r>
    </w:p>
    <w:p w14:paraId="6A5D72E2">
      <w:pPr>
        <w:pStyle w:val="21"/>
        <w:rPr>
          <w:color w:val="auto"/>
          <w:highlight w:val="none"/>
        </w:rPr>
      </w:pPr>
      <w:r>
        <w:rPr>
          <w:color w:val="auto"/>
          <w:highlight w:val="none"/>
        </w:rPr>
        <w:t>第十</w:t>
      </w:r>
      <w:r>
        <w:rPr>
          <w:rFonts w:hint="eastAsia"/>
          <w:color w:val="auto"/>
          <w:highlight w:val="none"/>
        </w:rPr>
        <w:t>四</w:t>
      </w:r>
      <w:r>
        <w:rPr>
          <w:color w:val="auto"/>
          <w:highlight w:val="none"/>
        </w:rPr>
        <w:t>条</w:t>
      </w:r>
      <w:r>
        <w:rPr>
          <w:rFonts w:hint="eastAsia"/>
          <w:color w:val="auto"/>
          <w:highlight w:val="none"/>
        </w:rPr>
        <w:t xml:space="preserve"> </w:t>
      </w:r>
      <w:r>
        <w:rPr>
          <w:color w:val="auto"/>
          <w:highlight w:val="none"/>
        </w:rPr>
        <w:t>法律适用及争议解决方式</w:t>
      </w:r>
    </w:p>
    <w:p w14:paraId="0DBDD424">
      <w:pPr>
        <w:pStyle w:val="21"/>
        <w:rPr>
          <w:color w:val="auto"/>
          <w:highlight w:val="none"/>
        </w:rPr>
      </w:pPr>
      <w:r>
        <w:rPr>
          <w:color w:val="auto"/>
          <w:highlight w:val="none"/>
        </w:rPr>
        <w:t>1</w:t>
      </w:r>
      <w:r>
        <w:rPr>
          <w:rFonts w:hint="eastAsia"/>
          <w:color w:val="auto"/>
          <w:highlight w:val="none"/>
        </w:rPr>
        <w:t>4</w:t>
      </w:r>
      <w:r>
        <w:rPr>
          <w:color w:val="auto"/>
          <w:highlight w:val="none"/>
        </w:rPr>
        <w:t>.1 本合同的签署、履行、解释及因本合同所发生的争议均适用中国法律。</w:t>
      </w:r>
    </w:p>
    <w:p w14:paraId="174325D6">
      <w:pPr>
        <w:pStyle w:val="21"/>
        <w:rPr>
          <w:color w:val="auto"/>
          <w:highlight w:val="none"/>
        </w:rPr>
      </w:pPr>
      <w:r>
        <w:rPr>
          <w:color w:val="auto"/>
          <w:highlight w:val="none"/>
        </w:rPr>
        <w:t>1</w:t>
      </w:r>
      <w:r>
        <w:rPr>
          <w:rFonts w:hint="eastAsia"/>
          <w:color w:val="auto"/>
          <w:highlight w:val="none"/>
        </w:rPr>
        <w:t>4</w:t>
      </w:r>
      <w:r>
        <w:rPr>
          <w:color w:val="auto"/>
          <w:highlight w:val="none"/>
        </w:rPr>
        <w:t>.2 双方因本合同发生的一切争议，应首先通过协商解决，如协商不成，任何一方可依法向</w:t>
      </w:r>
      <w:r>
        <w:rPr>
          <w:rFonts w:hint="eastAsia"/>
          <w:color w:val="auto"/>
          <w:highlight w:val="none"/>
        </w:rPr>
        <w:t>甲方住所</w:t>
      </w:r>
      <w:r>
        <w:rPr>
          <w:color w:val="auto"/>
          <w:highlight w:val="none"/>
        </w:rPr>
        <w:t>地有管辖权的人民法院起诉。</w:t>
      </w:r>
    </w:p>
    <w:p w14:paraId="15AA7E63">
      <w:pPr>
        <w:pStyle w:val="21"/>
        <w:rPr>
          <w:color w:val="auto"/>
          <w:highlight w:val="none"/>
        </w:rPr>
      </w:pPr>
      <w:r>
        <w:rPr>
          <w:color w:val="auto"/>
          <w:highlight w:val="none"/>
        </w:rPr>
        <w:t>第十</w:t>
      </w:r>
      <w:r>
        <w:rPr>
          <w:rFonts w:hint="eastAsia"/>
          <w:color w:val="auto"/>
          <w:highlight w:val="none"/>
        </w:rPr>
        <w:t>五</w:t>
      </w:r>
      <w:r>
        <w:rPr>
          <w:color w:val="auto"/>
          <w:highlight w:val="none"/>
        </w:rPr>
        <w:t>条</w:t>
      </w:r>
      <w:r>
        <w:rPr>
          <w:rFonts w:hint="eastAsia"/>
          <w:color w:val="auto"/>
          <w:highlight w:val="none"/>
        </w:rPr>
        <w:t xml:space="preserve"> </w:t>
      </w:r>
      <w:r>
        <w:rPr>
          <w:color w:val="auto"/>
          <w:highlight w:val="none"/>
        </w:rPr>
        <w:t>其它</w:t>
      </w:r>
    </w:p>
    <w:p w14:paraId="6EF89689">
      <w:pPr>
        <w:ind w:right="11" w:firstLine="480"/>
        <w:rPr>
          <w:color w:val="auto"/>
          <w:highlight w:val="none"/>
        </w:rPr>
      </w:pPr>
      <w:r>
        <w:rPr>
          <w:color w:val="auto"/>
          <w:highlight w:val="none"/>
        </w:rPr>
        <w:t>1</w:t>
      </w:r>
      <w:r>
        <w:rPr>
          <w:rFonts w:hint="eastAsia"/>
          <w:color w:val="auto"/>
          <w:highlight w:val="none"/>
        </w:rPr>
        <w:t>5</w:t>
      </w:r>
      <w:r>
        <w:rPr>
          <w:color w:val="auto"/>
          <w:highlight w:val="none"/>
        </w:rPr>
        <w:t>.1本</w:t>
      </w:r>
      <w:r>
        <w:rPr>
          <w:rFonts w:hint="eastAsia"/>
          <w:color w:val="auto"/>
          <w:highlight w:val="none"/>
        </w:rPr>
        <w:t>项目的招标文件、乙方的投标文件、</w:t>
      </w:r>
      <w:r>
        <w:rPr>
          <w:color w:val="auto"/>
          <w:highlight w:val="none"/>
        </w:rPr>
        <w:t>合同附件是本合同的组成部分。</w:t>
      </w:r>
      <w:r>
        <w:rPr>
          <w:rFonts w:hint="eastAsia"/>
          <w:color w:val="auto"/>
          <w:highlight w:val="none"/>
        </w:rPr>
        <w:t>本合同正本一式两份，发包人、承包人各执一份；副本八份，发包人执四份，承包人执四份。合同正、副本具有同等效力，但当合同正本与副本的表述不一致时，以合同正本为准。</w:t>
      </w:r>
    </w:p>
    <w:p w14:paraId="3FFCC0CA">
      <w:pPr>
        <w:pStyle w:val="21"/>
        <w:rPr>
          <w:color w:val="auto"/>
          <w:highlight w:val="none"/>
        </w:rPr>
      </w:pPr>
      <w:r>
        <w:rPr>
          <w:color w:val="auto"/>
          <w:highlight w:val="none"/>
        </w:rPr>
        <w:t>1</w:t>
      </w:r>
      <w:r>
        <w:rPr>
          <w:rFonts w:hint="eastAsia"/>
          <w:color w:val="auto"/>
          <w:highlight w:val="none"/>
        </w:rPr>
        <w:t>5</w:t>
      </w:r>
      <w:r>
        <w:rPr>
          <w:color w:val="auto"/>
          <w:highlight w:val="none"/>
        </w:rPr>
        <w:t>.2本合同自</w:t>
      </w:r>
      <w:r>
        <w:rPr>
          <w:rFonts w:hint="eastAsia"/>
          <w:color w:val="auto"/>
          <w:highlight w:val="none"/>
        </w:rPr>
        <w:t>甲乙双方加盖公章或合同专用章</w:t>
      </w:r>
      <w:r>
        <w:rPr>
          <w:color w:val="auto"/>
          <w:highlight w:val="none"/>
        </w:rPr>
        <w:t>之日起生效。</w:t>
      </w:r>
    </w:p>
    <w:p w14:paraId="74240180">
      <w:pPr>
        <w:pStyle w:val="21"/>
        <w:rPr>
          <w:color w:val="auto"/>
          <w:highlight w:val="none"/>
        </w:rPr>
      </w:pPr>
      <w:r>
        <w:rPr>
          <w:color w:val="auto"/>
          <w:highlight w:val="none"/>
        </w:rPr>
        <w:t>第十</w:t>
      </w:r>
      <w:r>
        <w:rPr>
          <w:rFonts w:hint="eastAsia"/>
          <w:color w:val="auto"/>
          <w:highlight w:val="none"/>
        </w:rPr>
        <w:t>六</w:t>
      </w:r>
      <w:r>
        <w:rPr>
          <w:color w:val="auto"/>
          <w:highlight w:val="none"/>
        </w:rPr>
        <w:t>条附件</w:t>
      </w:r>
    </w:p>
    <w:p w14:paraId="788B7709">
      <w:pPr>
        <w:pStyle w:val="21"/>
        <w:rPr>
          <w:color w:val="auto"/>
          <w:highlight w:val="none"/>
        </w:rPr>
      </w:pPr>
      <w:r>
        <w:rPr>
          <w:color w:val="auto"/>
          <w:highlight w:val="none"/>
        </w:rPr>
        <w:t>1</w:t>
      </w:r>
      <w:r>
        <w:rPr>
          <w:rFonts w:hint="eastAsia"/>
          <w:color w:val="auto"/>
          <w:highlight w:val="none"/>
        </w:rPr>
        <w:t>6</w:t>
      </w:r>
      <w:r>
        <w:rPr>
          <w:color w:val="auto"/>
          <w:highlight w:val="none"/>
        </w:rPr>
        <w:t>.1附件</w:t>
      </w:r>
      <w:r>
        <w:rPr>
          <w:rFonts w:hint="eastAsia"/>
          <w:color w:val="auto"/>
          <w:highlight w:val="none"/>
        </w:rPr>
        <w:t>1：</w:t>
      </w:r>
      <w:r>
        <w:rPr>
          <w:color w:val="auto"/>
          <w:highlight w:val="none"/>
        </w:rPr>
        <w:t>投标报价清单</w:t>
      </w:r>
    </w:p>
    <w:p w14:paraId="2DC02718">
      <w:pPr>
        <w:pStyle w:val="21"/>
        <w:rPr>
          <w:color w:val="auto"/>
          <w:highlight w:val="none"/>
        </w:rPr>
      </w:pPr>
      <w:r>
        <w:rPr>
          <w:rFonts w:hint="eastAsia"/>
          <w:color w:val="auto"/>
          <w:highlight w:val="none"/>
        </w:rPr>
        <w:t>16.2附件2：拟投入本项目人员</w:t>
      </w:r>
    </w:p>
    <w:p w14:paraId="26CC5C17">
      <w:pPr>
        <w:pStyle w:val="21"/>
        <w:rPr>
          <w:color w:val="auto"/>
          <w:highlight w:val="none"/>
        </w:rPr>
      </w:pPr>
      <w:r>
        <w:rPr>
          <w:rFonts w:hint="eastAsia"/>
          <w:color w:val="auto"/>
          <w:highlight w:val="none"/>
        </w:rPr>
        <w:t>16.3附件3：拟投入本项目的工具、设备明细表</w:t>
      </w:r>
    </w:p>
    <w:p w14:paraId="76E74EEE">
      <w:pPr>
        <w:pStyle w:val="21"/>
        <w:rPr>
          <w:color w:val="auto"/>
          <w:highlight w:val="none"/>
        </w:rPr>
      </w:pPr>
      <w:r>
        <w:rPr>
          <w:color w:val="auto"/>
          <w:highlight w:val="none"/>
        </w:rPr>
        <w:t>（以下无正文）</w:t>
      </w:r>
    </w:p>
    <w:p w14:paraId="099EB74B">
      <w:pPr>
        <w:adjustRightInd w:val="0"/>
        <w:snapToGrid w:val="0"/>
        <w:spacing w:line="360" w:lineRule="auto"/>
        <w:ind w:firstLine="480" w:firstLineChars="200"/>
        <w:rPr>
          <w:color w:val="auto"/>
          <w:sz w:val="24"/>
          <w:highlight w:val="none"/>
        </w:rPr>
      </w:pPr>
      <w:r>
        <w:rPr>
          <w:color w:val="auto"/>
          <w:sz w:val="24"/>
          <w:highlight w:val="none"/>
        </w:rPr>
        <w:br w:type="page"/>
      </w:r>
    </w:p>
    <w:p w14:paraId="28814738">
      <w:pPr>
        <w:pStyle w:val="21"/>
        <w:rPr>
          <w:color w:val="auto"/>
          <w:highlight w:val="none"/>
        </w:rPr>
      </w:pPr>
    </w:p>
    <w:p w14:paraId="22FF4C38">
      <w:pPr>
        <w:pStyle w:val="21"/>
        <w:rPr>
          <w:color w:val="auto"/>
          <w:highlight w:val="none"/>
        </w:rPr>
      </w:pPr>
      <w:r>
        <w:rPr>
          <w:color w:val="auto"/>
          <w:highlight w:val="none"/>
        </w:rPr>
        <w:t>（本页为签章页）</w:t>
      </w:r>
    </w:p>
    <w:tbl>
      <w:tblPr>
        <w:tblStyle w:val="16"/>
        <w:tblW w:w="9645" w:type="dxa"/>
        <w:jc w:val="center"/>
        <w:tblLayout w:type="fixed"/>
        <w:tblCellMar>
          <w:top w:w="0" w:type="dxa"/>
          <w:left w:w="108" w:type="dxa"/>
          <w:bottom w:w="0" w:type="dxa"/>
          <w:right w:w="108" w:type="dxa"/>
        </w:tblCellMar>
      </w:tblPr>
      <w:tblGrid>
        <w:gridCol w:w="5529"/>
        <w:gridCol w:w="4116"/>
      </w:tblGrid>
      <w:tr w14:paraId="49CF96F8">
        <w:tblPrEx>
          <w:tblCellMar>
            <w:top w:w="0" w:type="dxa"/>
            <w:left w:w="108" w:type="dxa"/>
            <w:bottom w:w="0" w:type="dxa"/>
            <w:right w:w="108" w:type="dxa"/>
          </w:tblCellMar>
        </w:tblPrEx>
        <w:trPr>
          <w:trHeight w:val="1247" w:hRule="atLeast"/>
          <w:jc w:val="center"/>
        </w:trPr>
        <w:tc>
          <w:tcPr>
            <w:tcW w:w="5529" w:type="dxa"/>
            <w:vAlign w:val="center"/>
          </w:tcPr>
          <w:p w14:paraId="055DA015">
            <w:pPr>
              <w:pStyle w:val="21"/>
              <w:rPr>
                <w:color w:val="auto"/>
                <w:highlight w:val="none"/>
              </w:rPr>
            </w:pPr>
            <w:r>
              <w:rPr>
                <w:color w:val="auto"/>
                <w:highlight w:val="none"/>
              </w:rPr>
              <w:t xml:space="preserve">甲方（章）： </w:t>
            </w:r>
          </w:p>
        </w:tc>
        <w:tc>
          <w:tcPr>
            <w:tcW w:w="4116" w:type="dxa"/>
            <w:vAlign w:val="center"/>
          </w:tcPr>
          <w:p w14:paraId="305447EA">
            <w:pPr>
              <w:pStyle w:val="21"/>
              <w:rPr>
                <w:color w:val="auto"/>
                <w:highlight w:val="none"/>
              </w:rPr>
            </w:pPr>
            <w:r>
              <w:rPr>
                <w:rFonts w:hint="eastAsia"/>
                <w:color w:val="auto"/>
                <w:highlight w:val="none"/>
              </w:rPr>
              <w:t>乙方</w:t>
            </w:r>
            <w:r>
              <w:rPr>
                <w:color w:val="auto"/>
                <w:highlight w:val="none"/>
              </w:rPr>
              <w:t xml:space="preserve">（章）： </w:t>
            </w:r>
          </w:p>
        </w:tc>
      </w:tr>
      <w:tr w14:paraId="089C3543">
        <w:tblPrEx>
          <w:tblCellMar>
            <w:top w:w="0" w:type="dxa"/>
            <w:left w:w="108" w:type="dxa"/>
            <w:bottom w:w="0" w:type="dxa"/>
            <w:right w:w="108" w:type="dxa"/>
          </w:tblCellMar>
        </w:tblPrEx>
        <w:trPr>
          <w:trHeight w:val="1153" w:hRule="atLeast"/>
          <w:jc w:val="center"/>
        </w:trPr>
        <w:tc>
          <w:tcPr>
            <w:tcW w:w="5529" w:type="dxa"/>
            <w:vAlign w:val="center"/>
          </w:tcPr>
          <w:p w14:paraId="3D71FAFB">
            <w:pPr>
              <w:pStyle w:val="21"/>
              <w:rPr>
                <w:color w:val="auto"/>
                <w:highlight w:val="none"/>
              </w:rPr>
            </w:pPr>
            <w:r>
              <w:rPr>
                <w:color w:val="auto"/>
                <w:highlight w:val="none"/>
              </w:rPr>
              <w:t>法定代表人（签章）：</w:t>
            </w:r>
          </w:p>
        </w:tc>
        <w:tc>
          <w:tcPr>
            <w:tcW w:w="4116" w:type="dxa"/>
            <w:vAlign w:val="center"/>
          </w:tcPr>
          <w:p w14:paraId="61883EB0">
            <w:pPr>
              <w:pStyle w:val="21"/>
              <w:rPr>
                <w:color w:val="auto"/>
                <w:highlight w:val="none"/>
              </w:rPr>
            </w:pPr>
            <w:r>
              <w:rPr>
                <w:color w:val="auto"/>
                <w:highlight w:val="none"/>
              </w:rPr>
              <w:t>法定代表人（签章）：</w:t>
            </w:r>
          </w:p>
        </w:tc>
      </w:tr>
      <w:tr w14:paraId="5637432D">
        <w:tblPrEx>
          <w:tblCellMar>
            <w:top w:w="0" w:type="dxa"/>
            <w:left w:w="108" w:type="dxa"/>
            <w:bottom w:w="0" w:type="dxa"/>
            <w:right w:w="108" w:type="dxa"/>
          </w:tblCellMar>
        </w:tblPrEx>
        <w:trPr>
          <w:trHeight w:val="744" w:hRule="atLeast"/>
          <w:jc w:val="center"/>
        </w:trPr>
        <w:tc>
          <w:tcPr>
            <w:tcW w:w="5529" w:type="dxa"/>
            <w:vAlign w:val="center"/>
          </w:tcPr>
          <w:p w14:paraId="2CE1EB07">
            <w:pPr>
              <w:pStyle w:val="21"/>
              <w:rPr>
                <w:color w:val="auto"/>
                <w:highlight w:val="none"/>
              </w:rPr>
            </w:pPr>
            <w:r>
              <w:rPr>
                <w:color w:val="auto"/>
                <w:highlight w:val="none"/>
              </w:rPr>
              <w:t xml:space="preserve">联系地址： </w:t>
            </w:r>
          </w:p>
        </w:tc>
        <w:tc>
          <w:tcPr>
            <w:tcW w:w="4116" w:type="dxa"/>
            <w:vAlign w:val="center"/>
          </w:tcPr>
          <w:p w14:paraId="18555AE2">
            <w:pPr>
              <w:pStyle w:val="21"/>
              <w:rPr>
                <w:color w:val="auto"/>
                <w:highlight w:val="none"/>
              </w:rPr>
            </w:pPr>
            <w:r>
              <w:rPr>
                <w:color w:val="auto"/>
                <w:highlight w:val="none"/>
              </w:rPr>
              <w:t xml:space="preserve">联系地址： </w:t>
            </w:r>
          </w:p>
        </w:tc>
      </w:tr>
      <w:tr w14:paraId="04BE5B40">
        <w:tblPrEx>
          <w:tblCellMar>
            <w:top w:w="0" w:type="dxa"/>
            <w:left w:w="108" w:type="dxa"/>
            <w:bottom w:w="0" w:type="dxa"/>
            <w:right w:w="108" w:type="dxa"/>
          </w:tblCellMar>
        </w:tblPrEx>
        <w:trPr>
          <w:trHeight w:val="924" w:hRule="atLeast"/>
          <w:jc w:val="center"/>
        </w:trPr>
        <w:tc>
          <w:tcPr>
            <w:tcW w:w="5529" w:type="dxa"/>
            <w:vAlign w:val="center"/>
          </w:tcPr>
          <w:p w14:paraId="4DDDC0B8">
            <w:pPr>
              <w:pStyle w:val="21"/>
              <w:rPr>
                <w:color w:val="auto"/>
                <w:highlight w:val="none"/>
              </w:rPr>
            </w:pPr>
            <w:r>
              <w:rPr>
                <w:rFonts w:hint="eastAsia"/>
                <w:color w:val="auto"/>
                <w:highlight w:val="none"/>
              </w:rPr>
              <w:t>经办</w:t>
            </w:r>
            <w:r>
              <w:rPr>
                <w:color w:val="auto"/>
                <w:highlight w:val="none"/>
              </w:rPr>
              <w:t xml:space="preserve">人： </w:t>
            </w:r>
          </w:p>
        </w:tc>
        <w:tc>
          <w:tcPr>
            <w:tcW w:w="4116" w:type="dxa"/>
            <w:vAlign w:val="center"/>
          </w:tcPr>
          <w:p w14:paraId="30FDAA14">
            <w:pPr>
              <w:pStyle w:val="21"/>
              <w:rPr>
                <w:color w:val="auto"/>
                <w:highlight w:val="none"/>
              </w:rPr>
            </w:pPr>
            <w:r>
              <w:rPr>
                <w:rFonts w:hint="eastAsia"/>
                <w:color w:val="auto"/>
                <w:highlight w:val="none"/>
              </w:rPr>
              <w:t>经办</w:t>
            </w:r>
            <w:r>
              <w:rPr>
                <w:color w:val="auto"/>
                <w:highlight w:val="none"/>
              </w:rPr>
              <w:t xml:space="preserve">人： </w:t>
            </w:r>
          </w:p>
        </w:tc>
      </w:tr>
      <w:tr w14:paraId="7FD295D8">
        <w:tblPrEx>
          <w:tblCellMar>
            <w:top w:w="0" w:type="dxa"/>
            <w:left w:w="108" w:type="dxa"/>
            <w:bottom w:w="0" w:type="dxa"/>
            <w:right w:w="108" w:type="dxa"/>
          </w:tblCellMar>
        </w:tblPrEx>
        <w:trPr>
          <w:trHeight w:val="699" w:hRule="atLeast"/>
          <w:jc w:val="center"/>
        </w:trPr>
        <w:tc>
          <w:tcPr>
            <w:tcW w:w="5529" w:type="dxa"/>
            <w:vAlign w:val="center"/>
          </w:tcPr>
          <w:p w14:paraId="376577EF">
            <w:pPr>
              <w:pStyle w:val="21"/>
              <w:rPr>
                <w:color w:val="auto"/>
                <w:highlight w:val="none"/>
              </w:rPr>
            </w:pPr>
            <w:r>
              <w:rPr>
                <w:color w:val="auto"/>
                <w:highlight w:val="none"/>
              </w:rPr>
              <w:t>联系电话：</w:t>
            </w:r>
          </w:p>
        </w:tc>
        <w:tc>
          <w:tcPr>
            <w:tcW w:w="4116" w:type="dxa"/>
            <w:vAlign w:val="center"/>
          </w:tcPr>
          <w:p w14:paraId="4EC21A02">
            <w:pPr>
              <w:pStyle w:val="21"/>
              <w:rPr>
                <w:color w:val="auto"/>
                <w:highlight w:val="none"/>
              </w:rPr>
            </w:pPr>
            <w:r>
              <w:rPr>
                <w:color w:val="auto"/>
                <w:highlight w:val="none"/>
              </w:rPr>
              <w:t>联系电话：</w:t>
            </w:r>
          </w:p>
        </w:tc>
      </w:tr>
      <w:tr w14:paraId="47C32C94">
        <w:tblPrEx>
          <w:tblCellMar>
            <w:top w:w="0" w:type="dxa"/>
            <w:left w:w="108" w:type="dxa"/>
            <w:bottom w:w="0" w:type="dxa"/>
            <w:right w:w="108" w:type="dxa"/>
          </w:tblCellMar>
        </w:tblPrEx>
        <w:trPr>
          <w:trHeight w:val="789" w:hRule="atLeast"/>
          <w:jc w:val="center"/>
        </w:trPr>
        <w:tc>
          <w:tcPr>
            <w:tcW w:w="5529" w:type="dxa"/>
            <w:vAlign w:val="center"/>
          </w:tcPr>
          <w:p w14:paraId="480B6754">
            <w:pPr>
              <w:pStyle w:val="21"/>
              <w:rPr>
                <w:color w:val="auto"/>
                <w:highlight w:val="none"/>
              </w:rPr>
            </w:pPr>
            <w:r>
              <w:rPr>
                <w:color w:val="auto"/>
                <w:highlight w:val="none"/>
              </w:rPr>
              <w:t>传真：</w:t>
            </w:r>
          </w:p>
        </w:tc>
        <w:tc>
          <w:tcPr>
            <w:tcW w:w="4116" w:type="dxa"/>
            <w:vAlign w:val="center"/>
          </w:tcPr>
          <w:p w14:paraId="399D8197">
            <w:pPr>
              <w:pStyle w:val="21"/>
              <w:rPr>
                <w:color w:val="auto"/>
                <w:highlight w:val="none"/>
              </w:rPr>
            </w:pPr>
            <w:r>
              <w:rPr>
                <w:color w:val="auto"/>
                <w:highlight w:val="none"/>
              </w:rPr>
              <w:t>传真：</w:t>
            </w:r>
          </w:p>
        </w:tc>
      </w:tr>
      <w:tr w14:paraId="472FB5B3">
        <w:tblPrEx>
          <w:tblCellMar>
            <w:top w:w="0" w:type="dxa"/>
            <w:left w:w="108" w:type="dxa"/>
            <w:bottom w:w="0" w:type="dxa"/>
            <w:right w:w="108" w:type="dxa"/>
          </w:tblCellMar>
        </w:tblPrEx>
        <w:trPr>
          <w:trHeight w:val="645" w:hRule="atLeast"/>
          <w:jc w:val="center"/>
        </w:trPr>
        <w:tc>
          <w:tcPr>
            <w:tcW w:w="5529" w:type="dxa"/>
            <w:vAlign w:val="center"/>
          </w:tcPr>
          <w:p w14:paraId="5A6BFB92">
            <w:pPr>
              <w:pStyle w:val="21"/>
              <w:rPr>
                <w:color w:val="auto"/>
                <w:highlight w:val="none"/>
              </w:rPr>
            </w:pPr>
            <w:r>
              <w:rPr>
                <w:color w:val="auto"/>
                <w:highlight w:val="none"/>
              </w:rPr>
              <w:t>签订日期：</w:t>
            </w:r>
            <w:r>
              <w:rPr>
                <w:rFonts w:hint="eastAsia"/>
                <w:color w:val="auto"/>
                <w:highlight w:val="none"/>
              </w:rPr>
              <w:t xml:space="preserve"> </w:t>
            </w:r>
            <w:r>
              <w:rPr>
                <w:color w:val="auto"/>
                <w:highlight w:val="none"/>
              </w:rPr>
              <w:t xml:space="preserve"> 年</w:t>
            </w:r>
            <w:r>
              <w:rPr>
                <w:rFonts w:hint="eastAsia"/>
                <w:color w:val="auto"/>
                <w:highlight w:val="none"/>
              </w:rPr>
              <w:t xml:space="preserve"> </w:t>
            </w:r>
            <w:r>
              <w:rPr>
                <w:color w:val="auto"/>
                <w:highlight w:val="none"/>
              </w:rPr>
              <w:t xml:space="preserve"> 月</w:t>
            </w:r>
            <w:r>
              <w:rPr>
                <w:rFonts w:hint="eastAsia"/>
                <w:color w:val="auto"/>
                <w:highlight w:val="none"/>
              </w:rPr>
              <w:t xml:space="preserve"> </w:t>
            </w:r>
            <w:r>
              <w:rPr>
                <w:color w:val="auto"/>
                <w:highlight w:val="none"/>
              </w:rPr>
              <w:t xml:space="preserve">  日</w:t>
            </w:r>
          </w:p>
        </w:tc>
        <w:tc>
          <w:tcPr>
            <w:tcW w:w="4116" w:type="dxa"/>
            <w:vAlign w:val="center"/>
          </w:tcPr>
          <w:p w14:paraId="22173C7F">
            <w:pPr>
              <w:pStyle w:val="21"/>
              <w:rPr>
                <w:color w:val="auto"/>
                <w:highlight w:val="none"/>
              </w:rPr>
            </w:pPr>
            <w:r>
              <w:rPr>
                <w:color w:val="auto"/>
                <w:highlight w:val="none"/>
              </w:rPr>
              <w:t>签订日期：</w:t>
            </w:r>
            <w:r>
              <w:rPr>
                <w:rFonts w:hint="eastAsia"/>
                <w:color w:val="auto"/>
                <w:highlight w:val="none"/>
              </w:rPr>
              <w:t xml:space="preserve"> </w:t>
            </w:r>
            <w:r>
              <w:rPr>
                <w:color w:val="auto"/>
                <w:highlight w:val="none"/>
              </w:rPr>
              <w:t xml:space="preserve"> 年</w:t>
            </w:r>
            <w:r>
              <w:rPr>
                <w:rFonts w:hint="eastAsia"/>
                <w:color w:val="auto"/>
                <w:highlight w:val="none"/>
              </w:rPr>
              <w:t xml:space="preserve"> </w:t>
            </w:r>
            <w:r>
              <w:rPr>
                <w:color w:val="auto"/>
                <w:highlight w:val="none"/>
              </w:rPr>
              <w:t xml:space="preserve"> 月</w:t>
            </w:r>
            <w:r>
              <w:rPr>
                <w:rFonts w:hint="eastAsia"/>
                <w:color w:val="auto"/>
                <w:highlight w:val="none"/>
              </w:rPr>
              <w:t xml:space="preserve"> </w:t>
            </w:r>
            <w:r>
              <w:rPr>
                <w:color w:val="auto"/>
                <w:highlight w:val="none"/>
              </w:rPr>
              <w:t xml:space="preserve"> 日</w:t>
            </w:r>
          </w:p>
        </w:tc>
      </w:tr>
    </w:tbl>
    <w:p w14:paraId="0D033773">
      <w:pPr>
        <w:pStyle w:val="21"/>
        <w:rPr>
          <w:color w:val="auto"/>
          <w:highlight w:val="none"/>
        </w:rPr>
      </w:pPr>
    </w:p>
    <w:p w14:paraId="459900C9">
      <w:pPr>
        <w:pStyle w:val="21"/>
        <w:jc w:val="left"/>
        <w:rPr>
          <w:color w:val="auto"/>
          <w:highlight w:val="none"/>
        </w:rPr>
      </w:pPr>
    </w:p>
    <w:p w14:paraId="77699727">
      <w:pPr>
        <w:jc w:val="left"/>
        <w:rPr>
          <w:color w:val="auto"/>
          <w:highlight w:val="none"/>
        </w:rPr>
      </w:pPr>
      <w:r>
        <w:rPr>
          <w:rFonts w:hint="eastAsia"/>
          <w:color w:val="auto"/>
          <w:highlight w:val="none"/>
        </w:rPr>
        <w:br w:type="page"/>
      </w:r>
    </w:p>
    <w:p w14:paraId="2B7FAB79">
      <w:pPr>
        <w:rPr>
          <w:color w:val="auto"/>
          <w:highlight w:val="none"/>
        </w:rPr>
      </w:pPr>
      <w:bookmarkStart w:id="7" w:name="_Toc157672285"/>
      <w:bookmarkStart w:id="8" w:name="_Toc8070"/>
      <w:r>
        <w:rPr>
          <w:rFonts w:hint="eastAsia"/>
          <w:color w:val="auto"/>
          <w:highlight w:val="none"/>
        </w:rPr>
        <w:t>附件1：投标报价清单</w:t>
      </w:r>
    </w:p>
    <w:p w14:paraId="7D6B33C1">
      <w:pPr>
        <w:rPr>
          <w:color w:val="auto"/>
          <w:highlight w:val="none"/>
        </w:rPr>
      </w:pPr>
      <w:r>
        <w:rPr>
          <w:rFonts w:hint="eastAsia"/>
          <w:color w:val="auto"/>
          <w:highlight w:val="none"/>
        </w:rPr>
        <w:br w:type="page"/>
      </w:r>
    </w:p>
    <w:p w14:paraId="75DA1C3B">
      <w:pPr>
        <w:rPr>
          <w:color w:val="auto"/>
          <w:highlight w:val="none"/>
        </w:rPr>
      </w:pPr>
      <w:r>
        <w:rPr>
          <w:rFonts w:hint="eastAsia"/>
          <w:color w:val="auto"/>
          <w:highlight w:val="none"/>
        </w:rPr>
        <w:t>附件2：拟投入本项目人员</w:t>
      </w:r>
    </w:p>
    <w:p w14:paraId="447C8440">
      <w:pPr>
        <w:rPr>
          <w:color w:val="auto"/>
          <w:highlight w:val="none"/>
        </w:rPr>
      </w:pPr>
      <w:r>
        <w:rPr>
          <w:rFonts w:hint="eastAsia"/>
          <w:color w:val="auto"/>
          <w:highlight w:val="none"/>
        </w:rPr>
        <w:br w:type="page"/>
      </w:r>
    </w:p>
    <w:p w14:paraId="32E28966">
      <w:bookmarkStart w:id="9" w:name="_GoBack"/>
      <w:r>
        <w:rPr>
          <w:rFonts w:hint="eastAsia"/>
          <w:color w:val="auto"/>
          <w:highlight w:val="none"/>
        </w:rPr>
        <w:t>附件3：拟投入本项目的工具、设备明细表</w:t>
      </w:r>
      <w:bookmarkEnd w:id="7"/>
      <w:bookmarkEnd w:id="8"/>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25E73"/>
    <w:multiLevelType w:val="multilevel"/>
    <w:tmpl w:val="5B825E73"/>
    <w:lvl w:ilvl="0" w:tentative="0">
      <w:start w:val="1"/>
      <w:numFmt w:val="chineseCountingThousand"/>
      <w:lvlText w:val="第%1章 "/>
      <w:lvlJc w:val="left"/>
      <w:pPr>
        <w:ind w:left="3990" w:firstLine="0"/>
      </w:pPr>
      <w:rPr>
        <w:rFonts w:hint="eastAsia" w:ascii="宋体" w:hAnsi="Times New Roman" w:eastAsia="宋体"/>
        <w:b/>
        <w:sz w:val="30"/>
        <w:u w:val="none"/>
      </w:rPr>
    </w:lvl>
    <w:lvl w:ilvl="1" w:tentative="0">
      <w:start w:val="1"/>
      <w:numFmt w:val="decimal"/>
      <w:pStyle w:val="4"/>
      <w:isLgl/>
      <w:lvlText w:val="%1.%2"/>
      <w:lvlJc w:val="left"/>
      <w:pPr>
        <w:ind w:left="0" w:firstLine="0"/>
      </w:pPr>
      <w:rPr>
        <w:rFonts w:hint="eastAsia" w:ascii="等线" w:hAnsi="宋体" w:eastAsia="等线"/>
        <w:b/>
        <w:sz w:val="28"/>
        <w:u w:val="none"/>
      </w:rPr>
    </w:lvl>
    <w:lvl w:ilvl="2" w:tentative="0">
      <w:start w:val="1"/>
      <w:numFmt w:val="decimal"/>
      <w:pStyle w:val="5"/>
      <w:isLgl/>
      <w:lvlText w:val="%1.%2.%3"/>
      <w:lvlJc w:val="left"/>
      <w:pPr>
        <w:ind w:left="2411" w:firstLine="0"/>
      </w:pPr>
      <w:rPr>
        <w:rFonts w:hint="eastAsia" w:ascii="等线" w:hAnsi="等线" w:eastAsia="等线"/>
        <w:b/>
        <w:sz w:val="24"/>
        <w:u w:val="none"/>
      </w:rPr>
    </w:lvl>
    <w:lvl w:ilvl="3" w:tentative="0">
      <w:start w:val="1"/>
      <w:numFmt w:val="decimal"/>
      <w:isLgl/>
      <w:lvlText w:val="%1.%2.%3.%4 "/>
      <w:lvlJc w:val="left"/>
      <w:pPr>
        <w:ind w:left="0" w:firstLine="0"/>
      </w:pPr>
      <w:rPr>
        <w:rFonts w:hint="eastAsia" w:ascii="等线" w:hAnsi="等线" w:eastAsia="等线"/>
        <w:b/>
        <w:sz w:val="24"/>
        <w:u w:val="none"/>
      </w:rPr>
    </w:lvl>
    <w:lvl w:ilvl="4" w:tentative="0">
      <w:start w:val="1"/>
      <w:numFmt w:val="decimal"/>
      <w:isLgl/>
      <w:lvlText w:val="%1.%2.%3.%4.%5"/>
      <w:lvlJc w:val="left"/>
      <w:pPr>
        <w:ind w:left="0" w:firstLine="0"/>
      </w:pPr>
      <w:rPr>
        <w:rFonts w:hint="default"/>
        <w:u w:val="none"/>
      </w:rPr>
    </w:lvl>
    <w:lvl w:ilvl="5" w:tentative="0">
      <w:start w:val="1"/>
      <w:numFmt w:val="decimal"/>
      <w:lvlText w:val="%1.%2.%3.%4.%5.%6"/>
      <w:lvlJc w:val="left"/>
      <w:pPr>
        <w:ind w:left="0" w:firstLine="0"/>
      </w:pPr>
      <w:rPr>
        <w:rFonts w:hint="default"/>
        <w:u w:val="none"/>
      </w:rPr>
    </w:lvl>
    <w:lvl w:ilvl="6" w:tentative="0">
      <w:start w:val="1"/>
      <w:numFmt w:val="decimal"/>
      <w:lvlText w:val="%1.%2.%3.%4.%5.%6.%7"/>
      <w:lvlJc w:val="left"/>
      <w:pPr>
        <w:ind w:left="0" w:firstLine="0"/>
      </w:pPr>
      <w:rPr>
        <w:rFonts w:hint="default"/>
        <w:u w:val="none"/>
      </w:rPr>
    </w:lvl>
    <w:lvl w:ilvl="7" w:tentative="0">
      <w:start w:val="1"/>
      <w:numFmt w:val="decimal"/>
      <w:lvlText w:val="%1.%2.%3.%4.%5.%6.%7.%8"/>
      <w:lvlJc w:val="left"/>
      <w:pPr>
        <w:ind w:left="0" w:firstLine="0"/>
      </w:pPr>
      <w:rPr>
        <w:rFonts w:hint="default"/>
        <w:u w:val="none"/>
      </w:rPr>
    </w:lvl>
    <w:lvl w:ilvl="8" w:tentative="0">
      <w:start w:val="1"/>
      <w:numFmt w:val="decimal"/>
      <w:lvlText w:val="%1.%2.%3.%4.%5.%6.%7.%8.%9"/>
      <w:lvlJc w:val="left"/>
      <w:pPr>
        <w:ind w:left="0" w:firstLine="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GQ0OWVkMDI5N2UzZmQ2NDhjMmNjMmJkNDg1OWUifQ=="/>
  </w:docVars>
  <w:rsids>
    <w:rsidRoot w:val="00172A27"/>
    <w:rsid w:val="00111CDC"/>
    <w:rsid w:val="00172A27"/>
    <w:rsid w:val="001F7F7E"/>
    <w:rsid w:val="00201013"/>
    <w:rsid w:val="00312E92"/>
    <w:rsid w:val="003572D1"/>
    <w:rsid w:val="003F08A9"/>
    <w:rsid w:val="00417DA0"/>
    <w:rsid w:val="004615B6"/>
    <w:rsid w:val="0046550B"/>
    <w:rsid w:val="004704D8"/>
    <w:rsid w:val="00511613"/>
    <w:rsid w:val="005B2446"/>
    <w:rsid w:val="005E4D31"/>
    <w:rsid w:val="00637AD1"/>
    <w:rsid w:val="006D55A9"/>
    <w:rsid w:val="006D5DE1"/>
    <w:rsid w:val="006E706A"/>
    <w:rsid w:val="00867120"/>
    <w:rsid w:val="009222AE"/>
    <w:rsid w:val="00931B6F"/>
    <w:rsid w:val="009536B2"/>
    <w:rsid w:val="009745B4"/>
    <w:rsid w:val="009849E3"/>
    <w:rsid w:val="009E100D"/>
    <w:rsid w:val="00A60962"/>
    <w:rsid w:val="00B213D1"/>
    <w:rsid w:val="00C5370F"/>
    <w:rsid w:val="00CE0311"/>
    <w:rsid w:val="00DC74C4"/>
    <w:rsid w:val="00DF3BAE"/>
    <w:rsid w:val="00E41FA7"/>
    <w:rsid w:val="00FA6894"/>
    <w:rsid w:val="00FE1E8C"/>
    <w:rsid w:val="012313A8"/>
    <w:rsid w:val="01B573C5"/>
    <w:rsid w:val="01D9415D"/>
    <w:rsid w:val="01DB7ED5"/>
    <w:rsid w:val="02236EC8"/>
    <w:rsid w:val="024E4859"/>
    <w:rsid w:val="02881E0B"/>
    <w:rsid w:val="02D7069C"/>
    <w:rsid w:val="03217B69"/>
    <w:rsid w:val="037204F9"/>
    <w:rsid w:val="03AF786B"/>
    <w:rsid w:val="03F37758"/>
    <w:rsid w:val="04910D1F"/>
    <w:rsid w:val="05015EA4"/>
    <w:rsid w:val="056F2E0E"/>
    <w:rsid w:val="073F1F2E"/>
    <w:rsid w:val="076C1D21"/>
    <w:rsid w:val="07F67816"/>
    <w:rsid w:val="08A70B11"/>
    <w:rsid w:val="08D13DE0"/>
    <w:rsid w:val="08E25E9D"/>
    <w:rsid w:val="09482FEC"/>
    <w:rsid w:val="095742E5"/>
    <w:rsid w:val="097C1F9D"/>
    <w:rsid w:val="0AC27E84"/>
    <w:rsid w:val="0B361AA6"/>
    <w:rsid w:val="0B9B4AEA"/>
    <w:rsid w:val="0C6F7B97"/>
    <w:rsid w:val="0D350DE1"/>
    <w:rsid w:val="0D470B14"/>
    <w:rsid w:val="0D4D6151"/>
    <w:rsid w:val="0D76784B"/>
    <w:rsid w:val="0E016F15"/>
    <w:rsid w:val="0E4A4418"/>
    <w:rsid w:val="0FBC30F4"/>
    <w:rsid w:val="10991687"/>
    <w:rsid w:val="10C304B2"/>
    <w:rsid w:val="1102722C"/>
    <w:rsid w:val="11785740"/>
    <w:rsid w:val="117B6908"/>
    <w:rsid w:val="11C40985"/>
    <w:rsid w:val="12704669"/>
    <w:rsid w:val="127F665A"/>
    <w:rsid w:val="133719CD"/>
    <w:rsid w:val="137B1518"/>
    <w:rsid w:val="14233D6D"/>
    <w:rsid w:val="143771ED"/>
    <w:rsid w:val="14490822"/>
    <w:rsid w:val="147F5996"/>
    <w:rsid w:val="149F2FE4"/>
    <w:rsid w:val="14E76398"/>
    <w:rsid w:val="1517701E"/>
    <w:rsid w:val="154D47EE"/>
    <w:rsid w:val="1573694A"/>
    <w:rsid w:val="15A9035E"/>
    <w:rsid w:val="1651030E"/>
    <w:rsid w:val="16BA5EB3"/>
    <w:rsid w:val="16F13FCB"/>
    <w:rsid w:val="170F26A3"/>
    <w:rsid w:val="19063631"/>
    <w:rsid w:val="19185113"/>
    <w:rsid w:val="1925432D"/>
    <w:rsid w:val="19864F33"/>
    <w:rsid w:val="199C7AF2"/>
    <w:rsid w:val="19C37774"/>
    <w:rsid w:val="1A705206"/>
    <w:rsid w:val="1ADD39CF"/>
    <w:rsid w:val="1B09565B"/>
    <w:rsid w:val="1B4A3CA9"/>
    <w:rsid w:val="1B593EEC"/>
    <w:rsid w:val="1B7447DC"/>
    <w:rsid w:val="1B776A68"/>
    <w:rsid w:val="1C0E2F29"/>
    <w:rsid w:val="1C1305C8"/>
    <w:rsid w:val="1CD04682"/>
    <w:rsid w:val="1CD557F5"/>
    <w:rsid w:val="1CEC39F6"/>
    <w:rsid w:val="1D1C1676"/>
    <w:rsid w:val="1D230C56"/>
    <w:rsid w:val="1D440BCC"/>
    <w:rsid w:val="1D962FA8"/>
    <w:rsid w:val="1DC75A85"/>
    <w:rsid w:val="1E2F3584"/>
    <w:rsid w:val="1E796CC9"/>
    <w:rsid w:val="1E8A6AB3"/>
    <w:rsid w:val="1E8E0351"/>
    <w:rsid w:val="1EAC4C7B"/>
    <w:rsid w:val="1EFA59E6"/>
    <w:rsid w:val="1FA53BA4"/>
    <w:rsid w:val="20000DDB"/>
    <w:rsid w:val="20E34258"/>
    <w:rsid w:val="21042B4C"/>
    <w:rsid w:val="216C336E"/>
    <w:rsid w:val="21B41138"/>
    <w:rsid w:val="23384D2F"/>
    <w:rsid w:val="23C16AD3"/>
    <w:rsid w:val="241237D2"/>
    <w:rsid w:val="2455546D"/>
    <w:rsid w:val="249917FE"/>
    <w:rsid w:val="24E231A5"/>
    <w:rsid w:val="257B7155"/>
    <w:rsid w:val="257F27A2"/>
    <w:rsid w:val="261C4494"/>
    <w:rsid w:val="261F3F85"/>
    <w:rsid w:val="27035654"/>
    <w:rsid w:val="27545EB0"/>
    <w:rsid w:val="27802801"/>
    <w:rsid w:val="27D83C71"/>
    <w:rsid w:val="27FA50F0"/>
    <w:rsid w:val="28137B19"/>
    <w:rsid w:val="28311967"/>
    <w:rsid w:val="28B906C0"/>
    <w:rsid w:val="28C8445F"/>
    <w:rsid w:val="28E079FB"/>
    <w:rsid w:val="296F27F7"/>
    <w:rsid w:val="2A3B6E4A"/>
    <w:rsid w:val="2B593A95"/>
    <w:rsid w:val="2BF13CCD"/>
    <w:rsid w:val="2C0C0B07"/>
    <w:rsid w:val="2C106849"/>
    <w:rsid w:val="2C363DD6"/>
    <w:rsid w:val="2C3C4A1B"/>
    <w:rsid w:val="2C4A31C2"/>
    <w:rsid w:val="2C61017C"/>
    <w:rsid w:val="2CF55A3F"/>
    <w:rsid w:val="2D1759B5"/>
    <w:rsid w:val="2DAA682A"/>
    <w:rsid w:val="2DE25FC3"/>
    <w:rsid w:val="2E2465DC"/>
    <w:rsid w:val="2E3205EC"/>
    <w:rsid w:val="2E8D63DF"/>
    <w:rsid w:val="2EAC037F"/>
    <w:rsid w:val="2F2820FC"/>
    <w:rsid w:val="2F350375"/>
    <w:rsid w:val="2FCE42D5"/>
    <w:rsid w:val="30234671"/>
    <w:rsid w:val="305D77F2"/>
    <w:rsid w:val="30711881"/>
    <w:rsid w:val="30BA6D84"/>
    <w:rsid w:val="3138414C"/>
    <w:rsid w:val="31401129"/>
    <w:rsid w:val="3140197F"/>
    <w:rsid w:val="322748ED"/>
    <w:rsid w:val="32E40BA6"/>
    <w:rsid w:val="331458E3"/>
    <w:rsid w:val="34384B8F"/>
    <w:rsid w:val="34BF2BBB"/>
    <w:rsid w:val="34D332F7"/>
    <w:rsid w:val="35843E04"/>
    <w:rsid w:val="358D2CB9"/>
    <w:rsid w:val="358E20E2"/>
    <w:rsid w:val="368035C3"/>
    <w:rsid w:val="370552ED"/>
    <w:rsid w:val="37486865"/>
    <w:rsid w:val="37643EED"/>
    <w:rsid w:val="379D2F5B"/>
    <w:rsid w:val="37D050DF"/>
    <w:rsid w:val="388C7258"/>
    <w:rsid w:val="390F7E89"/>
    <w:rsid w:val="395B6EDC"/>
    <w:rsid w:val="398B325D"/>
    <w:rsid w:val="399F120C"/>
    <w:rsid w:val="39DF4ACD"/>
    <w:rsid w:val="3A296D28"/>
    <w:rsid w:val="3ADB2718"/>
    <w:rsid w:val="3ADE5D64"/>
    <w:rsid w:val="3B223EA3"/>
    <w:rsid w:val="3B7C7A57"/>
    <w:rsid w:val="3BE70C49"/>
    <w:rsid w:val="3CEE3404"/>
    <w:rsid w:val="3D0F4103"/>
    <w:rsid w:val="3D7B789B"/>
    <w:rsid w:val="3DA05553"/>
    <w:rsid w:val="3E3A1504"/>
    <w:rsid w:val="3F806DA7"/>
    <w:rsid w:val="40552625"/>
    <w:rsid w:val="40730CFD"/>
    <w:rsid w:val="408C6167"/>
    <w:rsid w:val="4119483A"/>
    <w:rsid w:val="416878B5"/>
    <w:rsid w:val="41870F04"/>
    <w:rsid w:val="41AD53AC"/>
    <w:rsid w:val="422624CB"/>
    <w:rsid w:val="42473875"/>
    <w:rsid w:val="4251506E"/>
    <w:rsid w:val="43235BF9"/>
    <w:rsid w:val="43351583"/>
    <w:rsid w:val="43AC6094"/>
    <w:rsid w:val="44361A90"/>
    <w:rsid w:val="44BD3520"/>
    <w:rsid w:val="44E67CEF"/>
    <w:rsid w:val="45B24076"/>
    <w:rsid w:val="463A6B03"/>
    <w:rsid w:val="46A15FA0"/>
    <w:rsid w:val="46CD7CF1"/>
    <w:rsid w:val="475815FE"/>
    <w:rsid w:val="475C24EB"/>
    <w:rsid w:val="479B74B7"/>
    <w:rsid w:val="47ED3A8B"/>
    <w:rsid w:val="484C255F"/>
    <w:rsid w:val="487321E2"/>
    <w:rsid w:val="48C214EB"/>
    <w:rsid w:val="48C7414F"/>
    <w:rsid w:val="48E22EC4"/>
    <w:rsid w:val="49156DF5"/>
    <w:rsid w:val="494E5148"/>
    <w:rsid w:val="499A554C"/>
    <w:rsid w:val="4A421E6C"/>
    <w:rsid w:val="4B3F45FD"/>
    <w:rsid w:val="4B726781"/>
    <w:rsid w:val="4C3E6663"/>
    <w:rsid w:val="4C5D11DF"/>
    <w:rsid w:val="4D61085B"/>
    <w:rsid w:val="4E0336C0"/>
    <w:rsid w:val="4E7B76FB"/>
    <w:rsid w:val="4EDE412D"/>
    <w:rsid w:val="4FD277EE"/>
    <w:rsid w:val="5043693E"/>
    <w:rsid w:val="51234079"/>
    <w:rsid w:val="51DC0DF8"/>
    <w:rsid w:val="526D1A50"/>
    <w:rsid w:val="5285323E"/>
    <w:rsid w:val="52927709"/>
    <w:rsid w:val="5325232B"/>
    <w:rsid w:val="532C190B"/>
    <w:rsid w:val="533E519B"/>
    <w:rsid w:val="53AB7E09"/>
    <w:rsid w:val="53F23B3F"/>
    <w:rsid w:val="5415239F"/>
    <w:rsid w:val="554E6A19"/>
    <w:rsid w:val="55631679"/>
    <w:rsid w:val="557E0E9C"/>
    <w:rsid w:val="55A84A3B"/>
    <w:rsid w:val="55FA1CAB"/>
    <w:rsid w:val="561E1823"/>
    <w:rsid w:val="562651A0"/>
    <w:rsid w:val="563B3C13"/>
    <w:rsid w:val="573C5E95"/>
    <w:rsid w:val="57D8796C"/>
    <w:rsid w:val="581B1F4E"/>
    <w:rsid w:val="59637A12"/>
    <w:rsid w:val="5988716F"/>
    <w:rsid w:val="59EA1BBD"/>
    <w:rsid w:val="5ACB37B8"/>
    <w:rsid w:val="5ACD39D4"/>
    <w:rsid w:val="5B2D4472"/>
    <w:rsid w:val="5BD42B40"/>
    <w:rsid w:val="5BEC1C38"/>
    <w:rsid w:val="5BEC7680"/>
    <w:rsid w:val="5BF44F90"/>
    <w:rsid w:val="5C9261D9"/>
    <w:rsid w:val="5D0E2082"/>
    <w:rsid w:val="5D467A6D"/>
    <w:rsid w:val="5D4B0BE0"/>
    <w:rsid w:val="5FA647F3"/>
    <w:rsid w:val="5FC44C79"/>
    <w:rsid w:val="5FCF78A6"/>
    <w:rsid w:val="60275934"/>
    <w:rsid w:val="60340051"/>
    <w:rsid w:val="60820DBC"/>
    <w:rsid w:val="609A4358"/>
    <w:rsid w:val="60D809DC"/>
    <w:rsid w:val="610E08A2"/>
    <w:rsid w:val="61542FD0"/>
    <w:rsid w:val="6155202D"/>
    <w:rsid w:val="61AD3C17"/>
    <w:rsid w:val="62F00A61"/>
    <w:rsid w:val="630A5F7C"/>
    <w:rsid w:val="6329551F"/>
    <w:rsid w:val="634C3904"/>
    <w:rsid w:val="6377272F"/>
    <w:rsid w:val="64DE7116"/>
    <w:rsid w:val="64E35BA2"/>
    <w:rsid w:val="64E9765C"/>
    <w:rsid w:val="65527240"/>
    <w:rsid w:val="66546D57"/>
    <w:rsid w:val="666845B1"/>
    <w:rsid w:val="673B3A73"/>
    <w:rsid w:val="67CD72A6"/>
    <w:rsid w:val="68D73CC4"/>
    <w:rsid w:val="69085BD7"/>
    <w:rsid w:val="6919076D"/>
    <w:rsid w:val="69796AD5"/>
    <w:rsid w:val="6994390F"/>
    <w:rsid w:val="6A152BF7"/>
    <w:rsid w:val="6A3C6480"/>
    <w:rsid w:val="6A687275"/>
    <w:rsid w:val="6A6E63B7"/>
    <w:rsid w:val="6A7A48B2"/>
    <w:rsid w:val="6ABC5890"/>
    <w:rsid w:val="6B182A49"/>
    <w:rsid w:val="6B217424"/>
    <w:rsid w:val="6BEE7306"/>
    <w:rsid w:val="6CE759B6"/>
    <w:rsid w:val="6D06067F"/>
    <w:rsid w:val="6DF80910"/>
    <w:rsid w:val="6E000D71"/>
    <w:rsid w:val="6E3A0F28"/>
    <w:rsid w:val="6E641B01"/>
    <w:rsid w:val="6EDD18B4"/>
    <w:rsid w:val="6F9603E0"/>
    <w:rsid w:val="70187047"/>
    <w:rsid w:val="70194B6E"/>
    <w:rsid w:val="70587444"/>
    <w:rsid w:val="70F96E79"/>
    <w:rsid w:val="71982F27"/>
    <w:rsid w:val="71BB2380"/>
    <w:rsid w:val="72192C03"/>
    <w:rsid w:val="724D0AFE"/>
    <w:rsid w:val="72536115"/>
    <w:rsid w:val="739E7006"/>
    <w:rsid w:val="74575C64"/>
    <w:rsid w:val="745D14CD"/>
    <w:rsid w:val="7476454E"/>
    <w:rsid w:val="75322959"/>
    <w:rsid w:val="75926953"/>
    <w:rsid w:val="75996F54"/>
    <w:rsid w:val="7702635B"/>
    <w:rsid w:val="779B7998"/>
    <w:rsid w:val="7800446F"/>
    <w:rsid w:val="784D3606"/>
    <w:rsid w:val="793842B6"/>
    <w:rsid w:val="7A3C7DD6"/>
    <w:rsid w:val="7A765096"/>
    <w:rsid w:val="7AB45BBF"/>
    <w:rsid w:val="7B450F0D"/>
    <w:rsid w:val="7BE225CF"/>
    <w:rsid w:val="7C5232BC"/>
    <w:rsid w:val="7C6170A1"/>
    <w:rsid w:val="7DC66335"/>
    <w:rsid w:val="7DCD33F4"/>
    <w:rsid w:val="7DEE13E8"/>
    <w:rsid w:val="7E096221"/>
    <w:rsid w:val="7EF315F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120" w:after="120" w:line="360" w:lineRule="auto"/>
      <w:outlineLvl w:val="1"/>
    </w:pPr>
    <w:rPr>
      <w:rFonts w:hint="eastAsia" w:ascii="等线 Light" w:hAnsi="等线 Light" w:eastAsia="等线 Light"/>
      <w:b/>
      <w:sz w:val="28"/>
      <w:szCs w:val="32"/>
    </w:rPr>
  </w:style>
  <w:style w:type="paragraph" w:styleId="5">
    <w:name w:val="heading 3"/>
    <w:basedOn w:val="1"/>
    <w:next w:val="1"/>
    <w:unhideWhenUsed/>
    <w:qFormat/>
    <w:uiPriority w:val="9"/>
    <w:pPr>
      <w:keepNext/>
      <w:keepLines/>
      <w:numPr>
        <w:ilvl w:val="2"/>
        <w:numId w:val="1"/>
      </w:numPr>
      <w:spacing w:before="120" w:after="120" w:line="360" w:lineRule="auto"/>
      <w:jc w:val="left"/>
      <w:outlineLvl w:val="2"/>
    </w:pPr>
    <w:rPr>
      <w:rFonts w:hint="eastAsia"/>
      <w:b/>
      <w:sz w:val="24"/>
      <w:szCs w:val="24"/>
    </w:rPr>
  </w:style>
  <w:style w:type="paragraph" w:styleId="6">
    <w:name w:val="heading 4"/>
    <w:basedOn w:val="1"/>
    <w:next w:val="1"/>
    <w:link w:val="32"/>
    <w:qFormat/>
    <w:uiPriority w:val="9"/>
    <w:pPr>
      <w:keepNext/>
      <w:keepLines/>
      <w:spacing w:before="280" w:after="290" w:line="376" w:lineRule="auto"/>
      <w:outlineLvl w:val="3"/>
    </w:pPr>
    <w:rPr>
      <w:rFonts w:ascii="等线 Light" w:hAnsi="等线 Light" w:eastAsia="等线 Light" w:cs="宋体"/>
      <w:b/>
      <w:bCs/>
      <w:sz w:val="28"/>
      <w:szCs w:val="28"/>
    </w:rPr>
  </w:style>
  <w:style w:type="paragraph" w:styleId="7">
    <w:name w:val="heading 5"/>
    <w:basedOn w:val="1"/>
    <w:next w:val="1"/>
    <w:link w:val="34"/>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Body Text 21"/>
    <w:basedOn w:val="1"/>
    <w:qFormat/>
    <w:uiPriority w:val="0"/>
    <w:pPr>
      <w:spacing w:before="120"/>
    </w:pPr>
    <w:rPr>
      <w:rFonts w:ascii="Arial" w:hAnsi="Arial"/>
      <w:sz w:val="24"/>
    </w:rPr>
  </w:style>
  <w:style w:type="paragraph" w:styleId="8">
    <w:name w:val="annotation text"/>
    <w:basedOn w:val="1"/>
    <w:link w:val="35"/>
    <w:qFormat/>
    <w:uiPriority w:val="99"/>
    <w:pPr>
      <w:jc w:val="left"/>
    </w:pPr>
  </w:style>
  <w:style w:type="paragraph" w:styleId="9">
    <w:name w:val="Body Text"/>
    <w:basedOn w:val="1"/>
    <w:qFormat/>
    <w:uiPriority w:val="0"/>
    <w:pPr>
      <w:spacing w:line="360" w:lineRule="auto"/>
      <w:ind w:firstLine="400" w:firstLineChars="200"/>
    </w:pPr>
    <w:rPr>
      <w:rFonts w:ascii="Times New Roman" w:hAnsi="Times New Roman" w:cs="宋体"/>
      <w:sz w:val="24"/>
      <w:szCs w:val="24"/>
      <w:lang w:val="zh-CN" w:bidi="zh-CN"/>
    </w:rPr>
  </w:style>
  <w:style w:type="paragraph" w:styleId="10">
    <w:name w:val="Date"/>
    <w:basedOn w:val="1"/>
    <w:next w:val="1"/>
    <w:link w:val="40"/>
    <w:qFormat/>
    <w:uiPriority w:val="99"/>
    <w:pPr>
      <w:ind w:left="100" w:leftChars="2500"/>
    </w:pPr>
  </w:style>
  <w:style w:type="paragraph" w:styleId="11">
    <w:name w:val="Balloon Text"/>
    <w:basedOn w:val="1"/>
    <w:link w:val="43"/>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5">
    <w:name w:val="annotation subject"/>
    <w:basedOn w:val="8"/>
    <w:next w:val="8"/>
    <w:link w:val="36"/>
    <w:qFormat/>
    <w:uiPriority w:val="99"/>
    <w:rPr>
      <w:b/>
      <w:bCs/>
    </w:rPr>
  </w:style>
  <w:style w:type="character" w:styleId="18">
    <w:name w:val="annotation reference"/>
    <w:basedOn w:val="17"/>
    <w:qFormat/>
    <w:uiPriority w:val="99"/>
    <w:rPr>
      <w:sz w:val="21"/>
      <w:szCs w:val="21"/>
    </w:rPr>
  </w:style>
  <w:style w:type="character" w:customStyle="1" w:styleId="19">
    <w:name w:val="标题 1 Char1"/>
    <w:basedOn w:val="17"/>
    <w:link w:val="3"/>
    <w:qFormat/>
    <w:uiPriority w:val="0"/>
    <w:rPr>
      <w:rFonts w:ascii="Calibri" w:hAnsi="Calibri" w:eastAsia="宋体" w:cs="Times New Roman"/>
      <w:b/>
      <w:bCs/>
      <w:kern w:val="44"/>
      <w:sz w:val="44"/>
      <w:szCs w:val="44"/>
    </w:rPr>
  </w:style>
  <w:style w:type="paragraph" w:customStyle="1" w:styleId="20">
    <w:name w:val="标题 1_0"/>
    <w:basedOn w:val="21"/>
    <w:next w:val="21"/>
    <w:link w:val="22"/>
    <w:qFormat/>
    <w:uiPriority w:val="0"/>
    <w:pPr>
      <w:keepNext/>
      <w:ind w:right="-439" w:rightChars="-209" w:firstLine="964"/>
      <w:jc w:val="center"/>
      <w:outlineLvl w:val="0"/>
    </w:pPr>
    <w:rPr>
      <w:rFonts w:ascii="宋体"/>
      <w:b/>
      <w:bCs/>
      <w:kern w:val="0"/>
      <w:sz w:val="48"/>
      <w:szCs w:val="24"/>
    </w:rPr>
  </w:style>
  <w:style w:type="paragraph" w:customStyle="1" w:styleId="21">
    <w:name w:val="正文_1"/>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2"/>
      <w:lang w:val="en-US" w:eastAsia="zh-CN" w:bidi="ar-SA"/>
    </w:rPr>
  </w:style>
  <w:style w:type="character" w:customStyle="1" w:styleId="22">
    <w:name w:val="标题 1 Char"/>
    <w:link w:val="20"/>
    <w:qFormat/>
    <w:uiPriority w:val="0"/>
    <w:rPr>
      <w:rFonts w:ascii="宋体" w:hAnsi="Times New Roman" w:cs="Times New Roman"/>
      <w:b/>
      <w:bCs/>
      <w:sz w:val="48"/>
      <w:szCs w:val="24"/>
    </w:rPr>
  </w:style>
  <w:style w:type="paragraph" w:customStyle="1" w:styleId="23">
    <w:name w:val="纯文本_1"/>
    <w:basedOn w:val="21"/>
    <w:link w:val="24"/>
    <w:qFormat/>
    <w:uiPriority w:val="0"/>
    <w:rPr>
      <w:rFonts w:ascii="宋体"/>
      <w:kern w:val="0"/>
      <w:sz w:val="20"/>
      <w:szCs w:val="24"/>
    </w:rPr>
  </w:style>
  <w:style w:type="character" w:customStyle="1" w:styleId="24">
    <w:name w:val="纯文本 Char_0"/>
    <w:link w:val="23"/>
    <w:qFormat/>
    <w:uiPriority w:val="0"/>
    <w:rPr>
      <w:rFonts w:ascii="宋体" w:hAnsi="Times New Roman" w:eastAsia="宋体" w:cs="Times New Roman"/>
      <w:kern w:val="0"/>
      <w:sz w:val="20"/>
      <w:szCs w:val="24"/>
    </w:rPr>
  </w:style>
  <w:style w:type="paragraph" w:customStyle="1" w:styleId="25">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页眉 Char"/>
    <w:basedOn w:val="17"/>
    <w:link w:val="13"/>
    <w:qFormat/>
    <w:uiPriority w:val="99"/>
    <w:rPr>
      <w:rFonts w:ascii="Calibri" w:hAnsi="Calibri" w:eastAsia="宋体" w:cs="Times New Roman"/>
      <w:sz w:val="18"/>
      <w:szCs w:val="18"/>
    </w:rPr>
  </w:style>
  <w:style w:type="character" w:customStyle="1" w:styleId="28">
    <w:name w:val="页脚 Char"/>
    <w:basedOn w:val="17"/>
    <w:link w:val="12"/>
    <w:qFormat/>
    <w:uiPriority w:val="99"/>
    <w:rPr>
      <w:rFonts w:ascii="Calibri" w:hAnsi="Calibri" w:eastAsia="宋体" w:cs="Times New Roman"/>
      <w:sz w:val="18"/>
      <w:szCs w:val="18"/>
    </w:rPr>
  </w:style>
  <w:style w:type="character" w:customStyle="1" w:styleId="29">
    <w:name w:val="font01"/>
    <w:basedOn w:val="17"/>
    <w:qFormat/>
    <w:uiPriority w:val="0"/>
    <w:rPr>
      <w:rFonts w:hint="eastAsia" w:ascii="宋体" w:hAnsi="宋体" w:eastAsia="宋体" w:cs="宋体"/>
      <w:color w:val="000000"/>
      <w:sz w:val="18"/>
      <w:szCs w:val="18"/>
      <w:u w:val="none"/>
    </w:rPr>
  </w:style>
  <w:style w:type="character" w:customStyle="1" w:styleId="30">
    <w:name w:val="font61"/>
    <w:basedOn w:val="17"/>
    <w:qFormat/>
    <w:uiPriority w:val="0"/>
    <w:rPr>
      <w:rFonts w:hint="default" w:ascii="Times New Roman" w:hAnsi="Times New Roman" w:cs="Times New Roman"/>
      <w:color w:val="000000"/>
      <w:sz w:val="18"/>
      <w:szCs w:val="18"/>
      <w:u w:val="none"/>
    </w:rPr>
  </w:style>
  <w:style w:type="paragraph" w:customStyle="1" w:styleId="31">
    <w:name w:val="条文1 Char"/>
    <w:basedOn w:val="1"/>
    <w:qFormat/>
    <w:uiPriority w:val="0"/>
    <w:pPr>
      <w:spacing w:line="360" w:lineRule="auto"/>
      <w:ind w:left="420" w:hanging="420"/>
    </w:pPr>
    <w:rPr>
      <w:rFonts w:hint="eastAsia" w:ascii="MS UI Gothic" w:hAnsi="MS UI Gothic" w:eastAsia="等线"/>
      <w:bCs/>
      <w:kern w:val="44"/>
      <w:sz w:val="24"/>
      <w:szCs w:val="44"/>
    </w:rPr>
  </w:style>
  <w:style w:type="character" w:customStyle="1" w:styleId="32">
    <w:name w:val="标题 4 Char"/>
    <w:basedOn w:val="17"/>
    <w:link w:val="6"/>
    <w:qFormat/>
    <w:uiPriority w:val="9"/>
    <w:rPr>
      <w:rFonts w:ascii="等线 Light" w:hAnsi="等线 Light" w:eastAsia="等线 Light" w:cs="宋体"/>
      <w:b/>
      <w:bCs/>
      <w:sz w:val="28"/>
      <w:szCs w:val="28"/>
    </w:rPr>
  </w:style>
  <w:style w:type="paragraph" w:customStyle="1" w:styleId="3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5 Char"/>
    <w:basedOn w:val="17"/>
    <w:link w:val="7"/>
    <w:qFormat/>
    <w:uiPriority w:val="9"/>
    <w:rPr>
      <w:rFonts w:ascii="Calibri" w:hAnsi="Calibri" w:eastAsia="宋体" w:cs="Times New Roman"/>
      <w:b/>
      <w:bCs/>
      <w:sz w:val="28"/>
      <w:szCs w:val="28"/>
    </w:rPr>
  </w:style>
  <w:style w:type="character" w:customStyle="1" w:styleId="35">
    <w:name w:val="批注文字 Char"/>
    <w:basedOn w:val="17"/>
    <w:link w:val="8"/>
    <w:qFormat/>
    <w:uiPriority w:val="99"/>
    <w:rPr>
      <w:rFonts w:cs="Times New Roman"/>
      <w:kern w:val="2"/>
      <w:sz w:val="21"/>
      <w:szCs w:val="22"/>
    </w:rPr>
  </w:style>
  <w:style w:type="character" w:customStyle="1" w:styleId="36">
    <w:name w:val="批注主题 Char"/>
    <w:basedOn w:val="35"/>
    <w:link w:val="15"/>
    <w:qFormat/>
    <w:uiPriority w:val="99"/>
    <w:rPr>
      <w:rFonts w:ascii="Calibri" w:hAnsi="Calibri" w:eastAsia="宋体" w:cs="Times New Roman"/>
      <w:b/>
      <w:bCs/>
      <w:kern w:val="2"/>
      <w:sz w:val="21"/>
      <w:szCs w:val="22"/>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文一"/>
    <w:basedOn w:val="21"/>
    <w:qFormat/>
    <w:uiPriority w:val="0"/>
    <w:pPr>
      <w:topLinePunct/>
      <w:ind w:firstLine="200"/>
    </w:pPr>
    <w:rPr>
      <w:rFonts w:ascii="Calibri" w:hAnsi="Calibri"/>
      <w:snapToGrid w:val="0"/>
      <w:spacing w:val="4"/>
      <w:sz w:val="24"/>
      <w:szCs w:val="24"/>
    </w:rPr>
  </w:style>
  <w:style w:type="paragraph" w:customStyle="1" w:styleId="39">
    <w:name w:val="纯文本_0"/>
    <w:basedOn w:val="37"/>
    <w:qFormat/>
    <w:uiPriority w:val="0"/>
    <w:rPr>
      <w:rFonts w:ascii="宋体" w:hAnsi="Times New Roman"/>
      <w:szCs w:val="24"/>
    </w:rPr>
  </w:style>
  <w:style w:type="character" w:customStyle="1" w:styleId="40">
    <w:name w:val="日期 Char"/>
    <w:basedOn w:val="17"/>
    <w:link w:val="10"/>
    <w:qFormat/>
    <w:uiPriority w:val="99"/>
    <w:rPr>
      <w:rFonts w:ascii="Calibri" w:hAnsi="Calibri" w:eastAsia="宋体" w:cs="Times New Roman"/>
      <w:kern w:val="2"/>
      <w:sz w:val="21"/>
      <w:szCs w:val="22"/>
    </w:rPr>
  </w:style>
  <w:style w:type="paragraph" w:styleId="41">
    <w:name w:val="List Paragraph"/>
    <w:basedOn w:val="1"/>
    <w:qFormat/>
    <w:uiPriority w:val="99"/>
    <w:pPr>
      <w:ind w:firstLine="420" w:firstLineChars="200"/>
    </w:pPr>
  </w:style>
  <w:style w:type="paragraph" w:customStyle="1" w:styleId="42">
    <w:name w:val="修订1"/>
    <w:hidden/>
    <w:unhideWhenUsed/>
    <w:qFormat/>
    <w:uiPriority w:val="99"/>
    <w:rPr>
      <w:rFonts w:ascii="Calibri" w:hAnsi="Calibri" w:eastAsia="宋体" w:cs="Times New Roman"/>
      <w:kern w:val="2"/>
      <w:sz w:val="21"/>
      <w:szCs w:val="22"/>
      <w:lang w:val="en-US" w:eastAsia="zh-CN" w:bidi="ar-SA"/>
    </w:rPr>
  </w:style>
  <w:style w:type="character" w:customStyle="1" w:styleId="43">
    <w:name w:val="批注框文本 Char"/>
    <w:basedOn w:val="17"/>
    <w:link w:val="11"/>
    <w:qFormat/>
    <w:uiPriority w:val="0"/>
    <w:rPr>
      <w:rFonts w:cs="Times New Roman"/>
      <w:kern w:val="2"/>
      <w:sz w:val="18"/>
      <w:szCs w:val="18"/>
    </w:rPr>
  </w:style>
  <w:style w:type="paragraph" w:customStyle="1" w:styleId="44">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10327</Words>
  <Characters>10809</Characters>
  <Lines>79</Lines>
  <Paragraphs>22</Paragraphs>
  <TotalTime>30</TotalTime>
  <ScaleCrop>false</ScaleCrop>
  <LinksUpToDate>false</LinksUpToDate>
  <CharactersWithSpaces>11003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2025-08-04T02:06:00Z</dcterms:created>
  <dc:creator>WANG</dc:creator>
  <cp:lastModifiedBy>USER</cp:lastModifiedBy>
  <cp:lastPrinted>2025-07-28T07:44:00Z</cp:lastPrinted>
  <dcterms:modified xsi:type="dcterms:W3CDTF">2025-08-06T04:02:45Z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47D23802AA40492694D0D7D42F54DE6A_13</vt:lpwstr>
  </property>
  <property fmtid="{D5CDD505-2E9C-101B-9397-08002B2CF9AE}" pid="4" name="KSOTemplateDocerSaveRecord">
    <vt:lpwstr>eyJoZGlkIjoiYzFmM2UyNmExMGFkOTdkNDE4YTQyNjA4NjVjNTk1ODciLCJ1c2VySWQiOiIyODM1MzYwNDEifQ==</vt:lpwstr>
  </property>
</Properties>
</file>