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3040C">
      <w:pPr>
        <w:spacing w:line="360" w:lineRule="auto"/>
        <w:ind w:left="359" w:leftChars="171"/>
        <w:jc w:val="left"/>
        <w:rPr>
          <w:rFonts w:ascii="宋体" w:hAnsi="宋体" w:cs="宋体"/>
          <w:b/>
          <w:bCs/>
          <w:color w:val="auto"/>
          <w:spacing w:val="40"/>
          <w:sz w:val="44"/>
          <w:szCs w:val="44"/>
          <w:highlight w:val="none"/>
        </w:rPr>
      </w:pPr>
    </w:p>
    <w:p w14:paraId="15579573">
      <w:pPr>
        <w:spacing w:line="360" w:lineRule="auto"/>
        <w:rPr>
          <w:rFonts w:ascii="宋体" w:hAnsi="宋体" w:cs="宋体"/>
          <w:b/>
          <w:bCs/>
          <w:color w:val="auto"/>
          <w:spacing w:val="40"/>
          <w:sz w:val="44"/>
          <w:szCs w:val="44"/>
          <w:highlight w:val="none"/>
        </w:rPr>
      </w:pPr>
    </w:p>
    <w:p w14:paraId="3D35DCE7">
      <w:pPr>
        <w:spacing w:line="360" w:lineRule="auto"/>
        <w:jc w:val="center"/>
        <w:rPr>
          <w:rFonts w:hint="eastAsia" w:ascii="宋体" w:hAnsi="宋体" w:eastAsia="宋体" w:cs="宋体"/>
          <w:b/>
          <w:bCs/>
          <w:color w:val="auto"/>
          <w:spacing w:val="40"/>
          <w:sz w:val="56"/>
          <w:szCs w:val="72"/>
          <w:highlight w:val="none"/>
          <w:u w:val="none"/>
          <w:lang w:eastAsia="zh-CN"/>
        </w:rPr>
      </w:pPr>
      <w:r>
        <w:rPr>
          <w:rFonts w:hint="eastAsia" w:ascii="宋体" w:hAnsi="宋体" w:cs="宋体"/>
          <w:b/>
          <w:bCs/>
          <w:color w:val="auto"/>
          <w:spacing w:val="40"/>
          <w:sz w:val="56"/>
          <w:szCs w:val="72"/>
          <w:highlight w:val="none"/>
          <w:lang w:eastAsia="zh-CN"/>
        </w:rPr>
        <w:t>广州国际文化中心项目10KV备用回路工程施工专业承包</w:t>
      </w:r>
    </w:p>
    <w:p w14:paraId="3C0E56EA">
      <w:pPr>
        <w:spacing w:line="360" w:lineRule="auto"/>
        <w:rPr>
          <w:rFonts w:ascii="宋体" w:hAnsi="宋体" w:cs="宋体"/>
          <w:b/>
          <w:bCs/>
          <w:color w:val="auto"/>
          <w:spacing w:val="26"/>
          <w:sz w:val="110"/>
          <w:szCs w:val="110"/>
          <w:highlight w:val="none"/>
        </w:rPr>
      </w:pPr>
    </w:p>
    <w:p w14:paraId="34BA83CF">
      <w:pPr>
        <w:pStyle w:val="23"/>
        <w:rPr>
          <w:rFonts w:hAnsi="宋体" w:cs="宋体"/>
          <w:color w:val="auto"/>
          <w:highlight w:val="none"/>
        </w:rPr>
      </w:pPr>
    </w:p>
    <w:p w14:paraId="1F9879BA">
      <w:pPr>
        <w:spacing w:line="360" w:lineRule="auto"/>
        <w:jc w:val="center"/>
        <w:rPr>
          <w:rFonts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14:paraId="7BEBEF30">
      <w:pPr>
        <w:spacing w:line="360" w:lineRule="auto"/>
        <w:jc w:val="center"/>
        <w:rPr>
          <w:rFonts w:ascii="宋体" w:hAnsi="宋体" w:eastAsia="宋体" w:cs="宋体"/>
          <w:color w:val="auto"/>
          <w:sz w:val="32"/>
          <w:highlight w:val="none"/>
        </w:rPr>
      </w:pPr>
    </w:p>
    <w:p w14:paraId="17F5C01B">
      <w:pPr>
        <w:spacing w:line="360" w:lineRule="auto"/>
        <w:ind w:firstLine="0" w:firstLineChars="0"/>
        <w:jc w:val="center"/>
        <w:rPr>
          <w:rFonts w:ascii="宋体" w:hAnsi="宋体" w:eastAsia="宋体" w:cs="宋体"/>
          <w:color w:val="auto"/>
          <w:sz w:val="32"/>
          <w:highlight w:val="none"/>
        </w:rPr>
      </w:pPr>
    </w:p>
    <w:p w14:paraId="4C4EF883">
      <w:pPr>
        <w:spacing w:line="360" w:lineRule="auto"/>
        <w:jc w:val="center"/>
        <w:rPr>
          <w:rFonts w:ascii="宋体" w:hAnsi="宋体" w:eastAsia="宋体" w:cs="宋体"/>
          <w:color w:val="auto"/>
          <w:sz w:val="32"/>
          <w:szCs w:val="22"/>
          <w:highlight w:val="none"/>
        </w:rPr>
      </w:pPr>
    </w:p>
    <w:p w14:paraId="1C13C273">
      <w:pPr>
        <w:spacing w:line="360" w:lineRule="auto"/>
        <w:ind w:firstLine="0" w:firstLineChars="0"/>
        <w:jc w:val="center"/>
        <w:rPr>
          <w:rFonts w:ascii="宋体" w:hAnsi="宋体" w:eastAsia="宋体" w:cs="宋体"/>
          <w:color w:val="auto"/>
          <w:sz w:val="32"/>
          <w:szCs w:val="22"/>
          <w:highlight w:val="none"/>
        </w:rPr>
      </w:pPr>
    </w:p>
    <w:p w14:paraId="1AF40DC6">
      <w:pPr>
        <w:spacing w:line="360" w:lineRule="auto"/>
        <w:jc w:val="center"/>
        <w:rPr>
          <w:rFonts w:ascii="宋体" w:hAnsi="宋体" w:eastAsia="宋体" w:cs="宋体"/>
          <w:color w:val="auto"/>
          <w:sz w:val="32"/>
          <w:szCs w:val="22"/>
          <w:highlight w:val="none"/>
        </w:rPr>
      </w:pPr>
    </w:p>
    <w:p w14:paraId="64D67627">
      <w:pPr>
        <w:spacing w:line="360" w:lineRule="auto"/>
        <w:jc w:val="center"/>
        <w:rPr>
          <w:rFonts w:ascii="宋体" w:hAnsi="宋体" w:eastAsia="宋体" w:cs="宋体"/>
          <w:color w:val="auto"/>
          <w:sz w:val="32"/>
          <w:szCs w:val="22"/>
          <w:highlight w:val="none"/>
        </w:rPr>
      </w:pPr>
    </w:p>
    <w:p w14:paraId="40B40730">
      <w:pPr>
        <w:spacing w:line="360" w:lineRule="auto"/>
        <w:jc w:val="center"/>
        <w:rPr>
          <w:rFonts w:ascii="宋体" w:hAnsi="宋体" w:eastAsia="宋体" w:cs="宋体"/>
          <w:color w:val="auto"/>
          <w:sz w:val="32"/>
          <w:highlight w:val="none"/>
        </w:rPr>
      </w:pPr>
    </w:p>
    <w:p w14:paraId="663AF062">
      <w:pPr>
        <w:spacing w:line="360" w:lineRule="auto"/>
        <w:jc w:val="center"/>
        <w:rPr>
          <w:rFonts w:ascii="宋体" w:hAnsi="宋体" w:eastAsia="宋体" w:cs="宋体"/>
          <w:color w:val="auto"/>
          <w:sz w:val="32"/>
          <w:highlight w:val="none"/>
        </w:rPr>
      </w:pPr>
    </w:p>
    <w:p w14:paraId="05BB53E2">
      <w:pPr>
        <w:keepNext w:val="0"/>
        <w:keepLines w:val="0"/>
        <w:pageBreakBefore w:val="0"/>
        <w:kinsoku/>
        <w:wordWrap/>
        <w:overflowPunct/>
        <w:topLinePunct w:val="0"/>
        <w:autoSpaceDE/>
        <w:autoSpaceDN/>
        <w:bidi w:val="0"/>
        <w:adjustRightInd/>
        <w:spacing w:line="360" w:lineRule="auto"/>
        <w:ind w:left="0" w:leftChars="0" w:firstLine="1480" w:firstLineChars="296"/>
        <w:textAlignment w:val="auto"/>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pacing w:val="100"/>
          <w:kern w:val="0"/>
          <w:sz w:val="30"/>
          <w:szCs w:val="30"/>
          <w:highlight w:val="none"/>
          <w:u w:val="none"/>
          <w:fitText w:val="1800" w:id="2042567829"/>
        </w:rPr>
        <w:t>招标单</w:t>
      </w:r>
      <w:r>
        <w:rPr>
          <w:rFonts w:hint="eastAsia" w:ascii="宋体" w:hAnsi="宋体" w:eastAsia="宋体" w:cs="宋体"/>
          <w:color w:val="auto"/>
          <w:spacing w:val="0"/>
          <w:kern w:val="0"/>
          <w:sz w:val="30"/>
          <w:szCs w:val="30"/>
          <w:highlight w:val="none"/>
          <w:u w:val="none"/>
          <w:fitText w:val="1800" w:id="2042567829"/>
        </w:rPr>
        <w:t>位</w:t>
      </w:r>
      <w:r>
        <w:rPr>
          <w:rFonts w:hint="eastAsia" w:ascii="宋体" w:hAnsi="宋体" w:eastAsia="宋体" w:cs="宋体"/>
          <w:color w:val="auto"/>
          <w:sz w:val="30"/>
          <w:szCs w:val="30"/>
          <w:highlight w:val="none"/>
          <w:u w:val="none"/>
        </w:rPr>
        <w:t>：</w:t>
      </w:r>
      <w:r>
        <w:rPr>
          <w:rFonts w:hint="eastAsia" w:ascii="宋体" w:hAnsi="宋体" w:eastAsia="宋体" w:cs="宋体"/>
          <w:color w:val="auto"/>
          <w:sz w:val="30"/>
          <w:szCs w:val="30"/>
          <w:highlight w:val="none"/>
          <w:u w:val="single"/>
          <w:lang w:eastAsia="zh-CN"/>
        </w:rPr>
        <w:t>广东南传广场开发有限公司</w:t>
      </w:r>
    </w:p>
    <w:p w14:paraId="5E432AB8">
      <w:pPr>
        <w:keepNext w:val="0"/>
        <w:keepLines w:val="0"/>
        <w:pageBreakBefore w:val="0"/>
        <w:kinsoku/>
        <w:wordWrap/>
        <w:overflowPunct/>
        <w:topLinePunct w:val="0"/>
        <w:autoSpaceDE/>
        <w:autoSpaceDN/>
        <w:bidi w:val="0"/>
        <w:adjustRightInd/>
        <w:spacing w:line="360" w:lineRule="auto"/>
        <w:ind w:firstLine="1479" w:firstLineChars="493"/>
        <w:textAlignment w:val="auto"/>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u w:val="none"/>
        </w:rPr>
        <w:t>招标代理单位：</w:t>
      </w:r>
      <w:r>
        <w:rPr>
          <w:rFonts w:hint="eastAsia" w:ascii="宋体" w:hAnsi="宋体" w:eastAsia="宋体" w:cs="宋体"/>
          <w:color w:val="auto"/>
          <w:sz w:val="30"/>
          <w:szCs w:val="30"/>
          <w:highlight w:val="none"/>
          <w:u w:val="single"/>
          <w:lang w:eastAsia="zh-CN"/>
        </w:rPr>
        <w:t>广东省机电设备招标有限公司</w:t>
      </w:r>
    </w:p>
    <w:p w14:paraId="75AAD815">
      <w:pPr>
        <w:keepNext w:val="0"/>
        <w:keepLines w:val="0"/>
        <w:pageBreakBefore w:val="0"/>
        <w:kinsoku/>
        <w:wordWrap/>
        <w:overflowPunct/>
        <w:topLinePunct w:val="0"/>
        <w:autoSpaceDE/>
        <w:autoSpaceDN/>
        <w:bidi w:val="0"/>
        <w:adjustRightInd/>
        <w:spacing w:line="360" w:lineRule="auto"/>
        <w:ind w:left="0" w:leftChars="0" w:firstLine="1470" w:firstLineChars="98"/>
        <w:textAlignment w:val="auto"/>
        <w:rPr>
          <w:rFonts w:hint="eastAsia" w:ascii="宋体" w:hAnsi="宋体" w:eastAsia="宋体" w:cs="宋体"/>
          <w:color w:val="auto"/>
          <w:sz w:val="30"/>
          <w:szCs w:val="30"/>
          <w:highlight w:val="none"/>
          <w:u w:val="none"/>
        </w:rPr>
      </w:pPr>
      <w:r>
        <w:rPr>
          <w:rFonts w:hint="eastAsia" w:ascii="宋体" w:hAnsi="宋体" w:eastAsia="宋体" w:cs="宋体"/>
          <w:color w:val="auto"/>
          <w:spacing w:val="600"/>
          <w:kern w:val="0"/>
          <w:sz w:val="30"/>
          <w:szCs w:val="30"/>
          <w:highlight w:val="none"/>
          <w:u w:val="none"/>
          <w:fitText w:val="1800" w:id="2092768791"/>
        </w:rPr>
        <w:t>日</w:t>
      </w:r>
      <w:r>
        <w:rPr>
          <w:rFonts w:hint="eastAsia" w:ascii="宋体" w:hAnsi="宋体" w:eastAsia="宋体" w:cs="宋体"/>
          <w:color w:val="auto"/>
          <w:spacing w:val="0"/>
          <w:kern w:val="0"/>
          <w:sz w:val="30"/>
          <w:szCs w:val="30"/>
          <w:highlight w:val="none"/>
          <w:u w:val="none"/>
          <w:fitText w:val="1800" w:id="2092768791"/>
        </w:rPr>
        <w:t>期</w:t>
      </w:r>
      <w:r>
        <w:rPr>
          <w:rFonts w:hint="eastAsia" w:ascii="宋体" w:hAnsi="宋体" w:eastAsia="宋体" w:cs="宋体"/>
          <w:color w:val="auto"/>
          <w:sz w:val="30"/>
          <w:szCs w:val="30"/>
          <w:highlight w:val="none"/>
          <w:u w:val="none"/>
        </w:rPr>
        <w:t>：</w:t>
      </w:r>
      <w:r>
        <w:rPr>
          <w:rFonts w:hint="eastAsia" w:ascii="宋体" w:hAnsi="宋体" w:eastAsia="宋体" w:cs="宋体"/>
          <w:color w:val="auto"/>
          <w:sz w:val="30"/>
          <w:szCs w:val="30"/>
          <w:highlight w:val="none"/>
          <w:u w:val="single"/>
        </w:rPr>
        <w:t>202</w:t>
      </w:r>
      <w:r>
        <w:rPr>
          <w:rFonts w:hint="eastAsia" w:ascii="宋体" w:hAnsi="宋体" w:eastAsia="宋体" w:cs="宋体"/>
          <w:color w:val="auto"/>
          <w:sz w:val="30"/>
          <w:szCs w:val="30"/>
          <w:highlight w:val="none"/>
          <w:u w:val="single"/>
          <w:lang w:val="en-US" w:eastAsia="zh-CN"/>
        </w:rPr>
        <w:t>5</w:t>
      </w:r>
      <w:r>
        <w:rPr>
          <w:rFonts w:hint="eastAsia" w:ascii="宋体" w:hAnsi="宋体" w:eastAsia="宋体" w:cs="宋体"/>
          <w:color w:val="auto"/>
          <w:sz w:val="30"/>
          <w:szCs w:val="30"/>
          <w:highlight w:val="none"/>
          <w:u w:val="none"/>
        </w:rPr>
        <w:t>年</w:t>
      </w:r>
      <w:r>
        <w:rPr>
          <w:rFonts w:hint="eastAsia" w:ascii="宋体" w:hAnsi="宋体" w:cs="宋体"/>
          <w:color w:val="auto"/>
          <w:sz w:val="30"/>
          <w:szCs w:val="30"/>
          <w:highlight w:val="none"/>
          <w:u w:val="single"/>
          <w:lang w:val="en-US" w:eastAsia="zh-CN"/>
        </w:rPr>
        <w:t>8</w:t>
      </w:r>
      <w:r>
        <w:rPr>
          <w:rFonts w:hint="eastAsia" w:ascii="宋体" w:hAnsi="宋体" w:eastAsia="宋体" w:cs="宋体"/>
          <w:color w:val="auto"/>
          <w:sz w:val="30"/>
          <w:szCs w:val="30"/>
          <w:highlight w:val="none"/>
          <w:u w:val="none"/>
        </w:rPr>
        <w:t>月</w:t>
      </w:r>
    </w:p>
    <w:p w14:paraId="111BFE97">
      <w:pPr>
        <w:spacing w:before="312" w:beforeLines="100" w:after="312" w:afterLines="100" w:line="360" w:lineRule="auto"/>
        <w:jc w:val="center"/>
        <w:rPr>
          <w:rFonts w:ascii="宋体" w:hAnsi="宋体" w:cs="宋体"/>
          <w:b/>
          <w:caps/>
          <w:color w:val="auto"/>
          <w:kern w:val="0"/>
          <w:highlight w:val="none"/>
        </w:rPr>
      </w:pPr>
      <w:r>
        <w:rPr>
          <w:rFonts w:hint="eastAsia" w:ascii="宋体" w:hAnsi="宋体" w:cs="宋体"/>
          <w:color w:val="auto"/>
          <w:sz w:val="30"/>
          <w:szCs w:val="30"/>
          <w:highlight w:val="none"/>
        </w:rPr>
        <w:br w:type="page"/>
      </w:r>
      <w:r>
        <w:rPr>
          <w:rStyle w:val="47"/>
          <w:rFonts w:hint="eastAsia" w:ascii="宋体" w:hAnsi="宋体" w:cs="宋体"/>
          <w:b/>
          <w:bCs/>
          <w:color w:val="auto"/>
          <w:sz w:val="44"/>
          <w:szCs w:val="44"/>
          <w:highlight w:val="none"/>
          <w:u w:val="none"/>
        </w:rPr>
        <w:t>目录</w:t>
      </w:r>
    </w:p>
    <w:p w14:paraId="7204F952">
      <w:pPr>
        <w:pStyle w:val="2"/>
        <w:tabs>
          <w:tab w:val="right" w:leader="dot" w:pos="9070"/>
          <w:tab w:val="clear" w:pos="9060"/>
        </w:tabs>
        <w:rPr>
          <w:rFonts w:hAnsi="宋体" w:cs="宋体"/>
          <w:color w:val="auto"/>
          <w:sz w:val="28"/>
          <w:szCs w:val="28"/>
          <w:highlight w:val="none"/>
        </w:rPr>
      </w:pP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TOC \o "1-3" \h \z \u </w:instrText>
      </w:r>
      <w:r>
        <w:rPr>
          <w:rFonts w:hint="eastAsia" w:hAnsi="宋体" w:cs="宋体"/>
          <w:color w:val="auto"/>
          <w:sz w:val="28"/>
          <w:szCs w:val="28"/>
          <w:highlight w:val="none"/>
        </w:rPr>
        <w:fldChar w:fldCharType="separate"/>
      </w:r>
      <w:r>
        <w:rPr>
          <w:color w:val="auto"/>
          <w:sz w:val="22"/>
          <w:szCs w:val="28"/>
          <w:highlight w:val="none"/>
        </w:rPr>
        <w:fldChar w:fldCharType="begin"/>
      </w:r>
      <w:r>
        <w:rPr>
          <w:color w:val="auto"/>
          <w:sz w:val="22"/>
          <w:szCs w:val="28"/>
          <w:highlight w:val="none"/>
        </w:rPr>
        <w:instrText xml:space="preserve"> HYPERLINK \l "_Toc29999" </w:instrText>
      </w:r>
      <w:r>
        <w:rPr>
          <w:color w:val="auto"/>
          <w:sz w:val="22"/>
          <w:szCs w:val="28"/>
          <w:highlight w:val="none"/>
        </w:rPr>
        <w:fldChar w:fldCharType="separate"/>
      </w:r>
      <w:r>
        <w:rPr>
          <w:rFonts w:hint="eastAsia" w:hAnsi="宋体" w:cs="宋体"/>
          <w:color w:val="auto"/>
          <w:sz w:val="28"/>
          <w:szCs w:val="28"/>
          <w:highlight w:val="none"/>
        </w:rPr>
        <w:t>第一章  投标须知</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_Toc29999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0CDC103">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"_Toc3951" </w:instrText>
      </w:r>
      <w:r>
        <w:rPr>
          <w:color w:val="auto"/>
          <w:sz w:val="22"/>
          <w:szCs w:val="22"/>
          <w:highlight w:val="none"/>
        </w:rPr>
        <w:fldChar w:fldCharType="separate"/>
      </w:r>
      <w:r>
        <w:rPr>
          <w:rFonts w:hint="eastAsia" w:ascii="宋体" w:hAnsi="宋体" w:cs="宋体"/>
          <w:color w:val="auto"/>
          <w:sz w:val="28"/>
          <w:szCs w:val="28"/>
          <w:highlight w:val="none"/>
        </w:rPr>
        <w:t>一、投标须知前附表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_Toc3951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1855B41">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"_Toc12984" </w:instrText>
      </w:r>
      <w:r>
        <w:rPr>
          <w:color w:val="auto"/>
          <w:sz w:val="22"/>
          <w:szCs w:val="22"/>
          <w:highlight w:val="none"/>
        </w:rPr>
        <w:fldChar w:fldCharType="separate"/>
      </w:r>
      <w:r>
        <w:rPr>
          <w:rFonts w:hint="eastAsia" w:ascii="宋体" w:hAnsi="宋体" w:cs="宋体"/>
          <w:color w:val="auto"/>
          <w:sz w:val="28"/>
          <w:szCs w:val="28"/>
          <w:highlight w:val="none"/>
        </w:rPr>
        <w:t>二、投标须知修改表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_Toc12984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920D313">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"_Toc24881" </w:instrText>
      </w:r>
      <w:r>
        <w:rPr>
          <w:color w:val="auto"/>
          <w:sz w:val="22"/>
          <w:szCs w:val="22"/>
          <w:highlight w:val="none"/>
        </w:rPr>
        <w:fldChar w:fldCharType="separate"/>
      </w:r>
      <w:r>
        <w:rPr>
          <w:rFonts w:hint="eastAsia" w:ascii="宋体" w:hAnsi="宋体" w:cs="宋体"/>
          <w:color w:val="auto"/>
          <w:sz w:val="28"/>
          <w:szCs w:val="28"/>
          <w:highlight w:val="none"/>
        </w:rPr>
        <w:t>三、投标须知通用条款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_Toc24881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D08C25F">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"_Toc286" </w:instrText>
      </w:r>
      <w:r>
        <w:rPr>
          <w:color w:val="auto"/>
          <w:sz w:val="22"/>
          <w:szCs w:val="28"/>
          <w:highlight w:val="none"/>
        </w:rPr>
        <w:fldChar w:fldCharType="separate"/>
      </w:r>
      <w:r>
        <w:rPr>
          <w:rFonts w:hint="eastAsia" w:hAnsi="宋体" w:cs="宋体"/>
          <w:color w:val="auto"/>
          <w:sz w:val="28"/>
          <w:szCs w:val="28"/>
          <w:highlight w:val="none"/>
        </w:rPr>
        <w:t>第二章  开标、评标及定标办法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_Toc286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35</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110CAD2">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"_Toc20398" </w:instrText>
      </w:r>
      <w:r>
        <w:rPr>
          <w:color w:val="auto"/>
          <w:sz w:val="22"/>
          <w:szCs w:val="22"/>
          <w:highlight w:val="none"/>
        </w:rPr>
        <w:fldChar w:fldCharType="separate"/>
      </w:r>
      <w:r>
        <w:rPr>
          <w:rFonts w:hint="eastAsia" w:ascii="宋体" w:hAnsi="宋体" w:cs="宋体"/>
          <w:color w:val="auto"/>
          <w:sz w:val="28"/>
          <w:szCs w:val="28"/>
          <w:highlight w:val="none"/>
        </w:rPr>
        <w:t>一、开标、评标及定标办法修改表</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_Toc20398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15E40499">
      <w:pPr>
        <w:pStyle w:val="32"/>
        <w:tabs>
          <w:tab w:val="right" w:leader="dot" w:pos="9070"/>
          <w:tab w:val="clear" w:pos="9060"/>
        </w:tabs>
        <w:ind w:left="420"/>
        <w:rPr>
          <w:rFonts w:ascii="宋体" w:hAnsi="宋体" w:cs="宋体"/>
          <w:color w:val="auto"/>
          <w:sz w:val="28"/>
          <w:szCs w:val="28"/>
          <w:highlight w:val="none"/>
        </w:rPr>
      </w:pPr>
      <w:r>
        <w:rPr>
          <w:color w:val="auto"/>
          <w:sz w:val="22"/>
          <w:szCs w:val="22"/>
          <w:highlight w:val="none"/>
        </w:rPr>
        <w:fldChar w:fldCharType="begin"/>
      </w:r>
      <w:r>
        <w:rPr>
          <w:color w:val="auto"/>
          <w:sz w:val="22"/>
          <w:szCs w:val="22"/>
          <w:highlight w:val="none"/>
        </w:rPr>
        <w:instrText xml:space="preserve"> HYPERLINK \l "_Toc11460" </w:instrText>
      </w:r>
      <w:r>
        <w:rPr>
          <w:color w:val="auto"/>
          <w:sz w:val="22"/>
          <w:szCs w:val="22"/>
          <w:highlight w:val="none"/>
        </w:rPr>
        <w:fldChar w:fldCharType="separate"/>
      </w:r>
      <w:r>
        <w:rPr>
          <w:rFonts w:hint="eastAsia" w:ascii="宋体" w:hAnsi="宋体" w:cs="宋体"/>
          <w:color w:val="auto"/>
          <w:sz w:val="28"/>
          <w:szCs w:val="28"/>
          <w:highlight w:val="none"/>
        </w:rPr>
        <w:t>二、开标、评标及定标办法通用条款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_Toc11460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41</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7FB75D8">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"_Toc14934" </w:instrText>
      </w:r>
      <w:r>
        <w:rPr>
          <w:color w:val="auto"/>
          <w:sz w:val="22"/>
          <w:szCs w:val="28"/>
          <w:highlight w:val="none"/>
        </w:rPr>
        <w:fldChar w:fldCharType="separate"/>
      </w:r>
      <w:r>
        <w:rPr>
          <w:rFonts w:hint="eastAsia" w:hAnsi="宋体" w:cs="宋体"/>
          <w:color w:val="auto"/>
          <w:sz w:val="28"/>
          <w:szCs w:val="28"/>
          <w:highlight w:val="none"/>
        </w:rPr>
        <w:t>第三章  合同条款</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_Toc14934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60</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0F2462CE">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"_Toc12630" </w:instrText>
      </w:r>
      <w:r>
        <w:rPr>
          <w:color w:val="auto"/>
          <w:sz w:val="22"/>
          <w:szCs w:val="28"/>
          <w:highlight w:val="none"/>
        </w:rPr>
        <w:fldChar w:fldCharType="separate"/>
      </w:r>
      <w:r>
        <w:rPr>
          <w:rFonts w:hint="eastAsia" w:hAnsi="宋体" w:cs="宋体"/>
          <w:color w:val="auto"/>
          <w:sz w:val="28"/>
          <w:szCs w:val="28"/>
          <w:highlight w:val="none"/>
        </w:rPr>
        <w:t>第四章  投标文件格式</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_Toc12630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61</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F976EC7">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"_Toc22889" </w:instrText>
      </w:r>
      <w:r>
        <w:rPr>
          <w:color w:val="auto"/>
          <w:sz w:val="22"/>
          <w:szCs w:val="28"/>
          <w:highlight w:val="none"/>
        </w:rPr>
        <w:fldChar w:fldCharType="separate"/>
      </w:r>
      <w:r>
        <w:rPr>
          <w:rFonts w:hint="eastAsia" w:hAnsi="宋体" w:cs="宋体"/>
          <w:color w:val="auto"/>
          <w:sz w:val="28"/>
          <w:szCs w:val="28"/>
          <w:highlight w:val="none"/>
        </w:rPr>
        <w:t>第五章  技术条件（工程建设标准）</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_Toc22889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79</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3B698C8C">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"_Toc17006" </w:instrText>
      </w:r>
      <w:r>
        <w:rPr>
          <w:color w:val="auto"/>
          <w:sz w:val="22"/>
          <w:szCs w:val="28"/>
          <w:highlight w:val="none"/>
        </w:rPr>
        <w:fldChar w:fldCharType="separate"/>
      </w:r>
      <w:r>
        <w:rPr>
          <w:rFonts w:hint="eastAsia" w:hAnsi="宋体" w:cs="宋体"/>
          <w:color w:val="auto"/>
          <w:sz w:val="28"/>
          <w:szCs w:val="28"/>
          <w:highlight w:val="none"/>
        </w:rPr>
        <w:t>第六章  图纸及勘察资料</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_Toc17006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79</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15FAB315">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"_Toc2247" </w:instrText>
      </w:r>
      <w:r>
        <w:rPr>
          <w:color w:val="auto"/>
          <w:sz w:val="22"/>
          <w:szCs w:val="28"/>
          <w:highlight w:val="none"/>
        </w:rPr>
        <w:fldChar w:fldCharType="separate"/>
      </w:r>
      <w:r>
        <w:rPr>
          <w:rFonts w:hint="eastAsia" w:hAnsi="宋体" w:cs="宋体"/>
          <w:color w:val="auto"/>
          <w:sz w:val="28"/>
          <w:szCs w:val="28"/>
          <w:highlight w:val="none"/>
        </w:rPr>
        <w:t>第七章  工程量清单</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_Toc2247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89</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05B8FAE9">
      <w:pPr>
        <w:pStyle w:val="2"/>
        <w:tabs>
          <w:tab w:val="right" w:leader="dot" w:pos="9070"/>
          <w:tab w:val="clear" w:pos="9060"/>
        </w:tabs>
        <w:rPr>
          <w:rFonts w:hAnsi="宋体" w:cs="宋体"/>
          <w:color w:val="auto"/>
          <w:sz w:val="28"/>
          <w:szCs w:val="28"/>
          <w:highlight w:val="none"/>
        </w:rPr>
      </w:pPr>
      <w:r>
        <w:rPr>
          <w:color w:val="auto"/>
          <w:sz w:val="22"/>
          <w:szCs w:val="28"/>
          <w:highlight w:val="none"/>
        </w:rPr>
        <w:fldChar w:fldCharType="begin"/>
      </w:r>
      <w:r>
        <w:rPr>
          <w:color w:val="auto"/>
          <w:sz w:val="22"/>
          <w:szCs w:val="28"/>
          <w:highlight w:val="none"/>
        </w:rPr>
        <w:instrText xml:space="preserve"> HYPERLINK \l "_Toc10163" </w:instrText>
      </w:r>
      <w:r>
        <w:rPr>
          <w:color w:val="auto"/>
          <w:sz w:val="22"/>
          <w:szCs w:val="28"/>
          <w:highlight w:val="none"/>
        </w:rPr>
        <w:fldChar w:fldCharType="separate"/>
      </w:r>
      <w:r>
        <w:rPr>
          <w:rFonts w:hint="eastAsia" w:hAnsi="宋体" w:cs="宋体"/>
          <w:color w:val="auto"/>
          <w:sz w:val="28"/>
          <w:szCs w:val="28"/>
          <w:highlight w:val="none"/>
        </w:rPr>
        <w:t>第八章  最高投标限价</w:t>
      </w:r>
      <w:r>
        <w:rPr>
          <w:rFonts w:hint="eastAsia" w:hAnsi="宋体" w:cs="宋体"/>
          <w:color w:val="auto"/>
          <w:sz w:val="28"/>
          <w:szCs w:val="28"/>
          <w:highlight w:val="none"/>
        </w:rPr>
        <w:tab/>
      </w:r>
      <w:r>
        <w:rPr>
          <w:rFonts w:hint="eastAsia" w:hAnsi="宋体" w:cs="宋体"/>
          <w:color w:val="auto"/>
          <w:sz w:val="28"/>
          <w:szCs w:val="28"/>
          <w:highlight w:val="none"/>
        </w:rPr>
        <w:fldChar w:fldCharType="begin"/>
      </w:r>
      <w:r>
        <w:rPr>
          <w:rFonts w:hint="eastAsia" w:hAnsi="宋体" w:cs="宋体"/>
          <w:color w:val="auto"/>
          <w:sz w:val="28"/>
          <w:szCs w:val="28"/>
          <w:highlight w:val="none"/>
        </w:rPr>
        <w:instrText xml:space="preserve"> PAGEREF _Toc10163 \h </w:instrText>
      </w:r>
      <w:r>
        <w:rPr>
          <w:rFonts w:hint="eastAsia" w:hAnsi="宋体" w:cs="宋体"/>
          <w:color w:val="auto"/>
          <w:sz w:val="28"/>
          <w:szCs w:val="28"/>
          <w:highlight w:val="none"/>
        </w:rPr>
        <w:fldChar w:fldCharType="separate"/>
      </w:r>
      <w:r>
        <w:rPr>
          <w:rFonts w:hint="eastAsia" w:hAnsi="宋体" w:cs="宋体"/>
          <w:color w:val="auto"/>
          <w:sz w:val="28"/>
          <w:szCs w:val="28"/>
          <w:highlight w:val="none"/>
        </w:rPr>
        <w:t>90</w:t>
      </w:r>
      <w:r>
        <w:rPr>
          <w:rFonts w:hint="eastAsia" w:hAnsi="宋体" w:cs="宋体"/>
          <w:color w:val="auto"/>
          <w:sz w:val="28"/>
          <w:szCs w:val="28"/>
          <w:highlight w:val="none"/>
        </w:rPr>
        <w:fldChar w:fldCharType="end"/>
      </w:r>
      <w:r>
        <w:rPr>
          <w:rFonts w:hint="eastAsia" w:hAnsi="宋体" w:cs="宋体"/>
          <w:color w:val="auto"/>
          <w:sz w:val="28"/>
          <w:szCs w:val="28"/>
          <w:highlight w:val="none"/>
        </w:rPr>
        <w:fldChar w:fldCharType="end"/>
      </w:r>
    </w:p>
    <w:p w14:paraId="533A082D">
      <w:pPr>
        <w:outlineLvl w:val="9"/>
        <w:rPr>
          <w:rFonts w:ascii="宋体" w:hAnsi="宋体" w:cs="宋体"/>
          <w:color w:val="auto"/>
          <w:highlight w:val="none"/>
        </w:rPr>
      </w:pPr>
      <w:r>
        <w:rPr>
          <w:rFonts w:hint="eastAsia" w:ascii="宋体" w:hAnsi="宋体" w:cs="宋体"/>
          <w:color w:val="auto"/>
          <w:sz w:val="28"/>
          <w:szCs w:val="28"/>
          <w:highlight w:val="none"/>
        </w:rPr>
        <w:fldChar w:fldCharType="end"/>
      </w:r>
    </w:p>
    <w:p w14:paraId="5BF2E73B">
      <w:pPr>
        <w:outlineLvl w:val="9"/>
        <w:rPr>
          <w:rFonts w:ascii="宋体" w:hAnsi="宋体" w:cs="宋体"/>
          <w:color w:val="auto"/>
          <w:highlight w:val="none"/>
        </w:rPr>
      </w:pPr>
    </w:p>
    <w:p w14:paraId="699A0DE8">
      <w:pPr>
        <w:pStyle w:val="3"/>
        <w:rPr>
          <w:rFonts w:ascii="宋体" w:hAnsi="宋体" w:cs="宋体"/>
          <w:color w:val="auto"/>
          <w:highlight w:val="none"/>
        </w:rPr>
      </w:pPr>
    </w:p>
    <w:p w14:paraId="3E3D54B6">
      <w:pPr>
        <w:pStyle w:val="3"/>
        <w:spacing w:before="0" w:after="0"/>
        <w:jc w:val="center"/>
        <w:rPr>
          <w:rFonts w:ascii="宋体" w:hAnsi="宋体" w:cs="宋体"/>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1247" w:left="1418" w:header="851" w:footer="907" w:gutter="0"/>
          <w:pgBorders>
            <w:top w:val="none" w:sz="0" w:space="0"/>
            <w:left w:val="none" w:sz="0" w:space="0"/>
            <w:bottom w:val="none" w:sz="0" w:space="0"/>
            <w:right w:val="none" w:sz="0" w:space="0"/>
          </w:pgBorders>
          <w:cols w:space="720" w:num="1"/>
          <w:titlePg/>
          <w:docGrid w:type="lines" w:linePitch="312" w:charSpace="0"/>
        </w:sectPr>
      </w:pPr>
      <w:bookmarkStart w:id="0" w:name="_Toc29999"/>
    </w:p>
    <w:p w14:paraId="0C41E720">
      <w:pPr>
        <w:pStyle w:val="3"/>
        <w:spacing w:before="0" w:after="0"/>
        <w:jc w:val="center"/>
        <w:rPr>
          <w:rFonts w:ascii="宋体" w:hAnsi="宋体" w:cs="宋体"/>
          <w:color w:val="auto"/>
          <w:highlight w:val="none"/>
        </w:rPr>
      </w:pPr>
      <w:r>
        <w:rPr>
          <w:rFonts w:hint="eastAsia" w:ascii="宋体" w:hAnsi="宋体" w:cs="宋体"/>
          <w:color w:val="auto"/>
          <w:highlight w:val="none"/>
        </w:rPr>
        <w:t>第一章  投标须知</w:t>
      </w:r>
      <w:bookmarkEnd w:id="0"/>
    </w:p>
    <w:p w14:paraId="2A17C860">
      <w:pPr>
        <w:pStyle w:val="7"/>
        <w:spacing w:before="0" w:after="0" w:line="360" w:lineRule="auto"/>
        <w:ind w:left="0"/>
        <w:rPr>
          <w:rFonts w:ascii="宋体" w:hAnsi="宋体" w:cs="宋体"/>
          <w:color w:val="auto"/>
          <w:sz w:val="28"/>
          <w:szCs w:val="28"/>
          <w:highlight w:val="none"/>
        </w:rPr>
      </w:pPr>
      <w:bookmarkStart w:id="1" w:name="_Toc3951"/>
      <w:r>
        <w:rPr>
          <w:rFonts w:hint="eastAsia" w:ascii="宋体" w:hAnsi="宋体" w:cs="宋体"/>
          <w:color w:val="auto"/>
          <w:sz w:val="28"/>
          <w:szCs w:val="28"/>
          <w:highlight w:val="none"/>
        </w:rPr>
        <w:t>一、投标须知前附表</w:t>
      </w:r>
      <w:bookmarkEnd w:id="1"/>
    </w:p>
    <w:p w14:paraId="73592AFA">
      <w:pPr>
        <w:pStyle w:val="11"/>
        <w:ind w:firstLine="0"/>
        <w:jc w:val="left"/>
        <w:rPr>
          <w:rFonts w:ascii="宋体" w:hAnsi="宋体" w:cs="宋体"/>
          <w:b/>
          <w:color w:val="auto"/>
          <w:sz w:val="20"/>
          <w:highlight w:val="none"/>
        </w:rPr>
      </w:pPr>
      <w:r>
        <w:rPr>
          <w:rFonts w:hint="eastAsia" w:ascii="宋体" w:hAnsi="宋体" w:cs="宋体"/>
          <w:b/>
          <w:color w:val="auto"/>
          <w:sz w:val="20"/>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9"/>
        <w:tblW w:w="0" w:type="auto"/>
        <w:tblInd w:w="-13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87"/>
        <w:gridCol w:w="1713"/>
        <w:gridCol w:w="6048"/>
      </w:tblGrid>
      <w:tr w14:paraId="2A5C51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345865C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w:t>
            </w:r>
          </w:p>
        </w:tc>
        <w:tc>
          <w:tcPr>
            <w:tcW w:w="887" w:type="dxa"/>
            <w:tcBorders>
              <w:top w:val="double" w:color="auto" w:sz="4" w:space="0"/>
              <w:left w:val="single" w:color="auto" w:sz="4" w:space="0"/>
              <w:bottom w:val="single" w:color="auto" w:sz="4" w:space="0"/>
              <w:right w:val="single" w:color="auto" w:sz="4" w:space="0"/>
            </w:tcBorders>
            <w:vAlign w:val="center"/>
          </w:tcPr>
          <w:p w14:paraId="199D3F6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条款号</w:t>
            </w:r>
          </w:p>
        </w:tc>
        <w:tc>
          <w:tcPr>
            <w:tcW w:w="1713" w:type="dxa"/>
            <w:tcBorders>
              <w:top w:val="double" w:color="auto" w:sz="4" w:space="0"/>
              <w:left w:val="single" w:color="auto" w:sz="4" w:space="0"/>
              <w:bottom w:val="single" w:color="auto" w:sz="4" w:space="0"/>
              <w:right w:val="single" w:color="auto" w:sz="4" w:space="0"/>
            </w:tcBorders>
            <w:vAlign w:val="center"/>
          </w:tcPr>
          <w:p w14:paraId="331F41F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c>
          <w:tcPr>
            <w:tcW w:w="6048" w:type="dxa"/>
            <w:tcBorders>
              <w:top w:val="double" w:color="auto" w:sz="4" w:space="0"/>
              <w:left w:val="single" w:color="auto" w:sz="4" w:space="0"/>
              <w:bottom w:val="single" w:color="auto" w:sz="4" w:space="0"/>
              <w:right w:val="double" w:color="auto" w:sz="4" w:space="0"/>
            </w:tcBorders>
            <w:vAlign w:val="center"/>
          </w:tcPr>
          <w:p w14:paraId="38BBF5BF">
            <w:pPr>
              <w:pStyle w:val="24"/>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5B10DB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02BD5FD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887" w:type="dxa"/>
            <w:tcBorders>
              <w:top w:val="single" w:color="auto" w:sz="4" w:space="0"/>
              <w:left w:val="single" w:color="auto" w:sz="4" w:space="0"/>
              <w:bottom w:val="single" w:color="auto" w:sz="4" w:space="0"/>
              <w:right w:val="single" w:color="auto" w:sz="4" w:space="0"/>
            </w:tcBorders>
            <w:vAlign w:val="center"/>
          </w:tcPr>
          <w:p w14:paraId="7FA7E7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713" w:type="dxa"/>
            <w:tcBorders>
              <w:top w:val="single" w:color="auto" w:sz="4" w:space="0"/>
              <w:left w:val="single" w:color="auto" w:sz="4" w:space="0"/>
              <w:bottom w:val="single" w:color="auto" w:sz="4" w:space="0"/>
              <w:right w:val="single" w:color="auto" w:sz="4" w:space="0"/>
            </w:tcBorders>
            <w:vAlign w:val="center"/>
          </w:tcPr>
          <w:p w14:paraId="33E700F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定义</w:t>
            </w:r>
          </w:p>
        </w:tc>
        <w:tc>
          <w:tcPr>
            <w:tcW w:w="6048" w:type="dxa"/>
            <w:tcBorders>
              <w:top w:val="single" w:color="auto" w:sz="4" w:space="0"/>
              <w:left w:val="single" w:color="auto" w:sz="4" w:space="0"/>
              <w:bottom w:val="single" w:color="auto" w:sz="4" w:space="0"/>
              <w:right w:val="double" w:color="auto" w:sz="4" w:space="0"/>
            </w:tcBorders>
            <w:vAlign w:val="center"/>
          </w:tcPr>
          <w:p w14:paraId="03868E0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广东南传广场开发有限公司</w:t>
            </w:r>
          </w:p>
          <w:p w14:paraId="23A77F2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lang w:eastAsia="zh-CN"/>
              </w:rPr>
              <w:t>广东省机电设备招标有限公司</w:t>
            </w:r>
          </w:p>
          <w:p w14:paraId="32269649">
            <w:pPr>
              <w:keepNext w:val="0"/>
              <w:keepLines w:val="0"/>
              <w:suppressLineNumbers w:val="0"/>
              <w:spacing w:before="0" w:beforeAutospacing="0" w:after="0" w:afterAutospacing="0"/>
              <w:ind w:left="0" w:right="0"/>
              <w:rPr>
                <w:rFonts w:hint="default"/>
                <w:color w:val="auto"/>
                <w:szCs w:val="21"/>
                <w:highlight w:val="none"/>
                <w:u w:val="single"/>
                <w:lang w:val="en-US" w:eastAsia="zh-CN"/>
              </w:rPr>
            </w:pPr>
            <w:r>
              <w:rPr>
                <w:rFonts w:hint="eastAsia" w:ascii="宋体" w:hAnsi="宋体" w:eastAsia="宋体" w:cs="宋体"/>
                <w:color w:val="auto"/>
                <w:szCs w:val="21"/>
                <w:highlight w:val="none"/>
              </w:rPr>
              <w:t>设计单位：</w:t>
            </w:r>
            <w:r>
              <w:rPr>
                <w:rFonts w:hint="eastAsia"/>
                <w:color w:val="auto"/>
                <w:szCs w:val="21"/>
                <w:highlight w:val="none"/>
                <w:u w:val="single"/>
                <w:lang w:val="en-US" w:eastAsia="zh-CN"/>
              </w:rPr>
              <w:t>广州市设计院集团有限公司</w:t>
            </w:r>
          </w:p>
          <w:p w14:paraId="3A0B9C8F">
            <w:pPr>
              <w:keepNext w:val="0"/>
              <w:keepLines w:val="0"/>
              <w:suppressLineNumbers w:val="0"/>
              <w:spacing w:before="0" w:beforeAutospacing="0" w:after="0" w:afterAutospacing="0"/>
              <w:ind w:left="0" w:right="0"/>
              <w:rPr>
                <w:rFonts w:hint="default"/>
                <w:color w:val="auto"/>
                <w:szCs w:val="21"/>
                <w:highlight w:val="none"/>
                <w:lang w:val="en-US"/>
              </w:rPr>
            </w:pPr>
            <w:r>
              <w:rPr>
                <w:rFonts w:hint="eastAsia"/>
                <w:color w:val="auto"/>
                <w:szCs w:val="21"/>
                <w:highlight w:val="none"/>
              </w:rPr>
              <w:t>监理单位：</w:t>
            </w:r>
            <w:r>
              <w:rPr>
                <w:rFonts w:hint="eastAsia"/>
                <w:color w:val="auto"/>
                <w:szCs w:val="21"/>
                <w:highlight w:val="none"/>
                <w:u w:val="single"/>
                <w:lang w:val="en-US" w:eastAsia="zh-CN"/>
              </w:rPr>
              <w:t>广州珠江监理咨询集团有限公司</w:t>
            </w:r>
          </w:p>
          <w:p w14:paraId="62EAE4DC">
            <w:pPr>
              <w:keepNext w:val="0"/>
              <w:keepLines w:val="0"/>
              <w:suppressLineNumbers w:val="0"/>
              <w:spacing w:before="0" w:beforeAutospacing="0" w:after="0" w:afterAutospacing="0"/>
              <w:ind w:left="0" w:right="0"/>
              <w:rPr>
                <w:rFonts w:hint="eastAsia"/>
                <w:color w:val="auto"/>
                <w:szCs w:val="21"/>
                <w:highlight w:val="none"/>
                <w:u w:val="single"/>
                <w:lang w:val="en-US" w:eastAsia="zh-CN"/>
              </w:rPr>
            </w:pPr>
            <w:r>
              <w:rPr>
                <w:rFonts w:hint="eastAsia"/>
                <w:color w:val="auto"/>
                <w:szCs w:val="21"/>
                <w:highlight w:val="none"/>
              </w:rPr>
              <w:t>检测机构：</w:t>
            </w:r>
            <w:r>
              <w:rPr>
                <w:rFonts w:hint="eastAsia"/>
                <w:color w:val="auto"/>
                <w:szCs w:val="21"/>
                <w:highlight w:val="none"/>
                <w:u w:val="single"/>
                <w:lang w:val="en-US" w:eastAsia="zh-CN"/>
              </w:rPr>
              <w:t>广州建设工程质量安全检测中心有限公司</w:t>
            </w:r>
          </w:p>
          <w:p w14:paraId="3E4E3E28">
            <w:pPr>
              <w:keepNext w:val="0"/>
              <w:keepLines w:val="0"/>
              <w:suppressLineNumbers w:val="0"/>
              <w:spacing w:before="0" w:beforeAutospacing="0" w:after="0" w:afterAutospacing="0"/>
              <w:ind w:left="0" w:right="0"/>
              <w:rPr>
                <w:rFonts w:hint="default" w:ascii="宋体" w:hAnsi="宋体" w:cs="宋体"/>
                <w:color w:val="auto"/>
                <w:szCs w:val="21"/>
                <w:highlight w:val="none"/>
                <w:lang w:val="en-US"/>
              </w:rPr>
            </w:pPr>
            <w:r>
              <w:rPr>
                <w:rFonts w:hint="eastAsia"/>
                <w:color w:val="auto"/>
                <w:szCs w:val="21"/>
                <w:highlight w:val="none"/>
                <w:u w:val="none"/>
                <w:lang w:val="en-US" w:eastAsia="zh-CN"/>
              </w:rPr>
              <w:t>施工总承包单位：</w:t>
            </w:r>
            <w:r>
              <w:rPr>
                <w:rFonts w:hint="eastAsia"/>
                <w:color w:val="auto"/>
                <w:szCs w:val="21"/>
                <w:highlight w:val="none"/>
                <w:u w:val="single"/>
                <w:lang w:val="en-US" w:eastAsia="zh-CN"/>
              </w:rPr>
              <w:t>广东省建筑工程集团有限公司</w:t>
            </w:r>
          </w:p>
        </w:tc>
      </w:tr>
      <w:tr w14:paraId="7E4617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21FFA82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887" w:type="dxa"/>
            <w:tcBorders>
              <w:top w:val="single" w:color="auto" w:sz="4" w:space="0"/>
              <w:left w:val="single" w:color="auto" w:sz="4" w:space="0"/>
              <w:bottom w:val="single" w:color="auto" w:sz="4" w:space="0"/>
              <w:right w:val="single" w:color="auto" w:sz="4" w:space="0"/>
            </w:tcBorders>
            <w:vAlign w:val="center"/>
          </w:tcPr>
          <w:p w14:paraId="6F6675B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005D39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工程名称</w:t>
            </w:r>
          </w:p>
        </w:tc>
        <w:tc>
          <w:tcPr>
            <w:tcW w:w="6048" w:type="dxa"/>
            <w:tcBorders>
              <w:top w:val="single" w:color="auto" w:sz="4" w:space="0"/>
              <w:left w:val="single" w:color="auto" w:sz="4" w:space="0"/>
              <w:bottom w:val="single" w:color="auto" w:sz="4" w:space="0"/>
              <w:right w:val="double" w:color="auto" w:sz="4" w:space="0"/>
            </w:tcBorders>
            <w:vAlign w:val="center"/>
          </w:tcPr>
          <w:p w14:paraId="550D3F5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广州国际文化中心项目10KV备用回路工程施工专业承包</w:t>
            </w:r>
          </w:p>
        </w:tc>
      </w:tr>
      <w:tr w14:paraId="25868C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2" w:type="dxa"/>
            <w:tcBorders>
              <w:top w:val="single" w:color="auto" w:sz="4" w:space="0"/>
              <w:left w:val="double" w:color="auto" w:sz="4" w:space="0"/>
              <w:bottom w:val="single" w:color="auto" w:sz="4" w:space="0"/>
              <w:right w:val="single" w:color="auto" w:sz="4" w:space="0"/>
            </w:tcBorders>
            <w:vAlign w:val="center"/>
          </w:tcPr>
          <w:p w14:paraId="194F264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887" w:type="dxa"/>
            <w:tcBorders>
              <w:top w:val="single" w:color="auto" w:sz="4" w:space="0"/>
              <w:left w:val="single" w:color="auto" w:sz="4" w:space="0"/>
              <w:bottom w:val="single" w:color="auto" w:sz="4" w:space="0"/>
              <w:right w:val="single" w:color="auto" w:sz="4" w:space="0"/>
            </w:tcBorders>
            <w:vAlign w:val="center"/>
          </w:tcPr>
          <w:p w14:paraId="60A8938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7D8F6B8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048" w:type="dxa"/>
            <w:tcBorders>
              <w:top w:val="single" w:color="auto" w:sz="4" w:space="0"/>
              <w:left w:val="single" w:color="auto" w:sz="4" w:space="0"/>
              <w:bottom w:val="single" w:color="auto" w:sz="4" w:space="0"/>
              <w:right w:val="double" w:color="auto" w:sz="4" w:space="0"/>
            </w:tcBorders>
            <w:vAlign w:val="center"/>
          </w:tcPr>
          <w:p w14:paraId="5C621C1A">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color w:val="auto"/>
                <w:szCs w:val="21"/>
                <w:highlight w:val="none"/>
                <w:u w:val="single"/>
              </w:rPr>
              <w:t>详见本工程招标公告</w:t>
            </w:r>
          </w:p>
        </w:tc>
      </w:tr>
      <w:tr w14:paraId="0354B5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1809903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887" w:type="dxa"/>
            <w:tcBorders>
              <w:top w:val="single" w:color="auto" w:sz="4" w:space="0"/>
              <w:left w:val="single" w:color="auto" w:sz="4" w:space="0"/>
              <w:bottom w:val="single" w:color="auto" w:sz="4" w:space="0"/>
              <w:right w:val="single" w:color="auto" w:sz="4" w:space="0"/>
            </w:tcBorders>
            <w:vAlign w:val="center"/>
          </w:tcPr>
          <w:p w14:paraId="3234A67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AC1F96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建设规模</w:t>
            </w:r>
          </w:p>
        </w:tc>
        <w:tc>
          <w:tcPr>
            <w:tcW w:w="6048" w:type="dxa"/>
            <w:tcBorders>
              <w:top w:val="single" w:color="auto" w:sz="4" w:space="0"/>
              <w:left w:val="single" w:color="auto" w:sz="4" w:space="0"/>
              <w:bottom w:val="single" w:color="auto" w:sz="4" w:space="0"/>
              <w:right w:val="double" w:color="auto" w:sz="4" w:space="0"/>
            </w:tcBorders>
            <w:vAlign w:val="center"/>
          </w:tcPr>
          <w:p w14:paraId="4F42C04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62968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702" w:type="dxa"/>
            <w:tcBorders>
              <w:top w:val="single" w:color="auto" w:sz="4" w:space="0"/>
              <w:left w:val="double" w:color="auto" w:sz="4" w:space="0"/>
              <w:bottom w:val="single" w:color="auto" w:sz="4" w:space="0"/>
              <w:right w:val="single" w:color="auto" w:sz="4" w:space="0"/>
            </w:tcBorders>
            <w:vAlign w:val="center"/>
          </w:tcPr>
          <w:p w14:paraId="01E5A51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887" w:type="dxa"/>
            <w:tcBorders>
              <w:top w:val="single" w:color="auto" w:sz="4" w:space="0"/>
              <w:left w:val="single" w:color="auto" w:sz="4" w:space="0"/>
              <w:bottom w:val="single" w:color="auto" w:sz="4" w:space="0"/>
              <w:right w:val="single" w:color="auto" w:sz="4" w:space="0"/>
            </w:tcBorders>
            <w:vAlign w:val="center"/>
          </w:tcPr>
          <w:p w14:paraId="2C14A3C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34130C5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承包方式</w:t>
            </w:r>
          </w:p>
        </w:tc>
        <w:tc>
          <w:tcPr>
            <w:tcW w:w="6048" w:type="dxa"/>
            <w:tcBorders>
              <w:top w:val="single" w:color="auto" w:sz="4" w:space="0"/>
              <w:left w:val="single" w:color="auto" w:sz="4" w:space="0"/>
              <w:bottom w:val="single" w:color="auto" w:sz="4" w:space="0"/>
              <w:right w:val="double" w:color="auto" w:sz="4" w:space="0"/>
            </w:tcBorders>
            <w:vAlign w:val="center"/>
          </w:tcPr>
          <w:p w14:paraId="749A3BD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固定</w:t>
            </w:r>
            <w:r>
              <w:rPr>
                <w:rFonts w:hint="eastAsia" w:ascii="宋体" w:hAnsi="宋体" w:cs="宋体"/>
                <w:color w:val="auto"/>
                <w:szCs w:val="21"/>
                <w:highlight w:val="none"/>
                <w:lang w:val="en-US" w:eastAsia="zh-CN"/>
              </w:rPr>
              <w:t>总价</w:t>
            </w:r>
            <w:r>
              <w:rPr>
                <w:rFonts w:hint="eastAsia" w:ascii="宋体" w:hAnsi="宋体" w:cs="宋体"/>
                <w:color w:val="auto"/>
                <w:szCs w:val="21"/>
                <w:highlight w:val="none"/>
              </w:rPr>
              <w:t>包干，按合同文件、</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图纸和相关规范及标准要求，对承包范围内的工程以包施工、包材料、包工期、包质量、包安全生产、包深化设计、包文明施工、包系统调试、包送电方案，包向供电部门报装报建工作、管廊公司入廊施工手续、配合供电部门的审图及报供电部门的其他审批手续及其费用，包向公安、市政、规划、管线经过的权属单位、管廊公司等各部门办理相应的电缆沟、市政路面开挖、管线入廊的报批等相关手续（如需），包路面修复、路面下穿管施工、包供电局送电前专项检测验收、包验收（包括按合同要求份数制作本工程档案资料、档案验收及竣工验收备案配合）、包通电、包保修等的方式进行固定</w:t>
            </w:r>
            <w:r>
              <w:rPr>
                <w:rFonts w:hint="eastAsia" w:ascii="宋体" w:hAnsi="宋体" w:cs="宋体"/>
                <w:color w:val="auto"/>
                <w:szCs w:val="21"/>
                <w:highlight w:val="none"/>
                <w:lang w:val="en-US" w:eastAsia="zh-CN"/>
              </w:rPr>
              <w:t>总价</w:t>
            </w:r>
            <w:r>
              <w:rPr>
                <w:rFonts w:hint="eastAsia" w:ascii="宋体" w:hAnsi="宋体" w:cs="宋体"/>
                <w:color w:val="auto"/>
                <w:szCs w:val="21"/>
                <w:highlight w:val="none"/>
              </w:rPr>
              <w:t>包干。</w:t>
            </w:r>
          </w:p>
        </w:tc>
      </w:tr>
      <w:tr w14:paraId="799C69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2" w:type="dxa"/>
            <w:tcBorders>
              <w:top w:val="single" w:color="auto" w:sz="4" w:space="0"/>
              <w:left w:val="double" w:color="auto" w:sz="4" w:space="0"/>
              <w:bottom w:val="single" w:color="auto" w:sz="4" w:space="0"/>
              <w:right w:val="single" w:color="auto" w:sz="4" w:space="0"/>
            </w:tcBorders>
            <w:vAlign w:val="center"/>
          </w:tcPr>
          <w:p w14:paraId="0DAACC9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887" w:type="dxa"/>
            <w:tcBorders>
              <w:top w:val="single" w:color="auto" w:sz="4" w:space="0"/>
              <w:left w:val="single" w:color="auto" w:sz="4" w:space="0"/>
              <w:bottom w:val="single" w:color="auto" w:sz="4" w:space="0"/>
              <w:right w:val="single" w:color="auto" w:sz="4" w:space="0"/>
            </w:tcBorders>
            <w:vAlign w:val="center"/>
          </w:tcPr>
          <w:p w14:paraId="01CCB31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22614D1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质量标准</w:t>
            </w:r>
          </w:p>
        </w:tc>
        <w:tc>
          <w:tcPr>
            <w:tcW w:w="6048" w:type="dxa"/>
            <w:tcBorders>
              <w:top w:val="single" w:color="auto" w:sz="4" w:space="0"/>
              <w:left w:val="single" w:color="auto" w:sz="4" w:space="0"/>
              <w:bottom w:val="single" w:color="auto" w:sz="4" w:space="0"/>
              <w:right w:val="double" w:color="auto" w:sz="4" w:space="0"/>
            </w:tcBorders>
            <w:vAlign w:val="center"/>
          </w:tcPr>
          <w:p w14:paraId="033F1F57">
            <w:pPr>
              <w:keepNext w:val="0"/>
              <w:keepLines w:val="0"/>
              <w:suppressLineNumbers w:val="0"/>
              <w:spacing w:before="0" w:beforeAutospacing="0" w:after="0" w:afterAutospacing="0"/>
              <w:ind w:left="0" w:right="0"/>
              <w:rPr>
                <w:rFonts w:hint="eastAsia" w:ascii="宋体" w:hAnsi="宋体" w:cs="宋体"/>
                <w:color w:val="auto"/>
                <w:szCs w:val="21"/>
                <w:highlight w:val="none"/>
                <w:u w:val="none"/>
              </w:rPr>
            </w:pPr>
            <w:r>
              <w:rPr>
                <w:rFonts w:hint="eastAsia" w:ascii="宋体" w:hAnsi="宋体" w:cs="宋体"/>
                <w:color w:val="auto"/>
                <w:szCs w:val="21"/>
                <w:highlight w:val="none"/>
                <w:u w:val="none"/>
              </w:rPr>
              <w:t>质量一次性验收合格</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符合</w:t>
            </w:r>
            <w:r>
              <w:rPr>
                <w:rFonts w:hint="eastAsia" w:ascii="宋体" w:hAnsi="宋体" w:cs="宋体"/>
                <w:color w:val="auto"/>
                <w:szCs w:val="21"/>
                <w:highlight w:val="none"/>
                <w:u w:val="none"/>
              </w:rPr>
              <w:t>国家、地方或行业的质量验收</w:t>
            </w:r>
            <w:r>
              <w:rPr>
                <w:rFonts w:hint="eastAsia" w:ascii="宋体" w:hAnsi="宋体" w:cs="宋体"/>
                <w:color w:val="auto"/>
                <w:szCs w:val="21"/>
                <w:highlight w:val="none"/>
                <w:u w:val="none"/>
                <w:lang w:val="en-US" w:eastAsia="zh-CN"/>
              </w:rPr>
              <w:t>相关规定和</w:t>
            </w:r>
            <w:r>
              <w:rPr>
                <w:rFonts w:hint="eastAsia" w:ascii="宋体" w:hAnsi="宋体" w:cs="宋体"/>
                <w:color w:val="auto"/>
                <w:szCs w:val="21"/>
                <w:highlight w:val="none"/>
                <w:u w:val="none"/>
              </w:rPr>
              <w:t>统一标准</w:t>
            </w:r>
            <w:r>
              <w:rPr>
                <w:rFonts w:hint="eastAsia" w:ascii="宋体" w:hAnsi="宋体" w:cs="宋体"/>
                <w:color w:val="auto"/>
                <w:szCs w:val="21"/>
                <w:highlight w:val="none"/>
                <w:u w:val="none"/>
                <w:lang w:val="en-US" w:eastAsia="zh-CN"/>
              </w:rPr>
              <w:t>及要求</w:t>
            </w:r>
            <w:r>
              <w:rPr>
                <w:rFonts w:hint="eastAsia" w:ascii="宋体" w:hAnsi="宋体" w:cs="宋体"/>
                <w:color w:val="auto"/>
                <w:szCs w:val="21"/>
                <w:highlight w:val="none"/>
                <w:u w:val="none"/>
              </w:rPr>
              <w:t>。</w:t>
            </w:r>
          </w:p>
        </w:tc>
      </w:tr>
      <w:tr w14:paraId="44F5C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02" w:type="dxa"/>
            <w:tcBorders>
              <w:top w:val="single" w:color="auto" w:sz="4" w:space="0"/>
              <w:left w:val="double" w:color="auto" w:sz="4" w:space="0"/>
              <w:bottom w:val="single" w:color="auto" w:sz="4" w:space="0"/>
              <w:right w:val="single" w:color="auto" w:sz="4" w:space="0"/>
            </w:tcBorders>
            <w:vAlign w:val="center"/>
          </w:tcPr>
          <w:p w14:paraId="222C405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887" w:type="dxa"/>
            <w:tcBorders>
              <w:top w:val="single" w:color="auto" w:sz="4" w:space="0"/>
              <w:left w:val="single" w:color="auto" w:sz="4" w:space="0"/>
              <w:bottom w:val="single" w:color="auto" w:sz="4" w:space="0"/>
              <w:right w:val="single" w:color="auto" w:sz="4" w:space="0"/>
            </w:tcBorders>
            <w:vAlign w:val="center"/>
          </w:tcPr>
          <w:p w14:paraId="78CF457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03BD18F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048" w:type="dxa"/>
            <w:tcBorders>
              <w:top w:val="single" w:color="auto" w:sz="4" w:space="0"/>
              <w:left w:val="single" w:color="auto" w:sz="4" w:space="0"/>
              <w:bottom w:val="single" w:color="auto" w:sz="4" w:space="0"/>
              <w:right w:val="double" w:color="auto" w:sz="4" w:space="0"/>
            </w:tcBorders>
            <w:vAlign w:val="center"/>
          </w:tcPr>
          <w:p w14:paraId="5E4138C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7ED859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1FE64F9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887" w:type="dxa"/>
            <w:tcBorders>
              <w:top w:val="single" w:color="auto" w:sz="4" w:space="0"/>
              <w:left w:val="single" w:color="auto" w:sz="4" w:space="0"/>
              <w:bottom w:val="single" w:color="auto" w:sz="4" w:space="0"/>
              <w:right w:val="single" w:color="auto" w:sz="4" w:space="0"/>
            </w:tcBorders>
            <w:vAlign w:val="center"/>
          </w:tcPr>
          <w:p w14:paraId="698D5FA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1713" w:type="dxa"/>
            <w:tcBorders>
              <w:top w:val="single" w:color="auto" w:sz="4" w:space="0"/>
              <w:left w:val="single" w:color="auto" w:sz="4" w:space="0"/>
              <w:bottom w:val="single" w:color="auto" w:sz="4" w:space="0"/>
              <w:right w:val="single" w:color="auto" w:sz="4" w:space="0"/>
            </w:tcBorders>
            <w:vAlign w:val="center"/>
          </w:tcPr>
          <w:p w14:paraId="1DDC9A4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工期要求</w:t>
            </w:r>
          </w:p>
        </w:tc>
        <w:tc>
          <w:tcPr>
            <w:tcW w:w="6048" w:type="dxa"/>
            <w:tcBorders>
              <w:top w:val="single" w:color="auto" w:sz="4" w:space="0"/>
              <w:left w:val="single" w:color="auto" w:sz="4" w:space="0"/>
              <w:bottom w:val="single" w:color="auto" w:sz="4" w:space="0"/>
              <w:right w:val="double" w:color="auto" w:sz="4" w:space="0"/>
            </w:tcBorders>
            <w:vAlign w:val="center"/>
          </w:tcPr>
          <w:p w14:paraId="57AB00C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总工期：</w:t>
            </w:r>
            <w:r>
              <w:rPr>
                <w:rFonts w:hint="eastAsia" w:ascii="宋体" w:hAnsi="宋体" w:cs="宋体"/>
                <w:color w:val="auto"/>
                <w:szCs w:val="21"/>
                <w:highlight w:val="none"/>
                <w:u w:val="none"/>
                <w:lang w:val="en-US" w:eastAsia="zh-CN"/>
              </w:rPr>
              <w:t>190</w:t>
            </w:r>
            <w:r>
              <w:rPr>
                <w:rFonts w:hint="eastAsia" w:ascii="宋体" w:hAnsi="宋体" w:eastAsia="宋体" w:cs="宋体"/>
                <w:color w:val="auto"/>
                <w:szCs w:val="21"/>
                <w:highlight w:val="none"/>
                <w:u w:val="none"/>
              </w:rPr>
              <w:t>日历天。</w:t>
            </w:r>
          </w:p>
          <w:p w14:paraId="197295D2">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计划开工日期：2025年9月</w:t>
            </w:r>
            <w:r>
              <w:rPr>
                <w:rFonts w:hint="eastAsia" w:ascii="宋体" w:hAnsi="宋体" w:cs="宋体"/>
                <w:color w:val="auto"/>
                <w:szCs w:val="21"/>
                <w:highlight w:val="none"/>
                <w:u w:val="none"/>
                <w:lang w:val="en-US" w:eastAsia="zh-CN"/>
              </w:rPr>
              <w:t>22</w:t>
            </w:r>
            <w:r>
              <w:rPr>
                <w:rFonts w:hint="default" w:ascii="宋体" w:hAnsi="宋体" w:eastAsia="宋体" w:cs="宋体"/>
                <w:color w:val="auto"/>
                <w:szCs w:val="21"/>
                <w:highlight w:val="none"/>
                <w:u w:val="none"/>
              </w:rPr>
              <w:t>日（具体开工时间以开工令为准）。</w:t>
            </w:r>
          </w:p>
          <w:p w14:paraId="5FAF8DC2">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计划竣工日期：2026年3月31日。</w:t>
            </w:r>
          </w:p>
          <w:p w14:paraId="75B0514A">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关键节点工期：</w:t>
            </w:r>
          </w:p>
          <w:p w14:paraId="4689FD45">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1、2025年12月31日前完成管线过路、管线入廊的报批报建手续，过路管线完成施工；</w:t>
            </w:r>
          </w:p>
          <w:p w14:paraId="5569A5F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none"/>
              </w:rPr>
            </w:pPr>
            <w:r>
              <w:rPr>
                <w:rFonts w:hint="default" w:ascii="宋体" w:hAnsi="宋体" w:eastAsia="宋体" w:cs="宋体"/>
                <w:color w:val="auto"/>
                <w:szCs w:val="21"/>
                <w:highlight w:val="none"/>
                <w:u w:val="none"/>
              </w:rPr>
              <w:t>2、2026年3月31日前完成10KV备用回路工程施工和取得供电部门验收送电。</w:t>
            </w:r>
          </w:p>
          <w:p w14:paraId="39B91DB3">
            <w:pPr>
              <w:keepNext w:val="0"/>
              <w:keepLines w:val="0"/>
              <w:suppressLineNumbers w:val="0"/>
              <w:spacing w:before="0" w:beforeAutospacing="0" w:after="0" w:afterAutospacing="0"/>
              <w:ind w:left="0" w:right="0"/>
              <w:rPr>
                <w:rFonts w:hint="default"/>
                <w:color w:val="auto"/>
                <w:highlight w:val="none"/>
              </w:rPr>
            </w:pPr>
            <w:r>
              <w:rPr>
                <w:rFonts w:hint="default" w:ascii="宋体" w:hAnsi="宋体" w:eastAsia="宋体" w:cs="宋体"/>
                <w:color w:val="auto"/>
                <w:szCs w:val="21"/>
                <w:highlight w:val="none"/>
                <w:u w:val="none"/>
              </w:rPr>
              <w:t>专业承包人须配合总承包人的施工进度，并满足总承包人之总工期及关键节点要求，以使整体工程能在合同约定的竣工验收日或之前完成。</w:t>
            </w:r>
          </w:p>
        </w:tc>
      </w:tr>
      <w:tr w14:paraId="5908F6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D7AC89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887" w:type="dxa"/>
            <w:tcBorders>
              <w:top w:val="single" w:color="auto" w:sz="4" w:space="0"/>
              <w:left w:val="single" w:color="auto" w:sz="4" w:space="0"/>
              <w:bottom w:val="single" w:color="auto" w:sz="4" w:space="0"/>
              <w:right w:val="single" w:color="auto" w:sz="4" w:space="0"/>
            </w:tcBorders>
            <w:vAlign w:val="center"/>
          </w:tcPr>
          <w:p w14:paraId="14965F1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1713" w:type="dxa"/>
            <w:tcBorders>
              <w:top w:val="single" w:color="auto" w:sz="4" w:space="0"/>
              <w:left w:val="single" w:color="auto" w:sz="4" w:space="0"/>
              <w:bottom w:val="single" w:color="auto" w:sz="4" w:space="0"/>
              <w:right w:val="single" w:color="auto" w:sz="4" w:space="0"/>
            </w:tcBorders>
            <w:vAlign w:val="center"/>
          </w:tcPr>
          <w:p w14:paraId="60050FB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资金来源</w:t>
            </w:r>
          </w:p>
        </w:tc>
        <w:tc>
          <w:tcPr>
            <w:tcW w:w="6048" w:type="dxa"/>
            <w:tcBorders>
              <w:top w:val="single" w:color="auto" w:sz="4" w:space="0"/>
              <w:left w:val="single" w:color="auto" w:sz="4" w:space="0"/>
              <w:bottom w:val="single" w:color="auto" w:sz="4" w:space="0"/>
              <w:right w:val="double" w:color="auto" w:sz="4" w:space="0"/>
            </w:tcBorders>
            <w:vAlign w:val="center"/>
          </w:tcPr>
          <w:p w14:paraId="75ED487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szCs w:val="21"/>
                <w:highlight w:val="none"/>
              </w:rPr>
              <w:t>详见本工程招标公告。</w:t>
            </w:r>
          </w:p>
        </w:tc>
      </w:tr>
      <w:tr w14:paraId="59D4BF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40F3B06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887" w:type="dxa"/>
            <w:tcBorders>
              <w:top w:val="single" w:color="auto" w:sz="4" w:space="0"/>
              <w:left w:val="single" w:color="auto" w:sz="4" w:space="0"/>
              <w:bottom w:val="single" w:color="auto" w:sz="4" w:space="0"/>
              <w:right w:val="single" w:color="auto" w:sz="4" w:space="0"/>
            </w:tcBorders>
            <w:vAlign w:val="center"/>
          </w:tcPr>
          <w:p w14:paraId="7A006E3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4.1</w:t>
            </w:r>
          </w:p>
        </w:tc>
        <w:tc>
          <w:tcPr>
            <w:tcW w:w="1713" w:type="dxa"/>
            <w:tcBorders>
              <w:top w:val="single" w:color="auto" w:sz="4" w:space="0"/>
              <w:left w:val="single" w:color="auto" w:sz="4" w:space="0"/>
              <w:bottom w:val="single" w:color="auto" w:sz="4" w:space="0"/>
              <w:right w:val="single" w:color="auto" w:sz="4" w:space="0"/>
            </w:tcBorders>
            <w:vAlign w:val="center"/>
          </w:tcPr>
          <w:p w14:paraId="34AA81F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6048" w:type="dxa"/>
            <w:tcBorders>
              <w:top w:val="single" w:color="auto" w:sz="4" w:space="0"/>
              <w:left w:val="single" w:color="auto" w:sz="4" w:space="0"/>
              <w:bottom w:val="single" w:color="auto" w:sz="4" w:space="0"/>
              <w:right w:val="double" w:color="auto" w:sz="4" w:space="0"/>
            </w:tcBorders>
            <w:vAlign w:val="center"/>
          </w:tcPr>
          <w:p w14:paraId="1DD5EDD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01A391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5BB1CA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887" w:type="dxa"/>
            <w:tcBorders>
              <w:top w:val="single" w:color="auto" w:sz="4" w:space="0"/>
              <w:left w:val="single" w:color="auto" w:sz="4" w:space="0"/>
              <w:bottom w:val="single" w:color="auto" w:sz="4" w:space="0"/>
              <w:right w:val="single" w:color="auto" w:sz="4" w:space="0"/>
            </w:tcBorders>
            <w:vAlign w:val="center"/>
          </w:tcPr>
          <w:p w14:paraId="08FBD6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4575055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资格审查方式</w:t>
            </w:r>
          </w:p>
        </w:tc>
        <w:tc>
          <w:tcPr>
            <w:tcW w:w="6048" w:type="dxa"/>
            <w:tcBorders>
              <w:top w:val="single" w:color="auto" w:sz="4" w:space="0"/>
              <w:left w:val="single" w:color="auto" w:sz="4" w:space="0"/>
              <w:bottom w:val="single" w:color="auto" w:sz="4" w:space="0"/>
              <w:right w:val="double" w:color="auto" w:sz="4" w:space="0"/>
            </w:tcBorders>
            <w:vAlign w:val="center"/>
          </w:tcPr>
          <w:p w14:paraId="2401A7E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详见本工程招标公告。</w:t>
            </w:r>
          </w:p>
        </w:tc>
      </w:tr>
      <w:tr w14:paraId="44CD6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0BD81E8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887" w:type="dxa"/>
            <w:tcBorders>
              <w:top w:val="single" w:color="auto" w:sz="4" w:space="0"/>
              <w:left w:val="single" w:color="auto" w:sz="4" w:space="0"/>
              <w:bottom w:val="single" w:color="auto" w:sz="4" w:space="0"/>
              <w:right w:val="single" w:color="auto" w:sz="4" w:space="0"/>
            </w:tcBorders>
            <w:vAlign w:val="center"/>
          </w:tcPr>
          <w:p w14:paraId="1BE670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13.1</w:t>
            </w:r>
          </w:p>
        </w:tc>
        <w:tc>
          <w:tcPr>
            <w:tcW w:w="1713" w:type="dxa"/>
            <w:tcBorders>
              <w:top w:val="single" w:color="auto" w:sz="4" w:space="0"/>
              <w:left w:val="single" w:color="auto" w:sz="4" w:space="0"/>
              <w:bottom w:val="single" w:color="auto" w:sz="4" w:space="0"/>
              <w:right w:val="single" w:color="auto" w:sz="4" w:space="0"/>
            </w:tcBorders>
            <w:vAlign w:val="center"/>
          </w:tcPr>
          <w:p w14:paraId="1B79158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6048" w:type="dxa"/>
            <w:tcBorders>
              <w:top w:val="single" w:color="auto" w:sz="4" w:space="0"/>
              <w:left w:val="single" w:color="auto" w:sz="4" w:space="0"/>
              <w:bottom w:val="single" w:color="auto" w:sz="4" w:space="0"/>
              <w:right w:val="double" w:color="auto" w:sz="4" w:space="0"/>
            </w:tcBorders>
            <w:vAlign w:val="center"/>
          </w:tcPr>
          <w:p w14:paraId="64BEA2E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szCs w:val="21"/>
                <w:highlight w:val="none"/>
              </w:rPr>
              <w:t>工程量清单计价，按国家、省有关计价规范执行。</w:t>
            </w:r>
          </w:p>
        </w:tc>
      </w:tr>
      <w:tr w14:paraId="016EF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620826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887" w:type="dxa"/>
            <w:tcBorders>
              <w:top w:val="single" w:color="auto" w:sz="4" w:space="0"/>
              <w:left w:val="single" w:color="auto" w:sz="4" w:space="0"/>
              <w:bottom w:val="single" w:color="auto" w:sz="4" w:space="0"/>
              <w:right w:val="single" w:color="auto" w:sz="4" w:space="0"/>
            </w:tcBorders>
            <w:vAlign w:val="center"/>
          </w:tcPr>
          <w:p w14:paraId="7AA8A11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15.1</w:t>
            </w:r>
          </w:p>
        </w:tc>
        <w:tc>
          <w:tcPr>
            <w:tcW w:w="1713" w:type="dxa"/>
            <w:tcBorders>
              <w:top w:val="single" w:color="auto" w:sz="4" w:space="0"/>
              <w:left w:val="single" w:color="auto" w:sz="4" w:space="0"/>
              <w:bottom w:val="single" w:color="auto" w:sz="4" w:space="0"/>
              <w:right w:val="single" w:color="auto" w:sz="4" w:space="0"/>
            </w:tcBorders>
            <w:vAlign w:val="center"/>
          </w:tcPr>
          <w:p w14:paraId="621C317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048" w:type="dxa"/>
            <w:tcBorders>
              <w:top w:val="single" w:color="auto" w:sz="4" w:space="0"/>
              <w:left w:val="single" w:color="auto" w:sz="4" w:space="0"/>
              <w:bottom w:val="single" w:color="auto" w:sz="4" w:space="0"/>
              <w:right w:val="double" w:color="auto" w:sz="4" w:space="0"/>
            </w:tcBorders>
            <w:vAlign w:val="center"/>
          </w:tcPr>
          <w:p w14:paraId="246E66F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90日历天。（从投标截止之日计起）如出现异议或投诉超过90日历天的，则投标有效期自动延长至异议或投诉处理结束。</w:t>
            </w:r>
          </w:p>
        </w:tc>
      </w:tr>
      <w:tr w14:paraId="39408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AC5E2A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14</w:t>
            </w:r>
          </w:p>
        </w:tc>
        <w:tc>
          <w:tcPr>
            <w:tcW w:w="887" w:type="dxa"/>
            <w:tcBorders>
              <w:top w:val="single" w:color="auto" w:sz="4" w:space="0"/>
              <w:left w:val="single" w:color="auto" w:sz="4" w:space="0"/>
              <w:bottom w:val="single" w:color="auto" w:sz="4" w:space="0"/>
              <w:right w:val="single" w:color="auto" w:sz="4" w:space="0"/>
            </w:tcBorders>
            <w:vAlign w:val="center"/>
          </w:tcPr>
          <w:p w14:paraId="4322681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16.1</w:t>
            </w:r>
          </w:p>
        </w:tc>
        <w:tc>
          <w:tcPr>
            <w:tcW w:w="1713" w:type="dxa"/>
            <w:tcBorders>
              <w:top w:val="single" w:color="auto" w:sz="4" w:space="0"/>
              <w:left w:val="single" w:color="auto" w:sz="4" w:space="0"/>
              <w:bottom w:val="single" w:color="auto" w:sz="4" w:space="0"/>
              <w:right w:val="single" w:color="auto" w:sz="4" w:space="0"/>
            </w:tcBorders>
            <w:vAlign w:val="center"/>
          </w:tcPr>
          <w:p w14:paraId="77F7680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048" w:type="dxa"/>
            <w:tcBorders>
              <w:top w:val="single" w:color="auto" w:sz="4" w:space="0"/>
              <w:left w:val="single" w:color="auto" w:sz="4" w:space="0"/>
              <w:bottom w:val="single" w:color="auto" w:sz="4" w:space="0"/>
              <w:right w:val="double" w:color="auto" w:sz="4" w:space="0"/>
            </w:tcBorders>
            <w:vAlign w:val="center"/>
          </w:tcPr>
          <w:p w14:paraId="250DB598">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1、投标保证金的金额：人民币</w:t>
            </w:r>
            <w:r>
              <w:rPr>
                <w:rFonts w:hint="eastAsia"/>
                <w:b/>
                <w:bCs/>
                <w:color w:val="auto"/>
                <w:highlight w:val="none"/>
                <w:u w:val="single"/>
                <w:lang w:val="en-US" w:eastAsia="zh-CN"/>
              </w:rPr>
              <w:t>6</w:t>
            </w:r>
            <w:r>
              <w:rPr>
                <w:rFonts w:hint="eastAsia"/>
                <w:b/>
                <w:bCs/>
                <w:color w:val="auto"/>
                <w:highlight w:val="none"/>
                <w:u w:val="single"/>
              </w:rPr>
              <w:t>万元</w:t>
            </w:r>
            <w:r>
              <w:rPr>
                <w:rFonts w:hint="eastAsia"/>
                <w:color w:val="auto"/>
                <w:highlight w:val="none"/>
              </w:rPr>
              <w:t>，缴纳时间在投标截止时间之前。</w:t>
            </w:r>
          </w:p>
          <w:p w14:paraId="4850ECC3">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注：根据《房屋建筑和市政基础设施工程施工招标投标管理办法》（建设部令第89号）第二十六条的规定，投标保证金一般不得超过投标总价的2％，最高不得超过50万元。</w:t>
            </w:r>
          </w:p>
          <w:p w14:paraId="5D3C35A8">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2、投标保证金的形式：投标保证金可采用现金、支票（现金支票、转账支票）、银行汇票、银行本票、银行电汇、银行转账、银行保函、保证保险、专业工程担保公司担保等能够实现保证目的形式。收取方式：</w:t>
            </w:r>
          </w:p>
          <w:p w14:paraId="0AD2AB8B">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（1）如采用现金、支票或者银行汇票、银行本票、银行电汇、银行转账形式提交的，由广州交易集团有限公司代收，投标保证金须从投标人基本账户递交。</w:t>
            </w:r>
          </w:p>
          <w:p w14:paraId="67C4448E">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①具体要求详见广州交易集团有限公司（广州公共资源交易中心）有关指引。</w:t>
            </w:r>
          </w:p>
          <w:p w14:paraId="64016712">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②投标人必须提前办理缴纳投标保证金的事宜，且在缴纳保证金之前必须先咨询广州交易集团有限公司（广州公共资源交易中心）详细缴纳方法，否则需自行承担保证金无法成功缴纳的风险。</w:t>
            </w:r>
          </w:p>
          <w:p w14:paraId="0268B3B1">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254FD9B">
            <w:pPr>
              <w:keepNext w:val="0"/>
              <w:keepLines w:val="0"/>
              <w:suppressLineNumbers w:val="0"/>
              <w:spacing w:before="0" w:beforeAutospacing="0" w:after="0" w:afterAutospacing="0"/>
              <w:ind w:left="0" w:right="0"/>
              <w:rPr>
                <w:rFonts w:hint="eastAsia"/>
                <w:color w:val="auto"/>
                <w:highlight w:val="none"/>
              </w:rPr>
            </w:pPr>
            <w:r>
              <w:rPr>
                <w:rFonts w:hint="eastAsia"/>
                <w:color w:val="auto"/>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7B626D5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highlight w:val="non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tc>
      </w:tr>
      <w:tr w14:paraId="6BDD97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145660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15</w:t>
            </w:r>
          </w:p>
        </w:tc>
        <w:tc>
          <w:tcPr>
            <w:tcW w:w="887" w:type="dxa"/>
            <w:tcBorders>
              <w:top w:val="single" w:color="auto" w:sz="4" w:space="0"/>
              <w:left w:val="single" w:color="auto" w:sz="4" w:space="0"/>
              <w:bottom w:val="single" w:color="auto" w:sz="4" w:space="0"/>
              <w:right w:val="single" w:color="auto" w:sz="4" w:space="0"/>
            </w:tcBorders>
            <w:vAlign w:val="center"/>
          </w:tcPr>
          <w:p w14:paraId="4F38BBC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1713" w:type="dxa"/>
            <w:tcBorders>
              <w:top w:val="single" w:color="auto" w:sz="4" w:space="0"/>
              <w:left w:val="single" w:color="auto" w:sz="4" w:space="0"/>
              <w:bottom w:val="single" w:color="auto" w:sz="4" w:space="0"/>
              <w:right w:val="single" w:color="auto" w:sz="4" w:space="0"/>
            </w:tcBorders>
            <w:vAlign w:val="center"/>
          </w:tcPr>
          <w:p w14:paraId="14A8F8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踏勘现场</w:t>
            </w:r>
          </w:p>
        </w:tc>
        <w:tc>
          <w:tcPr>
            <w:tcW w:w="6048" w:type="dxa"/>
            <w:tcBorders>
              <w:top w:val="single" w:color="auto" w:sz="4" w:space="0"/>
              <w:left w:val="single" w:color="auto" w:sz="4" w:space="0"/>
              <w:bottom w:val="single" w:color="auto" w:sz="4" w:space="0"/>
              <w:right w:val="double" w:color="auto" w:sz="4" w:space="0"/>
            </w:tcBorders>
            <w:vAlign w:val="center"/>
          </w:tcPr>
          <w:p w14:paraId="63FE13BC">
            <w:pPr>
              <w:pStyle w:val="24"/>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时间：</w:t>
            </w:r>
            <w:r>
              <w:rPr>
                <w:rFonts w:hint="eastAsia" w:ascii="宋体" w:hAnsi="宋体" w:cs="宋体"/>
                <w:color w:val="auto"/>
                <w:kern w:val="2"/>
                <w:sz w:val="21"/>
                <w:szCs w:val="21"/>
                <w:highlight w:val="none"/>
                <w:u w:val="single"/>
              </w:rPr>
              <w:t>自招标公告发布之日起具备现场踏勘条件</w:t>
            </w:r>
            <w:r>
              <w:rPr>
                <w:rFonts w:hint="eastAsia" w:ascii="宋体" w:hAnsi="宋体" w:cs="宋体"/>
                <w:color w:val="auto"/>
                <w:kern w:val="2"/>
                <w:sz w:val="21"/>
                <w:szCs w:val="21"/>
                <w:highlight w:val="none"/>
              </w:rPr>
              <w:t>；</w:t>
            </w:r>
          </w:p>
          <w:p w14:paraId="604CF271">
            <w:pPr>
              <w:pStyle w:val="24"/>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方式：</w:t>
            </w:r>
            <w:r>
              <w:rPr>
                <w:rFonts w:hint="eastAsia" w:ascii="宋体" w:hAnsi="宋体" w:cs="宋体"/>
                <w:color w:val="auto"/>
                <w:kern w:val="2"/>
                <w:sz w:val="21"/>
                <w:szCs w:val="21"/>
                <w:highlight w:val="none"/>
                <w:u w:val="single"/>
              </w:rPr>
              <w:t>招标人不集中组织，由投标人自行踏勘</w:t>
            </w:r>
            <w:r>
              <w:rPr>
                <w:rFonts w:hint="eastAsia" w:ascii="宋体" w:hAnsi="宋体" w:cs="宋体"/>
                <w:color w:val="auto"/>
                <w:kern w:val="2"/>
                <w:sz w:val="21"/>
                <w:szCs w:val="21"/>
                <w:highlight w:val="none"/>
              </w:rPr>
              <w:t>；</w:t>
            </w:r>
          </w:p>
          <w:p w14:paraId="08611147">
            <w:pPr>
              <w:pStyle w:val="24"/>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现场详细地点：广州市海珠区琶洲西区AH040245地块。</w:t>
            </w:r>
          </w:p>
        </w:tc>
      </w:tr>
      <w:tr w14:paraId="13709E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797A6B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16</w:t>
            </w:r>
          </w:p>
        </w:tc>
        <w:tc>
          <w:tcPr>
            <w:tcW w:w="887" w:type="dxa"/>
            <w:tcBorders>
              <w:top w:val="single" w:color="auto" w:sz="4" w:space="0"/>
              <w:left w:val="single" w:color="auto" w:sz="4" w:space="0"/>
              <w:bottom w:val="single" w:color="auto" w:sz="4" w:space="0"/>
              <w:right w:val="single" w:color="auto" w:sz="4" w:space="0"/>
            </w:tcBorders>
            <w:vAlign w:val="center"/>
          </w:tcPr>
          <w:p w14:paraId="0C5204E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1713" w:type="dxa"/>
            <w:tcBorders>
              <w:top w:val="single" w:color="auto" w:sz="4" w:space="0"/>
              <w:left w:val="single" w:color="auto" w:sz="4" w:space="0"/>
              <w:bottom w:val="single" w:color="auto" w:sz="4" w:space="0"/>
              <w:right w:val="single" w:color="auto" w:sz="4" w:space="0"/>
            </w:tcBorders>
            <w:vAlign w:val="center"/>
          </w:tcPr>
          <w:p w14:paraId="0E0F330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投标答疑</w:t>
            </w:r>
          </w:p>
        </w:tc>
        <w:tc>
          <w:tcPr>
            <w:tcW w:w="6048" w:type="dxa"/>
            <w:tcBorders>
              <w:top w:val="single" w:color="auto" w:sz="4" w:space="0"/>
              <w:left w:val="single" w:color="auto" w:sz="4" w:space="0"/>
              <w:bottom w:val="single" w:color="auto" w:sz="4" w:space="0"/>
              <w:right w:val="double" w:color="auto" w:sz="4" w:space="0"/>
            </w:tcBorders>
            <w:vAlign w:val="center"/>
          </w:tcPr>
          <w:p w14:paraId="1D17AB2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14:paraId="291769D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rPr>
              <w:t>交易平台提交。</w:t>
            </w:r>
          </w:p>
          <w:p w14:paraId="48A83FD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具体要求：</w:t>
            </w:r>
            <w:r>
              <w:rPr>
                <w:rFonts w:hint="eastAsia" w:ascii="宋体" w:hAnsi="宋体" w:cs="宋体"/>
                <w:color w:val="auto"/>
                <w:szCs w:val="21"/>
                <w:highlight w:val="none"/>
                <w:u w:val="single"/>
              </w:rPr>
              <w:t>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网站。提问一律不得署名。</w:t>
            </w:r>
          </w:p>
        </w:tc>
      </w:tr>
      <w:tr w14:paraId="18F9F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30DDC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17</w:t>
            </w:r>
          </w:p>
        </w:tc>
        <w:tc>
          <w:tcPr>
            <w:tcW w:w="887" w:type="dxa"/>
            <w:tcBorders>
              <w:top w:val="single" w:color="auto" w:sz="4" w:space="0"/>
              <w:left w:val="single" w:color="auto" w:sz="4" w:space="0"/>
              <w:bottom w:val="single" w:color="auto" w:sz="4" w:space="0"/>
              <w:right w:val="single" w:color="auto" w:sz="4" w:space="0"/>
            </w:tcBorders>
            <w:vAlign w:val="center"/>
          </w:tcPr>
          <w:p w14:paraId="5D3FBC1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1C2727B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投标截止时间</w:t>
            </w:r>
          </w:p>
        </w:tc>
        <w:tc>
          <w:tcPr>
            <w:tcW w:w="6048" w:type="dxa"/>
            <w:tcBorders>
              <w:top w:val="single" w:color="auto" w:sz="4" w:space="0"/>
              <w:left w:val="single" w:color="auto" w:sz="4" w:space="0"/>
              <w:bottom w:val="single" w:color="auto" w:sz="4" w:space="0"/>
              <w:right w:val="double" w:color="auto" w:sz="4" w:space="0"/>
            </w:tcBorders>
            <w:vAlign w:val="center"/>
          </w:tcPr>
          <w:p w14:paraId="565C04BC">
            <w:pPr>
              <w:keepNext w:val="0"/>
              <w:keepLines w:val="0"/>
              <w:suppressLineNumbers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lang w:eastAsia="zh-CN"/>
              </w:rPr>
              <w:t>2025</w:t>
            </w:r>
            <w:r>
              <w:rPr>
                <w:rFonts w:hint="eastAsia" w:ascii="宋体" w:hAnsi="宋体" w:cs="宋体"/>
                <w:color w:val="auto"/>
                <w:szCs w:val="21"/>
                <w:highlight w:val="none"/>
              </w:rPr>
              <w:t>年   月   日  时   分（北京时间）。</w:t>
            </w:r>
          </w:p>
        </w:tc>
      </w:tr>
      <w:tr w14:paraId="406D80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CAA0BD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18</w:t>
            </w:r>
          </w:p>
        </w:tc>
        <w:tc>
          <w:tcPr>
            <w:tcW w:w="887" w:type="dxa"/>
            <w:tcBorders>
              <w:top w:val="single" w:color="auto" w:sz="4" w:space="0"/>
              <w:left w:val="single" w:color="auto" w:sz="4" w:space="0"/>
              <w:bottom w:val="single" w:color="auto" w:sz="4" w:space="0"/>
              <w:right w:val="single" w:color="auto" w:sz="4" w:space="0"/>
            </w:tcBorders>
            <w:vAlign w:val="center"/>
          </w:tcPr>
          <w:p w14:paraId="4B64006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20.1</w:t>
            </w:r>
          </w:p>
        </w:tc>
        <w:tc>
          <w:tcPr>
            <w:tcW w:w="1713" w:type="dxa"/>
            <w:tcBorders>
              <w:top w:val="single" w:color="auto" w:sz="4" w:space="0"/>
              <w:left w:val="single" w:color="auto" w:sz="4" w:space="0"/>
              <w:bottom w:val="single" w:color="auto" w:sz="4" w:space="0"/>
              <w:right w:val="single" w:color="auto" w:sz="4" w:space="0"/>
            </w:tcBorders>
            <w:vAlign w:val="center"/>
          </w:tcPr>
          <w:p w14:paraId="376DDFD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开标开始时间和地点</w:t>
            </w:r>
          </w:p>
        </w:tc>
        <w:tc>
          <w:tcPr>
            <w:tcW w:w="6048" w:type="dxa"/>
            <w:tcBorders>
              <w:top w:val="single" w:color="auto" w:sz="4" w:space="0"/>
              <w:left w:val="single" w:color="auto" w:sz="4" w:space="0"/>
              <w:bottom w:val="single" w:color="auto" w:sz="4" w:space="0"/>
              <w:right w:val="double" w:color="auto" w:sz="4" w:space="0"/>
            </w:tcBorders>
            <w:vAlign w:val="center"/>
          </w:tcPr>
          <w:p w14:paraId="154F0039">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1FD39C59">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1、开标开始时间：</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w:t>
            </w:r>
            <w:r>
              <w:rPr>
                <w:rFonts w:hint="eastAsia" w:ascii="宋体" w:hAnsi="宋体" w:cs="宋体"/>
                <w:bCs/>
                <w:color w:val="auto"/>
                <w:kern w:val="0"/>
                <w:szCs w:val="21"/>
                <w:highlight w:val="none"/>
              </w:rPr>
              <w:t>（与投标截止时间为同一时间），地点：</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第   开标室</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投标人也可选择参加在线开标，具体按照交易平台相关指南进行操作。详见：http://www.gzggzy.cn/fwznbszyjsgc/index.jhtml。</w:t>
            </w:r>
          </w:p>
          <w:p w14:paraId="3319D48D">
            <w:pPr>
              <w:keepNext w:val="0"/>
              <w:keepLines w:val="0"/>
              <w:widowControl/>
              <w:suppressLineNumbers w:val="0"/>
              <w:spacing w:before="0" w:beforeAutospacing="0" w:after="0" w:afterAutospacing="0"/>
              <w:ind w:left="0" w:right="0"/>
              <w:jc w:val="left"/>
              <w:rPr>
                <w:rFonts w:hint="default" w:ascii="宋体" w:hAnsi="宋体" w:cs="宋体"/>
                <w:bCs/>
                <w:color w:val="auto"/>
                <w:kern w:val="0"/>
                <w:szCs w:val="21"/>
                <w:highlight w:val="none"/>
              </w:rPr>
            </w:pPr>
            <w:r>
              <w:rPr>
                <w:rFonts w:hint="eastAsia" w:ascii="宋体" w:hAnsi="宋体" w:cs="宋体"/>
                <w:bCs/>
                <w:color w:val="auto"/>
                <w:kern w:val="0"/>
                <w:szCs w:val="21"/>
                <w:highlight w:val="none"/>
              </w:rPr>
              <w:t>2、递交投标文件备用光盘时间：</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分至</w:t>
            </w:r>
            <w:r>
              <w:rPr>
                <w:rFonts w:hint="eastAsia" w:ascii="宋体" w:hAnsi="宋体" w:cs="宋体"/>
                <w:bCs/>
                <w:color w:val="auto"/>
                <w:kern w:val="0"/>
                <w:szCs w:val="21"/>
                <w:highlight w:val="none"/>
                <w:u w:val="single"/>
                <w:lang w:eastAsia="zh-CN"/>
              </w:rPr>
              <w:t>2025</w:t>
            </w:r>
            <w:r>
              <w:rPr>
                <w:rFonts w:hint="eastAsia" w:ascii="宋体" w:hAnsi="宋体" w:cs="宋体"/>
                <w:bCs/>
                <w:color w:val="auto"/>
                <w:kern w:val="0"/>
                <w:szCs w:val="21"/>
                <w:highlight w:val="none"/>
                <w:u w:val="single"/>
              </w:rPr>
              <w:t>年  月  日  时  分</w:t>
            </w:r>
            <w:r>
              <w:rPr>
                <w:rFonts w:hint="eastAsia" w:ascii="宋体" w:hAnsi="宋体" w:cs="宋体"/>
                <w:bCs/>
                <w:color w:val="auto"/>
                <w:kern w:val="0"/>
                <w:szCs w:val="21"/>
                <w:highlight w:val="none"/>
              </w:rPr>
              <w:t>；递交地点：</w:t>
            </w:r>
            <w:r>
              <w:rPr>
                <w:rFonts w:hint="eastAsia" w:ascii="宋体" w:hAnsi="宋体" w:cs="宋体"/>
                <w:bCs/>
                <w:color w:val="auto"/>
                <w:szCs w:val="21"/>
                <w:highlight w:val="none"/>
                <w:u w:val="single"/>
                <w:lang w:eastAsia="zh-CN"/>
              </w:rPr>
              <w:t>广州交易集团有限公司（广州公共资源交易中心）</w:t>
            </w:r>
            <w:r>
              <w:rPr>
                <w:rFonts w:hint="eastAsia" w:ascii="宋体" w:hAnsi="宋体" w:cs="宋体"/>
                <w:bCs/>
                <w:color w:val="auto"/>
                <w:szCs w:val="21"/>
                <w:highlight w:val="none"/>
                <w:u w:val="single"/>
              </w:rPr>
              <w:t>第   开标室</w:t>
            </w:r>
            <w:r>
              <w:rPr>
                <w:rFonts w:hint="eastAsia" w:ascii="宋体" w:hAnsi="宋体" w:cs="宋体"/>
                <w:bCs/>
                <w:color w:val="auto"/>
                <w:kern w:val="0"/>
                <w:szCs w:val="21"/>
                <w:highlight w:val="none"/>
              </w:rPr>
              <w:t>。(建议安排在投标文件截止时间前15分钟至投标文件截止时间）</w:t>
            </w:r>
          </w:p>
          <w:p w14:paraId="6271787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bCs/>
                <w:color w:val="auto"/>
                <w:kern w:val="0"/>
                <w:szCs w:val="21"/>
                <w:highlight w:val="none"/>
              </w:rPr>
              <w:t>上述时间及地点是否有改变，请密切留意</w:t>
            </w:r>
            <w:r>
              <w:rPr>
                <w:rFonts w:hint="eastAsia" w:ascii="宋体" w:hAnsi="宋体" w:cs="宋体"/>
                <w:bCs/>
                <w:color w:val="auto"/>
                <w:kern w:val="0"/>
                <w:szCs w:val="21"/>
                <w:highlight w:val="none"/>
                <w:u w:val="single"/>
              </w:rPr>
              <w:t>补充公告和</w:t>
            </w:r>
            <w:r>
              <w:rPr>
                <w:rFonts w:hint="eastAsia" w:ascii="宋体" w:hAnsi="宋体" w:cs="宋体"/>
                <w:bCs/>
                <w:color w:val="auto"/>
                <w:kern w:val="0"/>
                <w:szCs w:val="21"/>
                <w:highlight w:val="none"/>
              </w:rPr>
              <w:t>招标答疑纪要的相关信息。</w:t>
            </w:r>
          </w:p>
        </w:tc>
      </w:tr>
      <w:tr w14:paraId="004C41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02" w:type="dxa"/>
            <w:tcBorders>
              <w:top w:val="single" w:color="auto" w:sz="4" w:space="0"/>
              <w:left w:val="double" w:color="auto" w:sz="4" w:space="0"/>
              <w:bottom w:val="single" w:color="auto" w:sz="4" w:space="0"/>
              <w:right w:val="single" w:color="auto" w:sz="4" w:space="0"/>
            </w:tcBorders>
            <w:vAlign w:val="center"/>
          </w:tcPr>
          <w:p w14:paraId="0896D8F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19</w:t>
            </w:r>
          </w:p>
        </w:tc>
        <w:tc>
          <w:tcPr>
            <w:tcW w:w="887" w:type="dxa"/>
            <w:tcBorders>
              <w:top w:val="single" w:color="auto" w:sz="4" w:space="0"/>
              <w:left w:val="single" w:color="auto" w:sz="4" w:space="0"/>
              <w:bottom w:val="single" w:color="auto" w:sz="4" w:space="0"/>
              <w:right w:val="single" w:color="auto" w:sz="4" w:space="0"/>
            </w:tcBorders>
            <w:vAlign w:val="center"/>
          </w:tcPr>
          <w:p w14:paraId="35EE4BB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1713" w:type="dxa"/>
            <w:tcBorders>
              <w:top w:val="single" w:color="auto" w:sz="4" w:space="0"/>
              <w:left w:val="single" w:color="auto" w:sz="4" w:space="0"/>
              <w:bottom w:val="single" w:color="auto" w:sz="4" w:space="0"/>
              <w:right w:val="single" w:color="auto" w:sz="4" w:space="0"/>
            </w:tcBorders>
            <w:vAlign w:val="center"/>
          </w:tcPr>
          <w:p w14:paraId="68CA762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开标评标办法</w:t>
            </w:r>
          </w:p>
        </w:tc>
        <w:tc>
          <w:tcPr>
            <w:tcW w:w="6048" w:type="dxa"/>
            <w:tcBorders>
              <w:top w:val="single" w:color="auto" w:sz="4" w:space="0"/>
              <w:left w:val="single" w:color="auto" w:sz="4" w:space="0"/>
              <w:bottom w:val="single" w:color="auto" w:sz="4" w:space="0"/>
              <w:right w:val="double" w:color="auto" w:sz="4" w:space="0"/>
            </w:tcBorders>
            <w:vAlign w:val="center"/>
          </w:tcPr>
          <w:p w14:paraId="07C87852">
            <w:pPr>
              <w:pStyle w:val="5"/>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方式一：选取方法</w:t>
            </w:r>
            <w:r>
              <w:rPr>
                <w:rFonts w:hint="eastAsia" w:ascii="宋体" w:hAnsi="宋体" w:cs="宋体"/>
                <w:color w:val="auto"/>
                <w:sz w:val="21"/>
                <w:szCs w:val="21"/>
                <w:highlight w:val="none"/>
                <w:u w:val="single"/>
              </w:rPr>
              <w:t>七（综合评分法四，技术标与经济标同时开启）</w:t>
            </w:r>
            <w:r>
              <w:rPr>
                <w:rFonts w:hint="eastAsia" w:ascii="宋体" w:hAnsi="宋体" w:cs="宋体"/>
                <w:color w:val="auto"/>
                <w:sz w:val="21"/>
                <w:szCs w:val="21"/>
                <w:highlight w:val="none"/>
              </w:rPr>
              <w:t>；</w:t>
            </w:r>
          </w:p>
          <w:p w14:paraId="16F75516">
            <w:pPr>
              <w:pStyle w:val="5"/>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投标人总得分=技术得分（100分）×技术得分权重（20%）＋经济得分（100分）×经济得分权重（80%）。总得分四舍五入保留两位小数。总分相同的，以技术得分高的排前；总分与技术得分均相同</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，以投标报价较低的排前；如仍存在相同情况，则对具有相同情况的投标人，按中标候选人数量规定，由评标委员会采用随机抽取方式，确定中标候选人的排序。</w:t>
            </w:r>
          </w:p>
        </w:tc>
      </w:tr>
      <w:tr w14:paraId="7ED8A4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02" w:type="dxa"/>
            <w:tcBorders>
              <w:top w:val="single" w:color="auto" w:sz="4" w:space="0"/>
              <w:left w:val="double" w:color="auto" w:sz="4" w:space="0"/>
              <w:bottom w:val="single" w:color="auto" w:sz="4" w:space="0"/>
              <w:right w:val="single" w:color="auto" w:sz="4" w:space="0"/>
            </w:tcBorders>
            <w:vAlign w:val="center"/>
          </w:tcPr>
          <w:p w14:paraId="1A07D5B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20</w:t>
            </w:r>
          </w:p>
        </w:tc>
        <w:tc>
          <w:tcPr>
            <w:tcW w:w="887" w:type="dxa"/>
            <w:tcBorders>
              <w:top w:val="single" w:color="auto" w:sz="4" w:space="0"/>
              <w:left w:val="single" w:color="auto" w:sz="4" w:space="0"/>
              <w:bottom w:val="single" w:color="auto" w:sz="4" w:space="0"/>
              <w:right w:val="single" w:color="auto" w:sz="4" w:space="0"/>
            </w:tcBorders>
            <w:vAlign w:val="center"/>
          </w:tcPr>
          <w:p w14:paraId="0234357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29.1</w:t>
            </w:r>
          </w:p>
        </w:tc>
        <w:tc>
          <w:tcPr>
            <w:tcW w:w="1713" w:type="dxa"/>
            <w:tcBorders>
              <w:top w:val="single" w:color="auto" w:sz="4" w:space="0"/>
              <w:left w:val="single" w:color="auto" w:sz="4" w:space="0"/>
              <w:bottom w:val="single" w:color="auto" w:sz="4" w:space="0"/>
              <w:right w:val="single" w:color="auto" w:sz="4" w:space="0"/>
            </w:tcBorders>
            <w:vAlign w:val="center"/>
          </w:tcPr>
          <w:p w14:paraId="7A085C9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048" w:type="dxa"/>
            <w:tcBorders>
              <w:top w:val="single" w:color="auto" w:sz="4" w:space="0"/>
              <w:left w:val="single" w:color="auto" w:sz="4" w:space="0"/>
              <w:bottom w:val="single" w:color="auto" w:sz="4" w:space="0"/>
              <w:right w:val="double" w:color="auto" w:sz="4" w:space="0"/>
            </w:tcBorders>
            <w:vAlign w:val="center"/>
          </w:tcPr>
          <w:p w14:paraId="0DD44C30">
            <w:pPr>
              <w:pStyle w:val="5"/>
              <w:keepNext w:val="0"/>
              <w:keepLines w:val="0"/>
              <w:suppressLineNumbers w:val="0"/>
              <w:spacing w:before="0" w:beforeAutospacing="0" w:after="0" w:afterAutospacing="0"/>
              <w:ind w:left="0" w:right="0" w:firstLine="0"/>
              <w:rPr>
                <w:rFonts w:hint="default" w:ascii="宋体" w:hAnsi="宋体" w:cs="宋体"/>
                <w:color w:val="auto"/>
                <w:sz w:val="21"/>
                <w:szCs w:val="21"/>
                <w:highlight w:val="none"/>
              </w:rPr>
            </w:pPr>
            <w:r>
              <w:rPr>
                <w:rFonts w:hint="eastAsia" w:ascii="宋体" w:hAnsi="宋体" w:cs="宋体"/>
                <w:color w:val="auto"/>
                <w:sz w:val="21"/>
                <w:szCs w:val="21"/>
                <w:highlight w:val="none"/>
              </w:rPr>
              <w:t>方式一：中标人提供的履约保证金为中标价款的</w:t>
            </w:r>
            <w:r>
              <w:rPr>
                <w:rFonts w:hint="default" w:ascii="宋体" w:hAnsi="宋体" w:cs="宋体"/>
                <w:color w:val="auto"/>
                <w:sz w:val="21"/>
                <w:szCs w:val="21"/>
                <w:highlight w:val="none"/>
              </w:rPr>
              <w:t>10</w:t>
            </w:r>
            <w:r>
              <w:rPr>
                <w:rFonts w:hint="eastAsia" w:ascii="宋体" w:hAnsi="宋体" w:cs="宋体"/>
                <w:color w:val="auto"/>
                <w:sz w:val="21"/>
                <w:szCs w:val="21"/>
                <w:highlight w:val="none"/>
              </w:rPr>
              <w:t>%。</w:t>
            </w:r>
          </w:p>
        </w:tc>
      </w:tr>
      <w:tr w14:paraId="53C5E8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02" w:type="dxa"/>
            <w:tcBorders>
              <w:top w:val="single" w:color="auto" w:sz="4" w:space="0"/>
              <w:left w:val="double" w:color="auto" w:sz="4" w:space="0"/>
              <w:bottom w:val="single" w:color="auto" w:sz="4" w:space="0"/>
              <w:right w:val="single" w:color="auto" w:sz="4" w:space="0"/>
            </w:tcBorders>
            <w:vAlign w:val="center"/>
          </w:tcPr>
          <w:p w14:paraId="4B21474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21</w:t>
            </w:r>
          </w:p>
        </w:tc>
        <w:tc>
          <w:tcPr>
            <w:tcW w:w="887" w:type="dxa"/>
            <w:tcBorders>
              <w:top w:val="single" w:color="auto" w:sz="4" w:space="0"/>
              <w:left w:val="single" w:color="auto" w:sz="4" w:space="0"/>
              <w:bottom w:val="single" w:color="auto" w:sz="4" w:space="0"/>
              <w:right w:val="single" w:color="auto" w:sz="4" w:space="0"/>
            </w:tcBorders>
            <w:vAlign w:val="center"/>
          </w:tcPr>
          <w:p w14:paraId="3B51C6A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209EE9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最高投标限价</w:t>
            </w:r>
          </w:p>
        </w:tc>
        <w:tc>
          <w:tcPr>
            <w:tcW w:w="6048" w:type="dxa"/>
            <w:tcBorders>
              <w:top w:val="single" w:color="auto" w:sz="4" w:space="0"/>
              <w:left w:val="single" w:color="auto" w:sz="4" w:space="0"/>
              <w:bottom w:val="single" w:color="auto" w:sz="4" w:space="0"/>
              <w:right w:val="double" w:color="auto" w:sz="4" w:space="0"/>
            </w:tcBorders>
            <w:vAlign w:val="center"/>
          </w:tcPr>
          <w:p w14:paraId="1041F23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本项目最高投标限价为</w:t>
            </w:r>
            <w:r>
              <w:rPr>
                <w:rFonts w:hint="eastAsia" w:ascii="宋体" w:hAnsi="宋体" w:cs="宋体"/>
                <w:color w:val="auto"/>
                <w:szCs w:val="21"/>
                <w:highlight w:val="none"/>
                <w:u w:val="single"/>
              </w:rPr>
              <w:t>人民币3</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443</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880.49元。</w:t>
            </w:r>
          </w:p>
        </w:tc>
      </w:tr>
      <w:tr w14:paraId="4148B9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02" w:type="dxa"/>
            <w:tcBorders>
              <w:top w:val="single" w:color="auto" w:sz="4" w:space="0"/>
              <w:left w:val="double" w:color="auto" w:sz="4" w:space="0"/>
              <w:bottom w:val="single" w:color="auto" w:sz="4" w:space="0"/>
              <w:right w:val="single" w:color="auto" w:sz="4" w:space="0"/>
            </w:tcBorders>
            <w:vAlign w:val="center"/>
          </w:tcPr>
          <w:p w14:paraId="2C93C78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22</w:t>
            </w:r>
          </w:p>
        </w:tc>
        <w:tc>
          <w:tcPr>
            <w:tcW w:w="887" w:type="dxa"/>
            <w:tcBorders>
              <w:top w:val="single" w:color="auto" w:sz="4" w:space="0"/>
              <w:left w:val="single" w:color="auto" w:sz="4" w:space="0"/>
              <w:bottom w:val="single" w:color="auto" w:sz="4" w:space="0"/>
              <w:right w:val="single" w:color="auto" w:sz="4" w:space="0"/>
            </w:tcBorders>
            <w:vAlign w:val="center"/>
          </w:tcPr>
          <w:p w14:paraId="3190B55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C2563F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非竞争费用</w:t>
            </w:r>
          </w:p>
        </w:tc>
        <w:tc>
          <w:tcPr>
            <w:tcW w:w="6048" w:type="dxa"/>
            <w:tcBorders>
              <w:top w:val="single" w:color="auto" w:sz="4" w:space="0"/>
              <w:left w:val="single" w:color="auto" w:sz="4" w:space="0"/>
              <w:bottom w:val="single" w:color="auto" w:sz="4" w:space="0"/>
              <w:right w:val="double" w:color="auto" w:sz="4" w:space="0"/>
            </w:tcBorders>
            <w:vAlign w:val="center"/>
          </w:tcPr>
          <w:p w14:paraId="381EC09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人民币</w:t>
            </w:r>
            <w:r>
              <w:rPr>
                <w:rFonts w:hint="eastAsia" w:ascii="宋体" w:hAnsi="宋体" w:cs="宋体"/>
                <w:color w:val="auto"/>
                <w:szCs w:val="21"/>
                <w:highlight w:val="none"/>
                <w:u w:val="single"/>
                <w:lang w:val="en-US" w:eastAsia="zh-CN"/>
              </w:rPr>
              <w:t>70,799.00</w:t>
            </w:r>
            <w:r>
              <w:rPr>
                <w:rFonts w:hint="eastAsia" w:ascii="宋体" w:hAnsi="宋体" w:cs="宋体"/>
                <w:color w:val="auto"/>
                <w:szCs w:val="21"/>
                <w:highlight w:val="none"/>
                <w:u w:val="single"/>
              </w:rPr>
              <w:t>元</w:t>
            </w:r>
            <w:r>
              <w:rPr>
                <w:rFonts w:hint="eastAsia" w:ascii="宋体" w:hAnsi="宋体" w:cs="宋体"/>
                <w:color w:val="auto"/>
                <w:szCs w:val="21"/>
                <w:highlight w:val="none"/>
              </w:rPr>
              <w:t>，暂列金额为</w:t>
            </w:r>
            <w:r>
              <w:rPr>
                <w:rFonts w:hint="eastAsia" w:ascii="宋体" w:hAnsi="宋体" w:cs="宋体"/>
                <w:color w:val="auto"/>
                <w:szCs w:val="21"/>
                <w:highlight w:val="none"/>
                <w:u w:val="single"/>
              </w:rPr>
              <w:t>人民币145</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680.75元</w:t>
            </w:r>
            <w:r>
              <w:rPr>
                <w:rFonts w:hint="eastAsia" w:ascii="宋体" w:hAnsi="宋体" w:cs="宋体"/>
                <w:color w:val="auto"/>
                <w:szCs w:val="21"/>
                <w:highlight w:val="none"/>
              </w:rPr>
              <w:t>，暂估价为</w:t>
            </w:r>
            <w:r>
              <w:rPr>
                <w:rFonts w:hint="eastAsia" w:ascii="宋体" w:hAnsi="宋体" w:cs="宋体"/>
                <w:color w:val="auto"/>
                <w:szCs w:val="21"/>
                <w:highlight w:val="none"/>
                <w:u w:val="single"/>
              </w:rPr>
              <w:t>人民币</w:t>
            </w:r>
            <w:r>
              <w:rPr>
                <w:rFonts w:hint="eastAsia" w:ascii="宋体" w:hAnsi="宋体" w:cs="宋体"/>
                <w:color w:val="auto"/>
                <w:szCs w:val="21"/>
                <w:highlight w:val="none"/>
                <w:u w:val="single"/>
                <w:lang w:val="en-US" w:eastAsia="zh-CN"/>
              </w:rPr>
              <w:t xml:space="preserve">  0  </w:t>
            </w:r>
            <w:r>
              <w:rPr>
                <w:rFonts w:hint="eastAsia" w:ascii="宋体" w:hAnsi="宋体" w:cs="宋体"/>
                <w:color w:val="auto"/>
                <w:szCs w:val="21"/>
                <w:highlight w:val="none"/>
                <w:u w:val="single"/>
              </w:rPr>
              <w:t>元</w:t>
            </w:r>
            <w:r>
              <w:rPr>
                <w:rFonts w:hint="eastAsia" w:ascii="宋体" w:hAnsi="宋体" w:cs="宋体"/>
                <w:color w:val="auto"/>
                <w:szCs w:val="21"/>
                <w:highlight w:val="none"/>
              </w:rPr>
              <w:t>，详见最高投标限价公布函。（未按招标文件规定的金额填写的，由评标委员会按照招标文件规定的金额进行修正）</w:t>
            </w:r>
          </w:p>
        </w:tc>
      </w:tr>
      <w:tr w14:paraId="41190E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02" w:type="dxa"/>
            <w:tcBorders>
              <w:top w:val="single" w:color="auto" w:sz="4" w:space="0"/>
              <w:left w:val="double" w:color="auto" w:sz="4" w:space="0"/>
              <w:bottom w:val="single" w:color="auto" w:sz="4" w:space="0"/>
              <w:right w:val="single" w:color="auto" w:sz="4" w:space="0"/>
            </w:tcBorders>
            <w:vAlign w:val="center"/>
          </w:tcPr>
          <w:p w14:paraId="74FC5B7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23</w:t>
            </w:r>
          </w:p>
        </w:tc>
        <w:tc>
          <w:tcPr>
            <w:tcW w:w="887" w:type="dxa"/>
            <w:tcBorders>
              <w:top w:val="single" w:color="auto" w:sz="4" w:space="0"/>
              <w:left w:val="single" w:color="auto" w:sz="4" w:space="0"/>
              <w:bottom w:val="single" w:color="auto" w:sz="4" w:space="0"/>
              <w:right w:val="single" w:color="auto" w:sz="4" w:space="0"/>
            </w:tcBorders>
            <w:vAlign w:val="center"/>
          </w:tcPr>
          <w:p w14:paraId="43F13A2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DDBF72A">
            <w:pPr>
              <w:pStyle w:val="5"/>
              <w:keepNext w:val="0"/>
              <w:keepLines w:val="0"/>
              <w:suppressLineNumbers w:val="0"/>
              <w:spacing w:before="0" w:beforeAutospacing="0" w:after="0" w:afterAutospacing="0"/>
              <w:ind w:left="0" w:right="0" w:firstLine="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6048" w:type="dxa"/>
            <w:tcBorders>
              <w:top w:val="single" w:color="auto" w:sz="4" w:space="0"/>
              <w:left w:val="single" w:color="auto" w:sz="4" w:space="0"/>
              <w:bottom w:val="single" w:color="auto" w:sz="4" w:space="0"/>
              <w:right w:val="double" w:color="auto" w:sz="4" w:space="0"/>
            </w:tcBorders>
            <w:vAlign w:val="center"/>
          </w:tcPr>
          <w:p w14:paraId="758E58D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14:paraId="3F7347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874825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24</w:t>
            </w:r>
          </w:p>
        </w:tc>
        <w:tc>
          <w:tcPr>
            <w:tcW w:w="887" w:type="dxa"/>
            <w:tcBorders>
              <w:top w:val="single" w:color="auto" w:sz="4" w:space="0"/>
              <w:left w:val="single" w:color="auto" w:sz="4" w:space="0"/>
              <w:bottom w:val="single" w:color="auto" w:sz="4" w:space="0"/>
              <w:right w:val="single" w:color="auto" w:sz="4" w:space="0"/>
            </w:tcBorders>
            <w:vAlign w:val="center"/>
          </w:tcPr>
          <w:p w14:paraId="7B025BA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DF614E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color w:val="auto"/>
                <w:highlight w:val="none"/>
              </w:rPr>
              <w:t>计算评标参考价的等分点值X</w:t>
            </w:r>
          </w:p>
        </w:tc>
        <w:tc>
          <w:tcPr>
            <w:tcW w:w="6048" w:type="dxa"/>
            <w:tcBorders>
              <w:top w:val="single" w:color="auto" w:sz="4" w:space="0"/>
              <w:left w:val="single" w:color="auto" w:sz="4" w:space="0"/>
              <w:bottom w:val="single" w:color="auto" w:sz="4" w:space="0"/>
              <w:right w:val="double" w:color="auto" w:sz="4" w:space="0"/>
            </w:tcBorders>
            <w:vAlign w:val="center"/>
          </w:tcPr>
          <w:p w14:paraId="785FEB5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在开标前从[0,100]整数中随机抽取</w:t>
            </w:r>
          </w:p>
        </w:tc>
      </w:tr>
      <w:tr w14:paraId="14E4C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4D4D0F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25</w:t>
            </w:r>
          </w:p>
        </w:tc>
        <w:tc>
          <w:tcPr>
            <w:tcW w:w="887" w:type="dxa"/>
            <w:tcBorders>
              <w:top w:val="single" w:color="auto" w:sz="4" w:space="0"/>
              <w:left w:val="single" w:color="auto" w:sz="4" w:space="0"/>
              <w:bottom w:val="single" w:color="auto" w:sz="4" w:space="0"/>
              <w:right w:val="single" w:color="auto" w:sz="4" w:space="0"/>
            </w:tcBorders>
            <w:vAlign w:val="center"/>
          </w:tcPr>
          <w:p w14:paraId="32FBBF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C1EA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6048" w:type="dxa"/>
            <w:tcBorders>
              <w:top w:val="single" w:color="auto" w:sz="4" w:space="0"/>
              <w:left w:val="single" w:color="auto" w:sz="4" w:space="0"/>
              <w:bottom w:val="single" w:color="auto" w:sz="4" w:space="0"/>
              <w:right w:val="double" w:color="auto" w:sz="4" w:space="0"/>
            </w:tcBorders>
            <w:vAlign w:val="center"/>
          </w:tcPr>
          <w:p w14:paraId="3DCDAF7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6B827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573D52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26</w:t>
            </w:r>
          </w:p>
        </w:tc>
        <w:tc>
          <w:tcPr>
            <w:tcW w:w="887" w:type="dxa"/>
            <w:tcBorders>
              <w:top w:val="single" w:color="auto" w:sz="4" w:space="0"/>
              <w:left w:val="single" w:color="auto" w:sz="4" w:space="0"/>
              <w:bottom w:val="single" w:color="auto" w:sz="4" w:space="0"/>
              <w:right w:val="single" w:color="auto" w:sz="4" w:space="0"/>
            </w:tcBorders>
            <w:vAlign w:val="center"/>
          </w:tcPr>
          <w:p w14:paraId="3CDD8AA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FB1BDA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工程成本警戒价</w:t>
            </w:r>
          </w:p>
        </w:tc>
        <w:tc>
          <w:tcPr>
            <w:tcW w:w="6048" w:type="dxa"/>
            <w:tcBorders>
              <w:top w:val="single" w:color="auto" w:sz="4" w:space="0"/>
              <w:left w:val="single" w:color="auto" w:sz="4" w:space="0"/>
              <w:bottom w:val="single" w:color="auto" w:sz="4" w:space="0"/>
              <w:right w:val="double" w:color="auto" w:sz="4" w:space="0"/>
            </w:tcBorders>
            <w:vAlign w:val="center"/>
          </w:tcPr>
          <w:p w14:paraId="5B7CF87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u w:val="single"/>
              </w:rPr>
              <w:t>工程成本警戒价为人民币</w:t>
            </w:r>
            <w:r>
              <w:rPr>
                <w:rFonts w:hint="eastAsia" w:ascii="宋体" w:hAnsi="宋体" w:cs="宋体"/>
                <w:color w:val="auto"/>
                <w:szCs w:val="21"/>
                <w:highlight w:val="none"/>
                <w:u w:val="single"/>
                <w:lang w:val="en-US" w:eastAsia="zh-CN"/>
              </w:rPr>
              <w:t>3,099,492.44</w:t>
            </w:r>
            <w:r>
              <w:rPr>
                <w:rFonts w:hint="eastAsia" w:ascii="宋体" w:hAnsi="宋体" w:cs="宋体"/>
                <w:color w:val="auto"/>
                <w:szCs w:val="21"/>
                <w:highlight w:val="none"/>
                <w:u w:val="single"/>
              </w:rPr>
              <w:t>元（按最高投标限价的</w:t>
            </w:r>
            <w:r>
              <w:rPr>
                <w:rFonts w:hint="eastAsia" w:ascii="宋体" w:hAnsi="宋体" w:cs="宋体"/>
                <w:color w:val="auto"/>
                <w:szCs w:val="21"/>
                <w:highlight w:val="none"/>
                <w:u w:val="single"/>
                <w:lang w:val="en-US" w:eastAsia="zh-CN"/>
              </w:rPr>
              <w:t>90</w:t>
            </w:r>
            <w:r>
              <w:rPr>
                <w:rFonts w:hint="eastAsia" w:ascii="宋体" w:hAnsi="宋体" w:cs="宋体"/>
                <w:color w:val="auto"/>
                <w:szCs w:val="21"/>
                <w:highlight w:val="none"/>
                <w:u w:val="single"/>
              </w:rPr>
              <w:t>%）。</w:t>
            </w:r>
            <w:r>
              <w:rPr>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DFD28C6">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14:paraId="0F2FD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14:paraId="4293D8C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27</w:t>
            </w:r>
          </w:p>
        </w:tc>
        <w:tc>
          <w:tcPr>
            <w:tcW w:w="887" w:type="dxa"/>
            <w:tcBorders>
              <w:top w:val="single" w:color="auto" w:sz="4" w:space="0"/>
              <w:left w:val="single" w:color="auto" w:sz="4" w:space="0"/>
              <w:bottom w:val="single" w:color="auto" w:sz="4" w:space="0"/>
              <w:right w:val="single" w:color="auto" w:sz="4" w:space="0"/>
            </w:tcBorders>
            <w:vAlign w:val="center"/>
          </w:tcPr>
          <w:p w14:paraId="55677DC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828A73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第一阶段各分值的权重</w:t>
            </w:r>
          </w:p>
        </w:tc>
        <w:tc>
          <w:tcPr>
            <w:tcW w:w="6048" w:type="dxa"/>
            <w:tcBorders>
              <w:top w:val="single" w:color="auto" w:sz="4" w:space="0"/>
              <w:left w:val="single" w:color="auto" w:sz="4" w:space="0"/>
              <w:bottom w:val="single" w:color="auto" w:sz="4" w:space="0"/>
              <w:right w:val="double" w:color="auto" w:sz="4" w:space="0"/>
            </w:tcBorders>
            <w:vAlign w:val="center"/>
          </w:tcPr>
          <w:p w14:paraId="4D25216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3BC4D6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310402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28</w:t>
            </w:r>
          </w:p>
        </w:tc>
        <w:tc>
          <w:tcPr>
            <w:tcW w:w="887" w:type="dxa"/>
            <w:tcBorders>
              <w:top w:val="single" w:color="auto" w:sz="4" w:space="0"/>
              <w:left w:val="single" w:color="auto" w:sz="4" w:space="0"/>
              <w:bottom w:val="single" w:color="auto" w:sz="4" w:space="0"/>
              <w:right w:val="single" w:color="auto" w:sz="4" w:space="0"/>
            </w:tcBorders>
            <w:vAlign w:val="center"/>
          </w:tcPr>
          <w:p w14:paraId="13E02C6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BC3482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评标委员会人数</w:t>
            </w:r>
          </w:p>
        </w:tc>
        <w:tc>
          <w:tcPr>
            <w:tcW w:w="6048" w:type="dxa"/>
            <w:tcBorders>
              <w:top w:val="single" w:color="auto" w:sz="4" w:space="0"/>
              <w:left w:val="single" w:color="auto" w:sz="4" w:space="0"/>
              <w:bottom w:val="single" w:color="auto" w:sz="4" w:space="0"/>
              <w:right w:val="double" w:color="auto" w:sz="4" w:space="0"/>
            </w:tcBorders>
            <w:vAlign w:val="center"/>
          </w:tcPr>
          <w:p w14:paraId="6745008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评标委员会由招标人依法组建。</w:t>
            </w:r>
          </w:p>
        </w:tc>
      </w:tr>
      <w:tr w14:paraId="39ECFA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7AA530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29</w:t>
            </w:r>
          </w:p>
        </w:tc>
        <w:tc>
          <w:tcPr>
            <w:tcW w:w="887" w:type="dxa"/>
            <w:tcBorders>
              <w:top w:val="single" w:color="auto" w:sz="4" w:space="0"/>
              <w:left w:val="single" w:color="auto" w:sz="4" w:space="0"/>
              <w:bottom w:val="single" w:color="auto" w:sz="4" w:space="0"/>
              <w:right w:val="single" w:color="auto" w:sz="4" w:space="0"/>
            </w:tcBorders>
            <w:vAlign w:val="center"/>
          </w:tcPr>
          <w:p w14:paraId="2F41E56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065E984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企业综合诚信评价分数</w:t>
            </w:r>
          </w:p>
        </w:tc>
        <w:tc>
          <w:tcPr>
            <w:tcW w:w="6048" w:type="dxa"/>
            <w:tcBorders>
              <w:top w:val="single" w:color="auto" w:sz="4" w:space="0"/>
              <w:left w:val="single" w:color="auto" w:sz="4" w:space="0"/>
              <w:bottom w:val="single" w:color="auto" w:sz="4" w:space="0"/>
              <w:right w:val="double" w:color="auto" w:sz="4" w:space="0"/>
            </w:tcBorders>
            <w:vAlign w:val="center"/>
          </w:tcPr>
          <w:p w14:paraId="2ABB8736">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本项目不采用企业综合诚信评价分数。</w:t>
            </w:r>
          </w:p>
        </w:tc>
      </w:tr>
      <w:tr w14:paraId="739A9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8DF935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30</w:t>
            </w:r>
          </w:p>
        </w:tc>
        <w:tc>
          <w:tcPr>
            <w:tcW w:w="887" w:type="dxa"/>
            <w:tcBorders>
              <w:top w:val="single" w:color="auto" w:sz="4" w:space="0"/>
              <w:left w:val="single" w:color="auto" w:sz="4" w:space="0"/>
              <w:bottom w:val="single" w:color="auto" w:sz="4" w:space="0"/>
              <w:right w:val="single" w:color="auto" w:sz="4" w:space="0"/>
            </w:tcBorders>
            <w:vAlign w:val="center"/>
          </w:tcPr>
          <w:p w14:paraId="3448091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F1B6CA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6048" w:type="dxa"/>
            <w:tcBorders>
              <w:top w:val="single" w:color="auto" w:sz="4" w:space="0"/>
              <w:left w:val="single" w:color="auto" w:sz="4" w:space="0"/>
              <w:bottom w:val="single" w:color="auto" w:sz="4" w:space="0"/>
              <w:right w:val="double" w:color="auto" w:sz="4" w:space="0"/>
            </w:tcBorders>
            <w:vAlign w:val="center"/>
          </w:tcPr>
          <w:p w14:paraId="32BAE34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62F59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E13267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31</w:t>
            </w:r>
          </w:p>
        </w:tc>
        <w:tc>
          <w:tcPr>
            <w:tcW w:w="887" w:type="dxa"/>
            <w:tcBorders>
              <w:top w:val="single" w:color="auto" w:sz="4" w:space="0"/>
              <w:left w:val="single" w:color="auto" w:sz="4" w:space="0"/>
              <w:bottom w:val="single" w:color="auto" w:sz="4" w:space="0"/>
              <w:right w:val="single" w:color="auto" w:sz="4" w:space="0"/>
            </w:tcBorders>
            <w:vAlign w:val="center"/>
          </w:tcPr>
          <w:p w14:paraId="1CA0C44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8797E2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6048" w:type="dxa"/>
            <w:tcBorders>
              <w:top w:val="single" w:color="auto" w:sz="4" w:space="0"/>
              <w:left w:val="single" w:color="auto" w:sz="4" w:space="0"/>
              <w:bottom w:val="single" w:color="auto" w:sz="4" w:space="0"/>
              <w:right w:val="double" w:color="auto" w:sz="4" w:space="0"/>
            </w:tcBorders>
            <w:vAlign w:val="center"/>
          </w:tcPr>
          <w:p w14:paraId="0F1F4A7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11BF75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702" w:type="dxa"/>
            <w:tcBorders>
              <w:top w:val="single" w:color="auto" w:sz="4" w:space="0"/>
              <w:left w:val="double" w:color="auto" w:sz="4" w:space="0"/>
              <w:bottom w:val="single" w:color="auto" w:sz="4" w:space="0"/>
              <w:right w:val="single" w:color="auto" w:sz="4" w:space="0"/>
            </w:tcBorders>
            <w:vAlign w:val="center"/>
          </w:tcPr>
          <w:p w14:paraId="782FF7E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32</w:t>
            </w:r>
          </w:p>
        </w:tc>
        <w:tc>
          <w:tcPr>
            <w:tcW w:w="887" w:type="dxa"/>
            <w:tcBorders>
              <w:top w:val="single" w:color="auto" w:sz="4" w:space="0"/>
              <w:left w:val="single" w:color="auto" w:sz="4" w:space="0"/>
              <w:bottom w:val="single" w:color="auto" w:sz="4" w:space="0"/>
              <w:right w:val="single" w:color="auto" w:sz="4" w:space="0"/>
            </w:tcBorders>
            <w:vAlign w:val="center"/>
          </w:tcPr>
          <w:p w14:paraId="19D5AC6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8F6179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6048" w:type="dxa"/>
            <w:tcBorders>
              <w:top w:val="single" w:color="auto" w:sz="4" w:space="0"/>
              <w:left w:val="single" w:color="auto" w:sz="4" w:space="0"/>
              <w:bottom w:val="single" w:color="auto" w:sz="4" w:space="0"/>
              <w:right w:val="double" w:color="auto" w:sz="4" w:space="0"/>
            </w:tcBorders>
            <w:vAlign w:val="center"/>
          </w:tcPr>
          <w:p w14:paraId="7CADA2B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本项目不适用。</w:t>
            </w:r>
          </w:p>
        </w:tc>
      </w:tr>
      <w:tr w14:paraId="79933F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8B349B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33</w:t>
            </w:r>
          </w:p>
        </w:tc>
        <w:tc>
          <w:tcPr>
            <w:tcW w:w="887" w:type="dxa"/>
            <w:tcBorders>
              <w:top w:val="single" w:color="auto" w:sz="4" w:space="0"/>
              <w:left w:val="single" w:color="auto" w:sz="4" w:space="0"/>
              <w:bottom w:val="single" w:color="auto" w:sz="4" w:space="0"/>
              <w:right w:val="single" w:color="auto" w:sz="4" w:space="0"/>
            </w:tcBorders>
            <w:vAlign w:val="center"/>
          </w:tcPr>
          <w:p w14:paraId="30BB232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13.4、13.5.2</w:t>
            </w:r>
          </w:p>
        </w:tc>
        <w:tc>
          <w:tcPr>
            <w:tcW w:w="1713" w:type="dxa"/>
            <w:tcBorders>
              <w:top w:val="single" w:color="auto" w:sz="4" w:space="0"/>
              <w:left w:val="single" w:color="auto" w:sz="4" w:space="0"/>
              <w:bottom w:val="single" w:color="auto" w:sz="4" w:space="0"/>
              <w:right w:val="single" w:color="auto" w:sz="4" w:space="0"/>
            </w:tcBorders>
            <w:vAlign w:val="center"/>
          </w:tcPr>
          <w:p w14:paraId="4515225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合同价款的调整办法</w:t>
            </w:r>
          </w:p>
        </w:tc>
        <w:tc>
          <w:tcPr>
            <w:tcW w:w="6048" w:type="dxa"/>
            <w:tcBorders>
              <w:top w:val="single" w:color="auto" w:sz="4" w:space="0"/>
              <w:left w:val="single" w:color="auto" w:sz="4" w:space="0"/>
              <w:bottom w:val="single" w:color="auto" w:sz="4" w:space="0"/>
              <w:right w:val="double" w:color="auto" w:sz="4" w:space="0"/>
            </w:tcBorders>
            <w:vAlign w:val="center"/>
          </w:tcPr>
          <w:p w14:paraId="10A22118">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按合同条款相关约定调整。</w:t>
            </w:r>
          </w:p>
        </w:tc>
      </w:tr>
      <w:tr w14:paraId="19894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CC77A3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34</w:t>
            </w:r>
          </w:p>
        </w:tc>
        <w:tc>
          <w:tcPr>
            <w:tcW w:w="887" w:type="dxa"/>
            <w:tcBorders>
              <w:top w:val="single" w:color="auto" w:sz="4" w:space="0"/>
              <w:left w:val="single" w:color="auto" w:sz="4" w:space="0"/>
              <w:bottom w:val="single" w:color="auto" w:sz="4" w:space="0"/>
              <w:right w:val="single" w:color="auto" w:sz="4" w:space="0"/>
            </w:tcBorders>
            <w:vAlign w:val="center"/>
          </w:tcPr>
          <w:p w14:paraId="0D4D07AA">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33E89A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建设工程质量检测单位</w:t>
            </w:r>
          </w:p>
        </w:tc>
        <w:tc>
          <w:tcPr>
            <w:tcW w:w="6048" w:type="dxa"/>
            <w:tcBorders>
              <w:top w:val="single" w:color="auto" w:sz="4" w:space="0"/>
              <w:left w:val="single" w:color="auto" w:sz="4" w:space="0"/>
              <w:bottom w:val="single" w:color="auto" w:sz="4" w:space="0"/>
              <w:right w:val="double" w:color="auto" w:sz="4" w:space="0"/>
            </w:tcBorders>
            <w:vAlign w:val="center"/>
          </w:tcPr>
          <w:p w14:paraId="6741F8E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42B2CC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75C9FF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35</w:t>
            </w:r>
          </w:p>
        </w:tc>
        <w:tc>
          <w:tcPr>
            <w:tcW w:w="887" w:type="dxa"/>
            <w:tcBorders>
              <w:top w:val="single" w:color="auto" w:sz="4" w:space="0"/>
              <w:left w:val="single" w:color="auto" w:sz="4" w:space="0"/>
              <w:bottom w:val="single" w:color="auto" w:sz="4" w:space="0"/>
              <w:right w:val="single" w:color="auto" w:sz="4" w:space="0"/>
            </w:tcBorders>
            <w:vAlign w:val="center"/>
          </w:tcPr>
          <w:p w14:paraId="5D22A98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838D9F8">
            <w:pPr>
              <w:keepNext w:val="0"/>
              <w:keepLines w:val="0"/>
              <w:suppressLineNumbers w:val="0"/>
              <w:spacing w:before="0" w:beforeAutospacing="0" w:after="0" w:afterAutospacing="0"/>
              <w:ind w:left="0" w:right="0"/>
              <w:jc w:val="center"/>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6048" w:type="dxa"/>
            <w:tcBorders>
              <w:top w:val="single" w:color="auto" w:sz="4" w:space="0"/>
              <w:left w:val="single" w:color="auto" w:sz="4" w:space="0"/>
              <w:bottom w:val="single" w:color="auto" w:sz="4" w:space="0"/>
              <w:right w:val="double" w:color="auto" w:sz="4" w:space="0"/>
            </w:tcBorders>
            <w:vAlign w:val="center"/>
          </w:tcPr>
          <w:p w14:paraId="525752EE">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1C22C2F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经招标人书面批准同意，中标人可以把中标项目的部分非主体、非关键性工作分包给具有相应资质和能力的单位实施，但不得再次分包。</w:t>
            </w:r>
          </w:p>
          <w:p w14:paraId="55F68E3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rPr>
              <w:t>/</w:t>
            </w:r>
          </w:p>
          <w:p w14:paraId="460A4D5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rPr>
              <w:t>/</w:t>
            </w:r>
          </w:p>
          <w:p w14:paraId="6363EBB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rPr>
              <w:t>/</w:t>
            </w:r>
          </w:p>
        </w:tc>
      </w:tr>
      <w:tr w14:paraId="752EA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CD171D7">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36</w:t>
            </w:r>
          </w:p>
        </w:tc>
        <w:tc>
          <w:tcPr>
            <w:tcW w:w="887" w:type="dxa"/>
            <w:tcBorders>
              <w:top w:val="single" w:color="auto" w:sz="4" w:space="0"/>
              <w:left w:val="single" w:color="auto" w:sz="4" w:space="0"/>
              <w:bottom w:val="single" w:color="auto" w:sz="4" w:space="0"/>
              <w:right w:val="single" w:color="auto" w:sz="4" w:space="0"/>
            </w:tcBorders>
            <w:vAlign w:val="center"/>
          </w:tcPr>
          <w:p w14:paraId="3C3DB0B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46C07B93">
            <w:pPr>
              <w:keepNext w:val="0"/>
              <w:keepLines w:val="0"/>
              <w:suppressLineNumbers w:val="0"/>
              <w:spacing w:before="0" w:beforeAutospacing="0" w:after="0" w:afterAutospacing="0"/>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w:t>
            </w:r>
          </w:p>
        </w:tc>
        <w:tc>
          <w:tcPr>
            <w:tcW w:w="6048" w:type="dxa"/>
            <w:tcBorders>
              <w:top w:val="single" w:color="auto" w:sz="4" w:space="0"/>
              <w:left w:val="single" w:color="auto" w:sz="4" w:space="0"/>
              <w:bottom w:val="single" w:color="auto" w:sz="4" w:space="0"/>
              <w:right w:val="double" w:color="auto" w:sz="4" w:space="0"/>
            </w:tcBorders>
            <w:vAlign w:val="center"/>
          </w:tcPr>
          <w:p w14:paraId="3F0926D8">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内容：招标人对中标人参与“百千万工程”的具体要求</w:t>
            </w:r>
          </w:p>
          <w:p w14:paraId="40713040">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说明与要求：</w:t>
            </w:r>
          </w:p>
          <w:p w14:paraId="317AED1C">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□具体要求在中标后按照投标承诺和招标人的要求执行。</w:t>
            </w:r>
          </w:p>
          <w:p w14:paraId="59892409">
            <w:pPr>
              <w:keepNext w:val="0"/>
              <w:keepLines w:val="0"/>
              <w:suppressLineNumbers w:val="0"/>
              <w:spacing w:before="0" w:beforeAutospacing="0" w:after="0" w:afterAutospacing="0"/>
              <w:ind w:left="0" w:right="0"/>
              <w:rPr>
                <w:rFonts w:hint="default" w:ascii="宋体" w:hAnsi="宋体" w:cs="宋体"/>
                <w:color w:val="auto"/>
                <w:kern w:val="0"/>
                <w:szCs w:val="21"/>
                <w:highlight w:val="none"/>
                <w:lang w:val="zh-CN"/>
              </w:rPr>
            </w:pPr>
            <w:r>
              <w:rPr>
                <w:rFonts w:hint="eastAsia" w:ascii="宋体" w:hAnsi="宋体" w:cs="宋体"/>
                <w:color w:val="auto"/>
                <w:kern w:val="0"/>
                <w:szCs w:val="21"/>
                <w:highlight w:val="none"/>
                <w:lang w:val="zh-CN"/>
              </w:rPr>
              <w:t>■具体要求：</w:t>
            </w:r>
            <w:r>
              <w:rPr>
                <w:rFonts w:hint="eastAsia" w:ascii="宋体" w:hAnsi="宋体" w:cs="宋体"/>
                <w:color w:val="auto"/>
                <w:kern w:val="0"/>
                <w:szCs w:val="21"/>
                <w:highlight w:val="none"/>
                <w:u w:val="single"/>
              </w:rPr>
              <w:t>本项目无</w:t>
            </w:r>
            <w:r>
              <w:rPr>
                <w:rFonts w:hint="eastAsia" w:ascii="宋体" w:hAnsi="宋体" w:cs="宋体"/>
                <w:color w:val="auto"/>
                <w:kern w:val="0"/>
                <w:szCs w:val="21"/>
                <w:highlight w:val="none"/>
                <w:u w:val="single"/>
                <w:lang w:val="zh-CN"/>
              </w:rPr>
              <w:t>“百千万工程”的具体要求。</w:t>
            </w:r>
          </w:p>
        </w:tc>
      </w:tr>
      <w:tr w14:paraId="23F949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4111AF3">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37</w:t>
            </w:r>
          </w:p>
        </w:tc>
        <w:tc>
          <w:tcPr>
            <w:tcW w:w="887" w:type="dxa"/>
            <w:tcBorders>
              <w:top w:val="single" w:color="auto" w:sz="4" w:space="0"/>
              <w:left w:val="single" w:color="auto" w:sz="4" w:space="0"/>
              <w:bottom w:val="single" w:color="auto" w:sz="4" w:space="0"/>
              <w:right w:val="single" w:color="auto" w:sz="4" w:space="0"/>
            </w:tcBorders>
            <w:vAlign w:val="center"/>
          </w:tcPr>
          <w:p w14:paraId="68E36C02">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6518878B">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电子招标投标解密失败及突发情况的补救</w:t>
            </w:r>
          </w:p>
        </w:tc>
        <w:tc>
          <w:tcPr>
            <w:tcW w:w="6048" w:type="dxa"/>
            <w:tcBorders>
              <w:top w:val="single" w:color="auto" w:sz="4" w:space="0"/>
              <w:left w:val="single" w:color="auto" w:sz="4" w:space="0"/>
              <w:bottom w:val="single" w:color="auto" w:sz="4" w:space="0"/>
              <w:right w:val="double" w:color="auto" w:sz="4" w:space="0"/>
            </w:tcBorders>
            <w:vAlign w:val="center"/>
          </w:tcPr>
          <w:p w14:paraId="71931F2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【房建市政】【交易系统】【投标人】全流程电子化交易系统操作手册</w:t>
            </w:r>
            <w:r>
              <w:rPr>
                <w:rFonts w:hint="eastAsia" w:ascii="宋体" w:hAnsi="宋体" w:cs="宋体"/>
                <w:color w:val="auto"/>
                <w:szCs w:val="21"/>
                <w:highlight w:val="none"/>
              </w:rPr>
              <w:t xml:space="preserve">。  </w:t>
            </w:r>
          </w:p>
          <w:p w14:paraId="096014F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2、提交投标文件光盘备用</w:t>
            </w:r>
          </w:p>
          <w:p w14:paraId="7D97449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193B01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3、补救方案</w:t>
            </w:r>
          </w:p>
          <w:p w14:paraId="1BC2ABC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（1）投标文件解密失败的补救方案：</w:t>
            </w:r>
          </w:p>
          <w:p w14:paraId="2BC7C45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CACA1D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（2）评标时突发情况的补救方案</w:t>
            </w:r>
          </w:p>
          <w:p w14:paraId="295CB58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6F7DB06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14:paraId="53649F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67167C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38</w:t>
            </w:r>
          </w:p>
        </w:tc>
        <w:tc>
          <w:tcPr>
            <w:tcW w:w="887" w:type="dxa"/>
            <w:tcBorders>
              <w:top w:val="single" w:color="auto" w:sz="4" w:space="0"/>
              <w:left w:val="single" w:color="auto" w:sz="4" w:space="0"/>
              <w:bottom w:val="single" w:color="auto" w:sz="4" w:space="0"/>
              <w:right w:val="single" w:color="auto" w:sz="4" w:space="0"/>
            </w:tcBorders>
            <w:vAlign w:val="center"/>
          </w:tcPr>
          <w:p w14:paraId="169794EA">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1E48A3A2">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招标人拒绝接收投标文件备用光盘的情况</w:t>
            </w:r>
          </w:p>
        </w:tc>
        <w:tc>
          <w:tcPr>
            <w:tcW w:w="6048" w:type="dxa"/>
            <w:tcBorders>
              <w:top w:val="single" w:color="auto" w:sz="4" w:space="0"/>
              <w:left w:val="single" w:color="auto" w:sz="4" w:space="0"/>
              <w:bottom w:val="single" w:color="auto" w:sz="4" w:space="0"/>
              <w:right w:val="double" w:color="auto" w:sz="4" w:space="0"/>
            </w:tcBorders>
            <w:vAlign w:val="center"/>
          </w:tcPr>
          <w:p w14:paraId="6BDDA44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1、在投标截止期后逾期或未在指定地点递交投标文件备用光盘的；</w:t>
            </w:r>
          </w:p>
          <w:p w14:paraId="0684BB0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2、投标文件备用光盘未按招标文件要求密封或未在密封处盖章的；</w:t>
            </w:r>
          </w:p>
          <w:p w14:paraId="00A0AE2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3、投标人代表未凭法定代表人证明书（原件）、授权委托书原件（仅限于非法定代表人）、本人身份证原件递交投标文件备用光盘的。</w:t>
            </w:r>
          </w:p>
        </w:tc>
      </w:tr>
      <w:tr w14:paraId="7BBB78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419591F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39</w:t>
            </w:r>
          </w:p>
        </w:tc>
        <w:tc>
          <w:tcPr>
            <w:tcW w:w="887" w:type="dxa"/>
            <w:tcBorders>
              <w:top w:val="single" w:color="auto" w:sz="4" w:space="0"/>
              <w:left w:val="single" w:color="auto" w:sz="4" w:space="0"/>
              <w:bottom w:val="single" w:color="auto" w:sz="4" w:space="0"/>
              <w:right w:val="single" w:color="auto" w:sz="4" w:space="0"/>
            </w:tcBorders>
            <w:vAlign w:val="center"/>
          </w:tcPr>
          <w:p w14:paraId="2DE1FD7C">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55B7AF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中标公示后中标单位提交投标文件要求</w:t>
            </w:r>
          </w:p>
        </w:tc>
        <w:tc>
          <w:tcPr>
            <w:tcW w:w="6048" w:type="dxa"/>
            <w:tcBorders>
              <w:top w:val="single" w:color="auto" w:sz="4" w:space="0"/>
              <w:left w:val="single" w:color="auto" w:sz="4" w:space="0"/>
              <w:bottom w:val="single" w:color="auto" w:sz="4" w:space="0"/>
              <w:right w:val="double" w:color="auto" w:sz="4" w:space="0"/>
            </w:tcBorders>
            <w:shd w:val="clear" w:color="auto" w:fill="auto"/>
            <w:vAlign w:val="center"/>
          </w:tcPr>
          <w:p w14:paraId="63BF61EB">
            <w:pPr>
              <w:keepNext w:val="0"/>
              <w:keepLines w:val="0"/>
              <w:suppressLineNumbers w:val="0"/>
              <w:spacing w:before="0" w:beforeAutospacing="0" w:after="0" w:afterAutospacing="0"/>
              <w:ind w:left="0" w:right="0"/>
              <w:rPr>
                <w:rFonts w:hint="eastAsia" w:ascii="Times New Roman" w:hAnsi="Times New Roman"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中标单位在本项目结束中标公示后3天内，须提供与递交投标文件电子标书内容一致且每页加盖单位公章的纸质文件四套（一正三副）及电子文件二套（不用生成投标书）；包括用Microsoft Excel软件或广州交易集团有限公司（广州公共资源交易中心）提供的投标书制作软件制作的工程量清单报价表和单价分析表，用Microsoft Excel软件或广州交易集团有限公司（广州公共资源交易中心）提供的投标书制作软件制作的经济投标文件其它部分。电子文件介质使用CD-R光盘，所有电子文件不能采用压缩处理）给招标人。</w:t>
            </w:r>
          </w:p>
        </w:tc>
      </w:tr>
      <w:tr w14:paraId="69130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BA17BDA">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40</w:t>
            </w:r>
          </w:p>
        </w:tc>
        <w:tc>
          <w:tcPr>
            <w:tcW w:w="887" w:type="dxa"/>
            <w:tcBorders>
              <w:top w:val="single" w:color="auto" w:sz="4" w:space="0"/>
              <w:left w:val="single" w:color="auto" w:sz="4" w:space="0"/>
              <w:bottom w:val="single" w:color="auto" w:sz="4" w:space="0"/>
              <w:right w:val="single" w:color="auto" w:sz="4" w:space="0"/>
            </w:tcBorders>
            <w:vAlign w:val="center"/>
          </w:tcPr>
          <w:p w14:paraId="4E77B0D5">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08665B5">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项目负责人和安全员注意事项</w:t>
            </w:r>
          </w:p>
        </w:tc>
        <w:tc>
          <w:tcPr>
            <w:tcW w:w="6048" w:type="dxa"/>
            <w:tcBorders>
              <w:top w:val="single" w:color="auto" w:sz="4" w:space="0"/>
              <w:left w:val="single" w:color="auto" w:sz="4" w:space="0"/>
              <w:bottom w:val="single" w:color="auto" w:sz="4" w:space="0"/>
              <w:right w:val="double" w:color="auto" w:sz="4" w:space="0"/>
            </w:tcBorders>
            <w:vAlign w:val="center"/>
          </w:tcPr>
          <w:p w14:paraId="344D5AA1">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1、投标人如违反《广州市住房和城乡建设局关于加强建筑工程项目负责人管理的通知》（穗建规字〔2020〕32号）有关规定，如经查实取消其本项目中标资格；</w:t>
            </w:r>
          </w:p>
          <w:p w14:paraId="3432EA4C">
            <w:pPr>
              <w:keepNext w:val="0"/>
              <w:keepLines w:val="0"/>
              <w:suppressLineNumbers w:val="0"/>
              <w:spacing w:before="0" w:beforeAutospacing="0" w:after="0" w:afterAutospacing="0"/>
              <w:ind w:left="0" w:right="0"/>
              <w:rPr>
                <w:rFonts w:hint="default" w:ascii="宋体" w:hAnsi="宋体" w:cs="宋体"/>
                <w:color w:val="auto"/>
                <w:szCs w:val="21"/>
                <w:highlight w:val="none"/>
                <w:u w:val="single"/>
              </w:rPr>
            </w:pPr>
            <w:r>
              <w:rPr>
                <w:rFonts w:hint="eastAsia" w:ascii="宋体" w:hAnsi="宋体" w:cs="宋体"/>
                <w:color w:val="auto"/>
                <w:szCs w:val="21"/>
                <w:highlight w:val="none"/>
                <w:u w:val="single"/>
              </w:rPr>
              <w:t>2、本工程项目负责人与专职安全员不得为同一人。</w:t>
            </w:r>
          </w:p>
          <w:p w14:paraId="2C9170F8">
            <w:pPr>
              <w:keepNext w:val="0"/>
              <w:keepLines w:val="0"/>
              <w:suppressLineNumbers w:val="0"/>
              <w:spacing w:before="0" w:beforeAutospacing="0" w:after="0" w:afterAutospacing="0"/>
              <w:ind w:left="0" w:right="0"/>
              <w:rPr>
                <w:rFonts w:hint="default" w:ascii="宋体" w:hAnsi="宋体" w:cs="宋体"/>
                <w:b/>
                <w:bCs/>
                <w:color w:val="auto"/>
                <w:szCs w:val="21"/>
                <w:highlight w:val="none"/>
                <w:u w:val="single"/>
              </w:rPr>
            </w:pPr>
            <w:r>
              <w:rPr>
                <w:rFonts w:hint="eastAsia" w:ascii="宋体" w:hAnsi="宋体" w:cs="宋体"/>
                <w:color w:val="auto"/>
                <w:szCs w:val="21"/>
                <w:highlight w:val="none"/>
                <w:u w:val="single"/>
              </w:rPr>
              <w:t>3、中标人拟任本工程专职安全员不得同时担任本项目以外的专职安全员（法律法规规定的有关情形除外），如经查实取消其本项目中标资格。</w:t>
            </w:r>
          </w:p>
        </w:tc>
      </w:tr>
      <w:tr w14:paraId="6D5103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78116566">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41</w:t>
            </w:r>
          </w:p>
        </w:tc>
        <w:tc>
          <w:tcPr>
            <w:tcW w:w="887" w:type="dxa"/>
            <w:tcBorders>
              <w:top w:val="single" w:color="auto" w:sz="4" w:space="0"/>
              <w:left w:val="single" w:color="auto" w:sz="4" w:space="0"/>
              <w:bottom w:val="single" w:color="auto" w:sz="4" w:space="0"/>
              <w:right w:val="single" w:color="auto" w:sz="4" w:space="0"/>
            </w:tcBorders>
            <w:vAlign w:val="center"/>
          </w:tcPr>
          <w:p w14:paraId="3BDADFE5">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3D84ADD3">
            <w:pPr>
              <w:keepNext w:val="0"/>
              <w:keepLines w:val="0"/>
              <w:suppressLineNumbers w:val="0"/>
              <w:spacing w:before="0" w:beforeAutospacing="0" w:after="0" w:afterAutospacing="0"/>
              <w:ind w:left="0" w:right="0"/>
              <w:jc w:val="center"/>
              <w:rPr>
                <w:rFonts w:hint="default" w:ascii="宋体" w:hAnsi="宋体" w:eastAsia="宋体" w:cs="宋体"/>
                <w:color w:val="auto"/>
                <w:highlight w:val="none"/>
              </w:rPr>
            </w:pPr>
            <w:r>
              <w:rPr>
                <w:rFonts w:hint="eastAsia" w:ascii="宋体" w:hAnsi="宋体" w:eastAsia="宋体" w:cs="宋体"/>
                <w:color w:val="auto"/>
                <w:highlight w:val="none"/>
              </w:rPr>
              <w:t>工人工资分账管理</w:t>
            </w:r>
          </w:p>
        </w:tc>
        <w:tc>
          <w:tcPr>
            <w:tcW w:w="6048" w:type="dxa"/>
            <w:tcBorders>
              <w:top w:val="single" w:color="auto" w:sz="4" w:space="0"/>
              <w:left w:val="single" w:color="auto" w:sz="4" w:space="0"/>
              <w:bottom w:val="single" w:color="auto" w:sz="4" w:space="0"/>
              <w:right w:val="double" w:color="auto" w:sz="4" w:space="0"/>
            </w:tcBorders>
            <w:vAlign w:val="center"/>
          </w:tcPr>
          <w:p w14:paraId="3AB38ED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本项目按照《广州市建设领域工人工资支付分账管理实施细则》（穗建规字〔2020〕37号）实行工人工资分账管理。具体按合同约定。</w:t>
            </w:r>
          </w:p>
        </w:tc>
      </w:tr>
      <w:tr w14:paraId="4ED5B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shd w:val="clear" w:color="auto" w:fill="auto"/>
            <w:vAlign w:val="center"/>
          </w:tcPr>
          <w:p w14:paraId="274B99C8">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42</w:t>
            </w:r>
          </w:p>
        </w:tc>
        <w:tc>
          <w:tcPr>
            <w:tcW w:w="887" w:type="dxa"/>
            <w:tcBorders>
              <w:top w:val="single" w:color="auto" w:sz="4" w:space="0"/>
              <w:left w:val="single" w:color="auto" w:sz="4" w:space="0"/>
              <w:bottom w:val="single" w:color="auto" w:sz="4" w:space="0"/>
              <w:right w:val="single" w:color="auto" w:sz="4" w:space="0"/>
            </w:tcBorders>
            <w:vAlign w:val="center"/>
          </w:tcPr>
          <w:p w14:paraId="157B4E0C">
            <w:pPr>
              <w:keepNext w:val="0"/>
              <w:keepLines w:val="0"/>
              <w:suppressLineNumbers w:val="0"/>
              <w:spacing w:before="0" w:beforeAutospacing="0" w:after="0" w:afterAutospacing="0"/>
              <w:ind w:left="0" w:right="0"/>
              <w:jc w:val="center"/>
              <w:rPr>
                <w:rFonts w:hint="default" w:ascii="宋体" w:hAnsi="宋体" w:cs="宋体"/>
                <w:color w:val="auto"/>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73EA41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安全生产责任保险</w:t>
            </w:r>
          </w:p>
        </w:tc>
        <w:tc>
          <w:tcPr>
            <w:tcW w:w="6048" w:type="dxa"/>
            <w:tcBorders>
              <w:top w:val="single" w:color="auto" w:sz="4" w:space="0"/>
              <w:left w:val="single" w:color="auto" w:sz="4" w:space="0"/>
              <w:bottom w:val="single" w:color="auto" w:sz="4" w:space="0"/>
              <w:right w:val="double" w:color="auto" w:sz="4" w:space="0"/>
            </w:tcBorders>
            <w:vAlign w:val="center"/>
          </w:tcPr>
          <w:p w14:paraId="7B6DD461">
            <w:pPr>
              <w:keepNext w:val="0"/>
              <w:keepLines w:val="0"/>
              <w:suppressLineNumbers w:val="0"/>
              <w:spacing w:before="0" w:beforeAutospacing="0" w:after="0" w:afterAutospacing="0"/>
              <w:ind w:left="-27" w:leftChars="-13" w:right="-59" w:rightChars="-28"/>
              <w:rPr>
                <w:rFonts w:hint="eastAsia" w:ascii="宋体" w:hAnsi="宋体" w:cs="宋体"/>
                <w:color w:val="auto"/>
                <w:szCs w:val="21"/>
                <w:highlight w:val="none"/>
              </w:rPr>
            </w:pPr>
            <w:r>
              <w:rPr>
                <w:rFonts w:hint="eastAsia"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14:paraId="15BD9118">
      <w:pPr>
        <w:jc w:val="left"/>
        <w:rPr>
          <w:rFonts w:ascii="宋体" w:hAnsi="宋体" w:cs="宋体"/>
          <w:color w:val="auto"/>
          <w:sz w:val="24"/>
          <w:highlight w:val="none"/>
        </w:rPr>
      </w:pPr>
      <w:r>
        <w:rPr>
          <w:rFonts w:hint="eastAsia" w:ascii="宋体" w:hAnsi="宋体" w:cs="宋体"/>
          <w:color w:val="auto"/>
          <w:szCs w:val="20"/>
          <w:highlight w:val="none"/>
        </w:rPr>
        <w:t>注：企业</w:t>
      </w:r>
      <w:r>
        <w:rPr>
          <w:rFonts w:hint="eastAsia" w:ascii="宋体" w:hAnsi="宋体" w:cs="宋体"/>
          <w:color w:val="auto"/>
          <w:kern w:val="0"/>
          <w:szCs w:val="20"/>
          <w:highlight w:val="none"/>
        </w:rPr>
        <w:t>综合诚信评价得分即</w:t>
      </w:r>
      <w:r>
        <w:rPr>
          <w:rFonts w:hint="eastAsia" w:ascii="宋体" w:hAnsi="宋体" w:cs="宋体"/>
          <w:color w:val="auto"/>
          <w:szCs w:val="20"/>
          <w:highlight w:val="none"/>
        </w:rPr>
        <w:t>企业</w:t>
      </w:r>
      <w:r>
        <w:rPr>
          <w:rFonts w:hint="eastAsia" w:ascii="宋体" w:hAnsi="宋体" w:cs="宋体"/>
          <w:color w:val="auto"/>
          <w:kern w:val="0"/>
          <w:szCs w:val="20"/>
          <w:highlight w:val="none"/>
        </w:rPr>
        <w:t>综合诚信评价60日诚信分，以下同。</w:t>
      </w:r>
    </w:p>
    <w:p w14:paraId="6F3BF496">
      <w:pPr>
        <w:pStyle w:val="7"/>
        <w:rPr>
          <w:rFonts w:ascii="宋体" w:hAnsi="宋体" w:cs="宋体"/>
          <w:color w:val="auto"/>
          <w:highlight w:val="none"/>
        </w:rPr>
      </w:pPr>
      <w:r>
        <w:rPr>
          <w:rFonts w:hint="eastAsia" w:ascii="宋体" w:hAnsi="宋体" w:cs="宋体"/>
          <w:color w:val="auto"/>
          <w:highlight w:val="none"/>
        </w:rPr>
        <w:br w:type="page"/>
      </w:r>
      <w:bookmarkStart w:id="2" w:name="_Toc12984"/>
      <w:r>
        <w:rPr>
          <w:rFonts w:hint="eastAsia" w:ascii="宋体" w:hAnsi="宋体" w:cs="宋体"/>
          <w:color w:val="auto"/>
          <w:highlight w:val="none"/>
        </w:rPr>
        <w:t>二、投标须知修改表</w:t>
      </w:r>
      <w:bookmarkEnd w:id="2"/>
    </w:p>
    <w:p w14:paraId="38665880">
      <w:pPr>
        <w:pStyle w:val="5"/>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53DA4693">
      <w:pPr>
        <w:tabs>
          <w:tab w:val="left" w:pos="5620"/>
        </w:tabs>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条款号：5.1                     修改类型：修改</w:t>
      </w:r>
    </w:p>
    <w:p w14:paraId="6B49EC9F">
      <w:pPr>
        <w:tabs>
          <w:tab w:val="left" w:pos="5620"/>
        </w:tabs>
        <w:spacing w:line="360" w:lineRule="auto"/>
        <w:ind w:firstLine="495" w:firstLineChars="224"/>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10E71C97">
      <w:pPr>
        <w:pBdr>
          <w:bottom w:val="single" w:color="auto" w:sz="4" w:space="1"/>
        </w:pBdr>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b/>
          <w:color w:val="auto"/>
          <w:sz w:val="22"/>
          <w:szCs w:val="22"/>
          <w:highlight w:val="none"/>
          <w:u w:val="single"/>
        </w:rPr>
        <w:t>投标人不进行踏勘的，视为已</w:t>
      </w:r>
      <w:r>
        <w:rPr>
          <w:rFonts w:hint="eastAsia" w:ascii="宋体" w:hAnsi="宋体" w:cs="宋体"/>
          <w:b/>
          <w:color w:val="auto"/>
          <w:sz w:val="22"/>
          <w:szCs w:val="22"/>
          <w:highlight w:val="none"/>
          <w:u w:val="single"/>
          <w:lang w:eastAsia="zh-CN"/>
        </w:rPr>
        <w:t>熟知</w:t>
      </w:r>
      <w:r>
        <w:rPr>
          <w:rFonts w:hint="eastAsia" w:ascii="宋体" w:hAnsi="宋体" w:cs="宋体"/>
          <w:b/>
          <w:color w:val="auto"/>
          <w:sz w:val="22"/>
          <w:szCs w:val="22"/>
          <w:highlight w:val="none"/>
          <w:u w:val="single"/>
        </w:rPr>
        <w:t>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 w:val="22"/>
          <w:szCs w:val="22"/>
          <w:highlight w:val="none"/>
        </w:rPr>
        <w:t>一旦中标，这种考察即被认为其结果已在中标文件中得到充分反映。考察现场的费用由投标人自己承担。</w:t>
      </w:r>
    </w:p>
    <w:p w14:paraId="170318A2">
      <w:pPr>
        <w:tabs>
          <w:tab w:val="left" w:pos="5620"/>
        </w:tabs>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 xml:space="preserve">条款号： </w:t>
      </w:r>
      <w:r>
        <w:rPr>
          <w:rFonts w:hint="eastAsia" w:ascii="宋体" w:hAnsi="宋体" w:cs="宋体"/>
          <w:color w:val="auto"/>
          <w:sz w:val="22"/>
          <w:szCs w:val="22"/>
          <w:highlight w:val="none"/>
        </w:rPr>
        <w:t>7.1</w:t>
      </w:r>
      <w:r>
        <w:rPr>
          <w:rFonts w:hint="eastAsia" w:ascii="宋体" w:hAnsi="宋体" w:cs="宋体"/>
          <w:b/>
          <w:color w:val="auto"/>
          <w:sz w:val="22"/>
          <w:szCs w:val="22"/>
          <w:highlight w:val="none"/>
        </w:rPr>
        <w:t xml:space="preserve">            修改类型：修改</w:t>
      </w:r>
      <w:r>
        <w:rPr>
          <w:rFonts w:hint="eastAsia" w:ascii="宋体" w:hAnsi="宋体" w:cs="宋体"/>
          <w:b/>
          <w:color w:val="auto"/>
          <w:sz w:val="22"/>
          <w:szCs w:val="22"/>
          <w:highlight w:val="none"/>
        </w:rPr>
        <w:tab/>
      </w:r>
    </w:p>
    <w:p w14:paraId="25AC99E9">
      <w:pPr>
        <w:spacing w:line="360" w:lineRule="auto"/>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 xml:space="preserve">原文： </w:t>
      </w: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本招标文件包括下列文件，以及所有按本须知第8条发出的招标答疑会会议纪要和按本须知第9条发出的澄清或修改：</w:t>
      </w:r>
    </w:p>
    <w:p w14:paraId="65EB87E9">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第一章  投标须知</w:t>
      </w:r>
    </w:p>
    <w:p w14:paraId="41B0FF67">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第二章  开标、评标及定标办法</w:t>
      </w:r>
    </w:p>
    <w:p w14:paraId="0C7A8616">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第三章  合同条款</w:t>
      </w:r>
    </w:p>
    <w:p w14:paraId="422CA12A">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第四章  投标文件格式</w:t>
      </w:r>
    </w:p>
    <w:p w14:paraId="35C42449">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第五章  技术条件（工程建设标准）（另册）</w:t>
      </w:r>
    </w:p>
    <w:p w14:paraId="67342F87">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第六章  图纸及勘察资料（另册）</w:t>
      </w:r>
    </w:p>
    <w:p w14:paraId="43360BB4">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第七章  招标工程量清单（另册）</w:t>
      </w:r>
    </w:p>
    <w:p w14:paraId="6AD133FE">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第八章  最高投标限价</w:t>
      </w:r>
    </w:p>
    <w:p w14:paraId="262613DA">
      <w:pPr>
        <w:tabs>
          <w:tab w:val="left" w:pos="4620"/>
        </w:tabs>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D2A426D">
      <w:pPr>
        <w:spacing w:line="360" w:lineRule="auto"/>
        <w:ind w:firstLine="442" w:firstLineChars="200"/>
        <w:rPr>
          <w:rFonts w:ascii="宋体" w:hAnsi="宋体" w:cs="宋体"/>
          <w:bCs/>
          <w:color w:val="auto"/>
          <w:sz w:val="22"/>
          <w:szCs w:val="22"/>
          <w:highlight w:val="none"/>
        </w:rPr>
      </w:pPr>
      <w:r>
        <w:rPr>
          <w:rFonts w:hint="eastAsia" w:ascii="宋体" w:hAnsi="宋体" w:cs="宋体"/>
          <w:b/>
          <w:color w:val="auto"/>
          <w:sz w:val="22"/>
          <w:szCs w:val="22"/>
          <w:highlight w:val="none"/>
        </w:rPr>
        <w:t xml:space="preserve">现文： </w:t>
      </w:r>
      <w:r>
        <w:rPr>
          <w:rFonts w:hint="eastAsia" w:ascii="宋体" w:hAnsi="宋体" w:cs="宋体"/>
          <w:color w:val="auto"/>
          <w:sz w:val="22"/>
          <w:szCs w:val="22"/>
          <w:highlight w:val="none"/>
        </w:rPr>
        <w:t>7.1</w:t>
      </w:r>
      <w:r>
        <w:rPr>
          <w:rFonts w:hint="eastAsia" w:ascii="宋体" w:hAnsi="宋体" w:cs="宋体"/>
          <w:bCs/>
          <w:color w:val="auto"/>
          <w:sz w:val="22"/>
          <w:szCs w:val="22"/>
          <w:highlight w:val="none"/>
        </w:rPr>
        <w:t>本招标文件包括下列文件，以及所有按本须知第8条发出的招标答疑会会议纪要和按本须知第9条发出的澄清或修改：</w:t>
      </w:r>
    </w:p>
    <w:p w14:paraId="7C879ECF">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第一章  投标须知</w:t>
      </w:r>
    </w:p>
    <w:p w14:paraId="0ADFD661">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第二章  开标、评标及定标办法</w:t>
      </w:r>
    </w:p>
    <w:p w14:paraId="6022BEC2">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第三章  合同条款</w:t>
      </w:r>
      <w:r>
        <w:rPr>
          <w:rFonts w:hint="eastAsia" w:ascii="宋体" w:hAnsi="宋体" w:cs="宋体"/>
          <w:color w:val="auto"/>
          <w:sz w:val="22"/>
          <w:szCs w:val="22"/>
          <w:highlight w:val="none"/>
        </w:rPr>
        <w:t>（另册）</w:t>
      </w:r>
    </w:p>
    <w:p w14:paraId="383D2462">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第四章  投标文件格式</w:t>
      </w:r>
    </w:p>
    <w:p w14:paraId="339C63BA">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第五章  技术条件（工程建设标准）</w:t>
      </w:r>
    </w:p>
    <w:p w14:paraId="0BA4A04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第六章  图纸及勘察资料（另册）</w:t>
      </w:r>
    </w:p>
    <w:p w14:paraId="368EFAE6">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第七章  招标工程量清单（另册）</w:t>
      </w:r>
    </w:p>
    <w:p w14:paraId="38FFE7A8">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第八章  最高投标限价</w:t>
      </w:r>
    </w:p>
    <w:p w14:paraId="3EC41B8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23A89700">
      <w:pPr>
        <w:pBdr>
          <w:top w:val="single" w:color="auto" w:sz="4" w:space="0"/>
        </w:pBd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8.1         </w:t>
      </w:r>
      <w:r>
        <w:rPr>
          <w:rFonts w:hint="eastAsia" w:ascii="宋体" w:hAnsi="宋体" w:cs="宋体"/>
          <w:b/>
          <w:color w:val="auto"/>
          <w:sz w:val="22"/>
          <w:szCs w:val="22"/>
          <w:highlight w:val="none"/>
        </w:rPr>
        <w:t>修改类型：修改</w:t>
      </w:r>
    </w:p>
    <w:p w14:paraId="2B1FC242">
      <w:pPr>
        <w:pStyle w:val="5"/>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8.1 投标人若对招标文件（包括招标图纸）中有疑问，可以书面形式通过交易平台提交给招标人或招标代理人，提交形式见本须知前附表第16项。</w:t>
      </w:r>
    </w:p>
    <w:p w14:paraId="30922DE2">
      <w:pPr>
        <w:pBdr>
          <w:bottom w:val="single" w:color="auto" w:sz="6" w:space="1"/>
        </w:pBdr>
        <w:spacing w:line="360" w:lineRule="auto"/>
        <w:ind w:firstLine="433" w:firstLineChars="196"/>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8.1 投标人若对招标文件（包括招标图纸）中有疑问，可以书面形式通过</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交易平台提交给招标人或招标代理人，提交形式见本须知前附表第16项。</w:t>
      </w:r>
    </w:p>
    <w:p w14:paraId="251BF167">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8.2</w:t>
      </w:r>
      <w:r>
        <w:rPr>
          <w:rFonts w:hint="eastAsia" w:ascii="宋体" w:hAnsi="宋体" w:cs="宋体"/>
          <w:b/>
          <w:color w:val="auto"/>
          <w:sz w:val="22"/>
          <w:szCs w:val="22"/>
          <w:highlight w:val="none"/>
        </w:rPr>
        <w:t xml:space="preserve">             修改类型：修改</w:t>
      </w:r>
    </w:p>
    <w:p w14:paraId="72A2557A">
      <w:pPr>
        <w:pStyle w:val="5"/>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8.2招标答疑会会议纪要将在提交投标文件截止时间15日前在交易平台 “项目答疑纪要”专区公开发布。答疑纪要一经在交易平台发布，视作已发放给所有投标人。</w:t>
      </w:r>
    </w:p>
    <w:p w14:paraId="647A3F55">
      <w:pPr>
        <w:pBdr>
          <w:bottom w:val="single" w:color="auto" w:sz="6" w:space="1"/>
        </w:pBd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8.2招标答疑会会议纪要将在提交投标文件截止时间15日前在</w:t>
      </w:r>
      <w:r>
        <w:rPr>
          <w:rFonts w:hint="eastAsia" w:ascii="宋体" w:hAnsi="宋体" w:cs="宋体"/>
          <w:bCs/>
          <w:color w:val="auto"/>
          <w:sz w:val="22"/>
          <w:szCs w:val="22"/>
          <w:highlight w:val="none"/>
          <w:lang w:eastAsia="zh-CN"/>
        </w:rPr>
        <w:t>广州交易集团有限公司（广州公共资源交易中心）</w:t>
      </w:r>
      <w:r>
        <w:rPr>
          <w:rFonts w:hint="eastAsia" w:ascii="宋体" w:hAnsi="宋体" w:cs="宋体"/>
          <w:bCs/>
          <w:color w:val="auto"/>
          <w:sz w:val="22"/>
          <w:szCs w:val="22"/>
          <w:highlight w:val="none"/>
        </w:rPr>
        <w:t>交易平台 “项目答疑纪要”专区公开发布。答疑纪要一经在</w:t>
      </w:r>
      <w:r>
        <w:rPr>
          <w:rFonts w:hint="eastAsia" w:ascii="宋体" w:hAnsi="宋体" w:cs="宋体"/>
          <w:bCs/>
          <w:color w:val="auto"/>
          <w:sz w:val="22"/>
          <w:szCs w:val="22"/>
          <w:highlight w:val="none"/>
          <w:lang w:eastAsia="zh-CN"/>
        </w:rPr>
        <w:t>广州交易集团有限公司（广州公共资源交易中心）</w:t>
      </w:r>
      <w:r>
        <w:rPr>
          <w:rFonts w:hint="eastAsia" w:ascii="宋体" w:hAnsi="宋体" w:cs="宋体"/>
          <w:bCs/>
          <w:color w:val="auto"/>
          <w:sz w:val="22"/>
          <w:szCs w:val="22"/>
          <w:highlight w:val="none"/>
        </w:rPr>
        <w:t>交易平台发布，视作已发放给所有投标人。</w:t>
      </w:r>
    </w:p>
    <w:p w14:paraId="31059008">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9.2</w:t>
      </w:r>
      <w:r>
        <w:rPr>
          <w:rFonts w:hint="eastAsia" w:ascii="宋体" w:hAnsi="宋体" w:cs="宋体"/>
          <w:b/>
          <w:color w:val="auto"/>
          <w:sz w:val="22"/>
          <w:szCs w:val="22"/>
          <w:highlight w:val="none"/>
        </w:rPr>
        <w:t xml:space="preserve">             修改类型：修改</w:t>
      </w:r>
    </w:p>
    <w:p w14:paraId="79201BC0">
      <w:pPr>
        <w:pStyle w:val="5"/>
        <w:spacing w:after="0"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9.2招标文件的澄清或修改将在交易平台“项目答疑纪要”专区公开发布。答疑纪要一经在交易平台发布，视作已发放给所有投标人，以交易平台上网发布时间作为送达时间。</w:t>
      </w:r>
    </w:p>
    <w:p w14:paraId="6D55FDFC">
      <w:pPr>
        <w:pBdr>
          <w:bottom w:val="single" w:color="auto" w:sz="6" w:space="1"/>
        </w:pBd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9.2招标文件的澄清或修改将在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交易平台“项目答疑纪要”专区公开发布。答疑纪要一经在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交易平台发布，视作已发放给所有投标人，以</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交易平台上网发布时间作为送达时间。</w:t>
      </w:r>
    </w:p>
    <w:p w14:paraId="09C7DE3B">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9.4             </w:t>
      </w:r>
      <w:r>
        <w:rPr>
          <w:rFonts w:hint="eastAsia" w:ascii="宋体" w:hAnsi="宋体" w:cs="宋体"/>
          <w:b/>
          <w:color w:val="auto"/>
          <w:sz w:val="22"/>
          <w:szCs w:val="22"/>
          <w:highlight w:val="none"/>
        </w:rPr>
        <w:t>修改类型：修改</w:t>
      </w:r>
    </w:p>
    <w:p w14:paraId="09705A15">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9.4招标文件的澄清或修改均以书面形式明确的内容为准。当招标文件的澄清、修改、补充等在同一内容的表述不一致时，以最后发出的书面形式的文件为准。</w:t>
      </w:r>
    </w:p>
    <w:p w14:paraId="0364269B">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9.4招标文件的澄清或修改均</w:t>
      </w:r>
      <w:r>
        <w:rPr>
          <w:rFonts w:hint="eastAsia" w:ascii="宋体" w:hAnsi="宋体" w:cs="宋体"/>
          <w:color w:val="auto"/>
          <w:sz w:val="22"/>
          <w:szCs w:val="22"/>
          <w:highlight w:val="none"/>
          <w:u w:val="single"/>
        </w:rPr>
        <w:t>在</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网站“网上答疑”专区公开发布。</w:t>
      </w:r>
      <w:r>
        <w:rPr>
          <w:rFonts w:hint="eastAsia" w:ascii="宋体" w:hAnsi="宋体" w:cs="宋体"/>
          <w:color w:val="auto"/>
          <w:sz w:val="22"/>
          <w:szCs w:val="22"/>
          <w:highlight w:val="none"/>
        </w:rPr>
        <w:t>当招标文件的澄清、修改、补充等在同一内容的表述不一致时，以最后发出的文件为准。</w:t>
      </w:r>
    </w:p>
    <w:p w14:paraId="09FE10AB">
      <w:pPr>
        <w:spacing w:line="48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 xml:space="preserve">条款号： </w:t>
      </w:r>
      <w:r>
        <w:rPr>
          <w:rFonts w:hint="eastAsia" w:ascii="宋体" w:hAnsi="宋体" w:cs="宋体"/>
          <w:bCs/>
          <w:color w:val="auto"/>
          <w:sz w:val="22"/>
          <w:szCs w:val="22"/>
          <w:highlight w:val="none"/>
        </w:rPr>
        <w:t>11.2</w:t>
      </w:r>
      <w:r>
        <w:rPr>
          <w:rFonts w:hint="eastAsia" w:ascii="宋体" w:hAnsi="宋体" w:cs="宋体"/>
          <w:b/>
          <w:color w:val="auto"/>
          <w:sz w:val="22"/>
          <w:szCs w:val="22"/>
          <w:highlight w:val="none"/>
        </w:rPr>
        <w:t xml:space="preserve">            修改类型：修改</w:t>
      </w:r>
    </w:p>
    <w:p w14:paraId="56FB2413">
      <w:pPr>
        <w:pStyle w:val="5"/>
        <w:rPr>
          <w:rFonts w:ascii="宋体" w:hAnsi="宋体" w:cs="宋体"/>
          <w:bCs/>
          <w:color w:val="auto"/>
          <w:sz w:val="22"/>
          <w:szCs w:val="18"/>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18"/>
          <w:highlight w:val="none"/>
        </w:rPr>
        <w:t>11.2投标文件技术标部分主要包括下列内容:</w:t>
      </w:r>
    </w:p>
    <w:p w14:paraId="3CC18B7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11.2.1 技术投标文件</w:t>
      </w:r>
      <w:r>
        <w:rPr>
          <w:rFonts w:hint="eastAsia" w:ascii="宋体" w:hAnsi="宋体" w:cs="宋体"/>
          <w:color w:val="auto"/>
          <w:sz w:val="22"/>
          <w:szCs w:val="21"/>
          <w:highlight w:val="none"/>
        </w:rPr>
        <w:t>(按招标文件的要求填写)</w:t>
      </w:r>
      <w:r>
        <w:rPr>
          <w:rFonts w:hint="eastAsia" w:ascii="宋体" w:hAnsi="宋体" w:cs="宋体"/>
          <w:bCs/>
          <w:color w:val="auto"/>
          <w:sz w:val="22"/>
          <w:szCs w:val="21"/>
          <w:highlight w:val="none"/>
        </w:rPr>
        <w:t>；</w:t>
      </w:r>
    </w:p>
    <w:p w14:paraId="2813C441">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11.2.2资格审查文件：</w:t>
      </w:r>
    </w:p>
    <w:p w14:paraId="0915EF3B">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 </w:t>
      </w:r>
    </w:p>
    <w:p w14:paraId="0EE9A70D">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14:paraId="6BAD7D81">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14:paraId="23B4160C">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14:paraId="2115C815">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14:paraId="31A3B194">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（6）项目负责人（按网上投标登记时选择拟投入本项目的项目负责人）</w:t>
      </w:r>
    </w:p>
    <w:p w14:paraId="0B6A321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（7）专职安全员（按网上投标登记时选择拟投入本项目的专职安全员）</w:t>
      </w:r>
    </w:p>
    <w:p w14:paraId="5F2DF3C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（8）拟委托技术负责人的相关证书、资料（具体要求由招标人明确）</w:t>
      </w:r>
    </w:p>
    <w:p w14:paraId="600A7800">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（9）拟委派项目负责人的有效期内的建造师注册证书扫描件或电子证书；  </w:t>
      </w:r>
    </w:p>
    <w:p w14:paraId="161BF983">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14:paraId="3E2FD5B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（11）专职安全员须具有在有效期内的安全生产考核合格证书（C类）或建筑施工企业专职安全生产管理人员安全生产考核合格证书扫描件或电子证书；</w:t>
      </w:r>
    </w:p>
    <w:p w14:paraId="2CF00CDC">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（12）用于资格审查的业绩（设置业绩要求时选择此项，投标人须提供类似工程业绩的项目名称及项目编号，具体格式由招标人自定）；</w:t>
      </w:r>
    </w:p>
    <w:p w14:paraId="3CB7843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35783FE2">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5D5C7C7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14:paraId="13B86694">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FBC1BBA">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11.2.3项目管理机构配备。</w:t>
      </w:r>
    </w:p>
    <w:p w14:paraId="77065244">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（1）投标人应列出该项目工程的施工组织机构构成和画出机构框架图及其负责人；</w:t>
      </w:r>
    </w:p>
    <w:p w14:paraId="1970A5A6">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（2）投标人应详细列出该施工组织机构中主要成员的名单、简历资料、职务职称和在本项目中拟担任的职务等资料，并附上有关证明材料扫描件；</w:t>
      </w:r>
    </w:p>
    <w:p w14:paraId="2509298A">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（3）其他辅助说明资料。</w:t>
      </w:r>
    </w:p>
    <w:p w14:paraId="22E52DB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11.2.4投标人在广州市可使用适合本工程的机械设备（附：机械设备为自有或租赁的说明；及承诺机械设备如属于租赁的，其租赁是不属于重复租赁）。</w:t>
      </w:r>
    </w:p>
    <w:p w14:paraId="3416FA3D">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11.2.5施工组织设计或施工方案。</w:t>
      </w:r>
    </w:p>
    <w:p w14:paraId="0C7C412F">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（1）投标人在编制施工组织设计或施工方案时应按照招标人提出的施工现场建筑垃圾源头减量的具体要求以及建筑垃圾综合利用产品的使用要求提供相应措施。</w:t>
      </w:r>
    </w:p>
    <w:p w14:paraId="0DFBEE8D">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D67FD2F">
      <w:pPr>
        <w:spacing w:line="360" w:lineRule="auto"/>
        <w:ind w:firstLine="440" w:firstLineChars="200"/>
        <w:rPr>
          <w:rFonts w:ascii="宋体" w:hAnsi="宋体" w:cs="宋体"/>
          <w:b/>
          <w:color w:val="auto"/>
          <w:sz w:val="22"/>
          <w:szCs w:val="22"/>
          <w:highlight w:val="none"/>
        </w:rPr>
      </w:pPr>
      <w:r>
        <w:rPr>
          <w:rFonts w:hint="eastAsia" w:ascii="宋体" w:hAnsi="宋体" w:cs="宋体"/>
          <w:color w:val="auto"/>
          <w:sz w:val="22"/>
          <w:szCs w:val="21"/>
          <w:highlight w:val="none"/>
        </w:rPr>
        <w:t>11.2.6按照</w:t>
      </w:r>
      <w:r>
        <w:rPr>
          <w:rFonts w:hint="eastAsia" w:ascii="宋体" w:hAnsi="宋体" w:cs="宋体"/>
          <w:bCs/>
          <w:color w:val="auto"/>
          <w:sz w:val="22"/>
          <w:szCs w:val="21"/>
          <w:highlight w:val="none"/>
        </w:rPr>
        <w:t>招标文件要求</w:t>
      </w:r>
      <w:r>
        <w:rPr>
          <w:rFonts w:hint="eastAsia" w:ascii="宋体" w:hAnsi="宋体" w:cs="宋体"/>
          <w:color w:val="auto"/>
          <w:sz w:val="22"/>
          <w:szCs w:val="21"/>
          <w:highlight w:val="none"/>
        </w:rPr>
        <w:t>填写的《参与编制技术标投标文件人员名单》。</w:t>
      </w:r>
    </w:p>
    <w:p w14:paraId="03D9B5DA">
      <w:pPr>
        <w:tabs>
          <w:tab w:val="left" w:pos="1125"/>
        </w:tabs>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eastAsia="宋体" w:cs="宋体"/>
          <w:bCs/>
          <w:color w:val="auto"/>
          <w:sz w:val="22"/>
          <w:szCs w:val="21"/>
          <w:highlight w:val="none"/>
        </w:rPr>
        <w:t>11.2投标文件技术标部分主要包括下列内容:</w:t>
      </w:r>
    </w:p>
    <w:p w14:paraId="5FD7B407">
      <w:pPr>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11.2.1资格审查文件：</w:t>
      </w:r>
    </w:p>
    <w:p w14:paraId="1B071498">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 xml:space="preserve">（1）投标人声明（按招标公告附件一的格式及内容提交）； </w:t>
      </w:r>
    </w:p>
    <w:p w14:paraId="613A3E26">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（2）法定代表人证明书、法定代表人签字或盖章的本投标文件授权委托证明书；</w:t>
      </w:r>
    </w:p>
    <w:p w14:paraId="26B03527">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（3）企业营业执照扫描件或电子证照；</w:t>
      </w:r>
    </w:p>
    <w:p w14:paraId="4D36BF8F">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（4）企业资质证书扫描件或电子证照；</w:t>
      </w:r>
    </w:p>
    <w:p w14:paraId="75712FBE">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（5）建筑施工企业安全生产许可证扫描件或电子证照；</w:t>
      </w:r>
    </w:p>
    <w:p w14:paraId="68B8357B">
      <w:pPr>
        <w:spacing w:line="360" w:lineRule="auto"/>
        <w:ind w:firstLine="440" w:firstLineChars="200"/>
        <w:rPr>
          <w:rFonts w:hint="eastAsia" w:ascii="宋体" w:hAnsi="宋体" w:eastAsia="宋体" w:cs="宋体"/>
          <w:bCs/>
          <w:color w:val="auto"/>
          <w:sz w:val="22"/>
          <w:szCs w:val="21"/>
          <w:highlight w:val="none"/>
          <w:lang w:eastAsia="zh-CN"/>
        </w:rPr>
      </w:pPr>
      <w:r>
        <w:rPr>
          <w:rFonts w:hint="eastAsia" w:ascii="宋体" w:hAnsi="宋体" w:cs="宋体"/>
          <w:bCs/>
          <w:color w:val="auto"/>
          <w:sz w:val="22"/>
          <w:szCs w:val="21"/>
          <w:highlight w:val="none"/>
        </w:rPr>
        <w:t>（6）项目负责人（按网上投标登记时选择拟投入本项目的项目负责人）</w:t>
      </w:r>
      <w:r>
        <w:rPr>
          <w:rFonts w:hint="eastAsia" w:ascii="宋体" w:hAnsi="宋体" w:cs="宋体"/>
          <w:bCs/>
          <w:color w:val="auto"/>
          <w:sz w:val="22"/>
          <w:szCs w:val="21"/>
          <w:highlight w:val="none"/>
          <w:lang w:eastAsia="zh-CN"/>
        </w:rPr>
        <w:t>；</w:t>
      </w:r>
    </w:p>
    <w:p w14:paraId="2DC83E4D">
      <w:pPr>
        <w:spacing w:line="360" w:lineRule="auto"/>
        <w:ind w:firstLine="440" w:firstLineChars="200"/>
        <w:rPr>
          <w:rFonts w:hint="eastAsia" w:ascii="宋体" w:hAnsi="宋体" w:eastAsia="宋体" w:cs="宋体"/>
          <w:bCs/>
          <w:color w:val="auto"/>
          <w:sz w:val="22"/>
          <w:szCs w:val="21"/>
          <w:highlight w:val="none"/>
          <w:lang w:eastAsia="zh-CN"/>
        </w:rPr>
      </w:pPr>
      <w:r>
        <w:rPr>
          <w:rFonts w:hint="eastAsia" w:ascii="宋体" w:hAnsi="宋体" w:cs="宋体"/>
          <w:bCs/>
          <w:color w:val="auto"/>
          <w:sz w:val="22"/>
          <w:szCs w:val="21"/>
          <w:highlight w:val="none"/>
        </w:rPr>
        <w:t>（7）专职安全员（按网上投标登记时选择拟投入本项目的专职安全员）</w:t>
      </w:r>
      <w:r>
        <w:rPr>
          <w:rFonts w:hint="eastAsia" w:ascii="宋体" w:hAnsi="宋体" w:cs="宋体"/>
          <w:bCs/>
          <w:color w:val="auto"/>
          <w:sz w:val="22"/>
          <w:szCs w:val="21"/>
          <w:highlight w:val="none"/>
          <w:lang w:eastAsia="zh-CN"/>
        </w:rPr>
        <w:t>；</w:t>
      </w:r>
    </w:p>
    <w:p w14:paraId="1C34539E">
      <w:pPr>
        <w:spacing w:line="360" w:lineRule="auto"/>
        <w:ind w:firstLine="440" w:firstLineChars="200"/>
        <w:rPr>
          <w:rFonts w:hint="eastAsia" w:ascii="宋体" w:hAnsi="宋体" w:eastAsia="宋体" w:cs="宋体"/>
          <w:bCs/>
          <w:color w:val="auto"/>
          <w:sz w:val="22"/>
          <w:szCs w:val="21"/>
          <w:highlight w:val="none"/>
          <w:lang w:eastAsia="zh-CN"/>
        </w:rPr>
      </w:pPr>
      <w:r>
        <w:rPr>
          <w:rFonts w:hint="eastAsia" w:ascii="宋体" w:hAnsi="宋体" w:cs="宋体"/>
          <w:bCs/>
          <w:color w:val="auto"/>
          <w:sz w:val="22"/>
          <w:szCs w:val="21"/>
          <w:highlight w:val="none"/>
        </w:rPr>
        <w:t>（8）拟委托技术负责人的相关证书、</w:t>
      </w:r>
      <w:r>
        <w:rPr>
          <w:rFonts w:hint="eastAsia" w:ascii="宋体" w:hAnsi="宋体" w:eastAsia="宋体" w:cs="宋体"/>
          <w:bCs/>
          <w:color w:val="auto"/>
          <w:sz w:val="22"/>
          <w:szCs w:val="21"/>
          <w:highlight w:val="none"/>
        </w:rPr>
        <w:t>资料（具体要求详见招标公告）</w:t>
      </w:r>
      <w:r>
        <w:rPr>
          <w:rFonts w:hint="eastAsia" w:ascii="宋体" w:hAnsi="宋体" w:eastAsia="宋体" w:cs="宋体"/>
          <w:bCs/>
          <w:color w:val="auto"/>
          <w:sz w:val="22"/>
          <w:szCs w:val="21"/>
          <w:highlight w:val="none"/>
          <w:lang w:eastAsia="zh-CN"/>
        </w:rPr>
        <w:t>；</w:t>
      </w:r>
    </w:p>
    <w:p w14:paraId="204586D4">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（9）拟委派项目负责人的有效期内的建造师注册证书扫描件或电子证书；</w:t>
      </w:r>
    </w:p>
    <w:p w14:paraId="1466638F">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（10）项目负责人在有效期内的安全生产考核合格证书（B类）或建筑施工企业项目负责人安全生产考核合格证书扫描件或电子证书；</w:t>
      </w:r>
    </w:p>
    <w:p w14:paraId="61A3BB74">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（11）专职安全员须具有安全生产考核合格证（C类）或建筑施工企业专职安全生产管理人员安全生产考核合格证书（C3类）扫描件或电子证书；</w:t>
      </w:r>
    </w:p>
    <w:p w14:paraId="2A6F9D2F">
      <w:pPr>
        <w:spacing w:line="360" w:lineRule="auto"/>
        <w:ind w:firstLine="440" w:firstLineChars="200"/>
        <w:rPr>
          <w:rFonts w:hint="eastAsia" w:ascii="宋体" w:hAnsi="宋体" w:cs="宋体"/>
          <w:bCs/>
          <w:color w:val="auto"/>
          <w:sz w:val="22"/>
          <w:szCs w:val="21"/>
          <w:highlight w:val="none"/>
        </w:rPr>
      </w:pPr>
      <w:r>
        <w:rPr>
          <w:rFonts w:hint="eastAsia" w:ascii="宋体" w:hAnsi="宋体" w:cs="宋体"/>
          <w:bCs/>
          <w:color w:val="auto"/>
          <w:sz w:val="22"/>
          <w:szCs w:val="21"/>
          <w:highlight w:val="none"/>
        </w:rPr>
        <w:t>（</w:t>
      </w:r>
      <w:r>
        <w:rPr>
          <w:rFonts w:hint="eastAsia" w:ascii="宋体" w:hAnsi="宋体" w:eastAsia="宋体" w:cs="宋体"/>
          <w:bCs/>
          <w:color w:val="auto"/>
          <w:sz w:val="22"/>
          <w:szCs w:val="21"/>
          <w:highlight w:val="none"/>
        </w:rPr>
        <w:t>12）用于资格审查的业绩；</w:t>
      </w:r>
    </w:p>
    <w:p w14:paraId="0747128F">
      <w:pPr>
        <w:spacing w:line="360" w:lineRule="auto"/>
        <w:ind w:firstLine="440" w:firstLineChars="200"/>
        <w:rPr>
          <w:rFonts w:ascii="宋体" w:hAnsi="宋体" w:cs="宋体"/>
          <w:bCs/>
          <w:color w:val="auto"/>
          <w:sz w:val="22"/>
          <w:szCs w:val="21"/>
          <w:highlight w:val="none"/>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3</w:t>
      </w:r>
      <w:r>
        <w:rPr>
          <w:rFonts w:hint="eastAsia" w:ascii="宋体" w:hAnsi="宋体" w:cs="宋体"/>
          <w:color w:val="auto"/>
          <w:sz w:val="22"/>
          <w:szCs w:val="22"/>
          <w:highlight w:val="none"/>
          <w:u w:val="single"/>
        </w:rPr>
        <w:t>）</w:t>
      </w:r>
      <w:r>
        <w:rPr>
          <w:rFonts w:hint="eastAsia" w:ascii="宋体" w:hAnsi="宋体" w:cs="宋体"/>
          <w:color w:val="auto"/>
          <w:sz w:val="22"/>
          <w:szCs w:val="22"/>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bCs/>
          <w:color w:val="auto"/>
          <w:sz w:val="22"/>
          <w:szCs w:val="21"/>
          <w:highlight w:val="none"/>
        </w:rPr>
        <w:t>；</w:t>
      </w:r>
    </w:p>
    <w:p w14:paraId="4DFF2878">
      <w:pPr>
        <w:spacing w:line="360" w:lineRule="auto"/>
        <w:ind w:firstLine="440" w:firstLineChars="200"/>
        <w:jc w:val="left"/>
        <w:rPr>
          <w:rFonts w:hint="eastAsia" w:ascii="宋体" w:hAnsi="宋体" w:eastAsia="宋体" w:cs="宋体"/>
          <w:color w:val="auto"/>
          <w:sz w:val="22"/>
          <w:szCs w:val="22"/>
          <w:highlight w:val="none"/>
          <w:u w:val="single"/>
          <w:lang w:eastAsia="zh-CN"/>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4</w:t>
      </w:r>
      <w:r>
        <w:rPr>
          <w:rFonts w:hint="eastAsia" w:ascii="宋体" w:hAnsi="宋体" w:cs="宋体"/>
          <w:color w:val="auto"/>
          <w:sz w:val="22"/>
          <w:szCs w:val="22"/>
          <w:highlight w:val="none"/>
          <w:u w:val="single"/>
        </w:rPr>
        <w:t>）投标人未被列入拖欠农民工工资失信联合惩戒对象名单（投标人无需提供资料，按</w:t>
      </w:r>
      <w:r>
        <w:rPr>
          <w:rFonts w:hint="eastAsia" w:ascii="宋体" w:hAnsi="宋体" w:cs="宋体"/>
          <w:color w:val="auto"/>
          <w:sz w:val="22"/>
          <w:szCs w:val="22"/>
          <w:highlight w:val="none"/>
          <w:u w:val="single"/>
          <w:lang w:val="en-US" w:eastAsia="zh-CN"/>
        </w:rPr>
        <w:t>投标截止时间</w:t>
      </w:r>
      <w:r>
        <w:rPr>
          <w:rFonts w:hint="eastAsia" w:ascii="宋体" w:hAnsi="宋体" w:cs="宋体"/>
          <w:color w:val="auto"/>
          <w:sz w:val="22"/>
          <w:szCs w:val="22"/>
          <w:highlight w:val="none"/>
          <w:u w:val="single"/>
        </w:rPr>
        <w:t>交易系统比对的结果进行评审）</w:t>
      </w:r>
      <w:r>
        <w:rPr>
          <w:rFonts w:hint="eastAsia" w:ascii="宋体" w:hAnsi="宋体" w:cs="宋体"/>
          <w:color w:val="auto"/>
          <w:sz w:val="22"/>
          <w:szCs w:val="22"/>
          <w:highlight w:val="none"/>
          <w:u w:val="single"/>
          <w:lang w:eastAsia="zh-CN"/>
        </w:rPr>
        <w:t>；</w:t>
      </w:r>
    </w:p>
    <w:p w14:paraId="42813A3C">
      <w:pPr>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u w:val="single"/>
        </w:rPr>
        <w:t>（1</w:t>
      </w:r>
      <w:r>
        <w:rPr>
          <w:rFonts w:hint="eastAsia" w:ascii="宋体" w:hAnsi="宋体" w:cs="宋体"/>
          <w:color w:val="auto"/>
          <w:sz w:val="22"/>
          <w:szCs w:val="22"/>
          <w:highlight w:val="none"/>
          <w:u w:val="single"/>
          <w:lang w:val="en-US" w:eastAsia="zh-CN"/>
        </w:rPr>
        <w:t>5</w:t>
      </w:r>
      <w:r>
        <w:rPr>
          <w:rFonts w:hint="eastAsia" w:ascii="宋体" w:hAnsi="宋体" w:cs="宋体"/>
          <w:color w:val="auto"/>
          <w:sz w:val="22"/>
          <w:szCs w:val="22"/>
          <w:highlight w:val="none"/>
          <w:u w:val="single"/>
        </w:rPr>
        <w:t>）投标人认为应提供的其他资料。</w:t>
      </w:r>
    </w:p>
    <w:p w14:paraId="209500D3">
      <w:pPr>
        <w:spacing w:line="360" w:lineRule="auto"/>
        <w:ind w:firstLine="440" w:firstLineChars="200"/>
        <w:rPr>
          <w:rFonts w:ascii="宋体" w:hAnsi="宋体" w:cs="宋体"/>
          <w:bCs/>
          <w:color w:val="auto"/>
          <w:sz w:val="22"/>
          <w:szCs w:val="21"/>
          <w:highlight w:val="none"/>
        </w:rPr>
      </w:pPr>
      <w:r>
        <w:rPr>
          <w:rFonts w:hint="eastAsia" w:ascii="宋体" w:hAnsi="宋体" w:cs="宋体"/>
          <w:bCs/>
          <w:color w:val="auto"/>
          <w:sz w:val="22"/>
          <w:szCs w:val="21"/>
          <w:highlight w:val="none"/>
        </w:rPr>
        <w:t>注：1.相关电子证书按规定需打印后手写本人签名的，应按照规定手写本人签名后再扫描提交。</w:t>
      </w:r>
    </w:p>
    <w:p w14:paraId="576CDBF3">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90C7CE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11.2.2按照招标文件要求填写的《参与编制技术标投标文件人员名单》（详见招标文件第四章“投标文件格式”）。</w:t>
      </w:r>
    </w:p>
    <w:p w14:paraId="7870DCA7">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11.2.3技术标评分证明材料：</w:t>
      </w:r>
    </w:p>
    <w:p w14:paraId="1DB724D7">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11.2.4按照招标文件要求填写的《危险性较大的分部分项工程清单及超过一定规模的危险性较大的分部分项工程清单》（详见招标文件第四章“投标文件格式”）。</w:t>
      </w:r>
    </w:p>
    <w:p w14:paraId="42DB27D6">
      <w:pPr>
        <w:pBdr>
          <w:bottom w:val="single" w:color="auto" w:sz="6" w:space="1"/>
        </w:pBd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11.2.5施工组织设计或施工方案。</w:t>
      </w:r>
    </w:p>
    <w:p w14:paraId="52FCC97C">
      <w:pPr>
        <w:pBdr>
          <w:bottom w:val="single" w:color="auto" w:sz="6" w:space="1"/>
        </w:pBd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（1）投标人在编制施工组织设计或施工方案时应按照招标人提出的施工现场建筑垃圾源头减量的具体要求以及建筑垃圾综合利用产品的使用要求提供相应措施。</w:t>
      </w:r>
    </w:p>
    <w:p w14:paraId="69694D60">
      <w:pPr>
        <w:pBdr>
          <w:bottom w:val="single" w:color="auto" w:sz="6" w:space="1"/>
        </w:pBdr>
        <w:spacing w:line="360"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u w:val="single"/>
        </w:rPr>
        <w:t>（2）投标人在编制施工组织设计或施工方案时应按照招标文件要求，并针对本项目的关键技术、工艺、重点、难点以及拟在本项目采用的新工艺、新技术、新材料编制，应突出重点，标准、规范中已有的内容无需赘述，篇幅不宜超过150页。超过部分不予评审。</w:t>
      </w:r>
    </w:p>
    <w:p w14:paraId="71D7D299">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11.2.</w:t>
      </w: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其他投标人认为应该提供的资料。</w:t>
      </w:r>
    </w:p>
    <w:p w14:paraId="5A6E0766">
      <w:pPr>
        <w:spacing w:line="360" w:lineRule="auto"/>
        <w:ind w:firstLine="442" w:firstLineChars="200"/>
        <w:rPr>
          <w:rFonts w:ascii="宋体" w:hAnsi="宋体" w:cs="宋体"/>
          <w:color w:val="auto"/>
          <w:sz w:val="22"/>
          <w:szCs w:val="22"/>
          <w:highlight w:val="none"/>
        </w:rPr>
      </w:pPr>
      <w:r>
        <w:rPr>
          <w:rFonts w:hint="eastAsia" w:ascii="宋体" w:hAnsi="宋体" w:cs="宋体"/>
          <w:b/>
          <w:bCs/>
          <w:color w:val="auto"/>
          <w:sz w:val="22"/>
          <w:szCs w:val="21"/>
          <w:highlight w:val="none"/>
        </w:rPr>
        <w:t>条款号：11.3               修改类型：修改</w:t>
      </w:r>
    </w:p>
    <w:p w14:paraId="0782986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 经济部分投标文件主要包括下列内容：</w:t>
      </w:r>
    </w:p>
    <w:p w14:paraId="739B6B7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11.3.1 经济投标文件(按招标文件的要求填写)。</w:t>
      </w:r>
    </w:p>
    <w:p w14:paraId="0F104DF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DF37D1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（1）投标总价封面、扉页；</w:t>
      </w:r>
    </w:p>
    <w:p w14:paraId="2F887A0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（2）总说明；</w:t>
      </w:r>
    </w:p>
    <w:p w14:paraId="0A5240A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（3）工程项目投标报价汇总表；</w:t>
      </w:r>
    </w:p>
    <w:p w14:paraId="5E60426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（4）单项工程投标报价汇总表；</w:t>
      </w:r>
    </w:p>
    <w:p w14:paraId="7352800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（5）单位工程投标报价汇总表；</w:t>
      </w:r>
    </w:p>
    <w:p w14:paraId="37B95D9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（6）分部分项工程清单与计价表；</w:t>
      </w:r>
    </w:p>
    <w:p w14:paraId="2BADC07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（7）单价措施项目清单与计价表；</w:t>
      </w:r>
    </w:p>
    <w:p w14:paraId="55DB713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（8）总价措施项目清单与计价表；</w:t>
      </w:r>
    </w:p>
    <w:p w14:paraId="42F7C3A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（9）综合单价分析表；</w:t>
      </w:r>
    </w:p>
    <w:p w14:paraId="3249A4C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（10）其他项目清单与计价汇总表；</w:t>
      </w:r>
    </w:p>
    <w:p w14:paraId="6E1097B7">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（11）暂列金额明细表；</w:t>
      </w:r>
    </w:p>
    <w:p w14:paraId="236D4AF0">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（12）材料（工程设备）暂估价明细表；</w:t>
      </w:r>
    </w:p>
    <w:p w14:paraId="1F16748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（13）专业工程暂估价明细表；</w:t>
      </w:r>
    </w:p>
    <w:p w14:paraId="71DC4AE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（14）计日工表；</w:t>
      </w:r>
    </w:p>
    <w:p w14:paraId="2B584959">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（15）总承包服务计价表；</w:t>
      </w:r>
    </w:p>
    <w:p w14:paraId="6156F22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（16）规费和税金项目计价表；</w:t>
      </w:r>
    </w:p>
    <w:p w14:paraId="773161CF">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（17）人工、主要材料和设备一览表。</w:t>
      </w:r>
    </w:p>
    <w:p w14:paraId="26270886">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11.3.3按照招标文件要求填写的《参与编制经济标投标文件人员名单》。</w:t>
      </w:r>
    </w:p>
    <w:p w14:paraId="78A8C49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11.3.4若投标人的投标报价低于工程成本警戒价的，投标人还须提供详细的施工组织设计、单价、措施性费用、单价分析表、主要材料价格表、投标人成本分析供评标委员会评审。</w:t>
      </w:r>
    </w:p>
    <w:p w14:paraId="67B520AA">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 xml:space="preserve">11.3 </w:t>
      </w:r>
      <w:r>
        <w:rPr>
          <w:rFonts w:hint="eastAsia" w:ascii="宋体" w:hAnsi="宋体" w:cs="宋体"/>
          <w:b/>
          <w:bCs/>
          <w:color w:val="auto"/>
          <w:sz w:val="22"/>
          <w:szCs w:val="22"/>
          <w:highlight w:val="none"/>
          <w:u w:val="single"/>
        </w:rPr>
        <w:t>经济部分投标文件</w:t>
      </w:r>
      <w:r>
        <w:rPr>
          <w:rFonts w:hint="eastAsia" w:ascii="宋体" w:hAnsi="宋体" w:cs="宋体"/>
          <w:bCs/>
          <w:color w:val="auto"/>
          <w:sz w:val="22"/>
          <w:szCs w:val="22"/>
          <w:highlight w:val="none"/>
        </w:rPr>
        <w:t>主要包括下列内容:</w:t>
      </w:r>
    </w:p>
    <w:p w14:paraId="4307A96B">
      <w:pPr>
        <w:pBdr>
          <w:bottom w:val="single" w:color="auto" w:sz="6" w:space="1"/>
        </w:pBdr>
        <w:adjustRightInd w:val="0"/>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rPr>
        <w:t xml:space="preserve">11.3.1 </w:t>
      </w:r>
      <w:r>
        <w:rPr>
          <w:rFonts w:hint="eastAsia" w:ascii="宋体" w:hAnsi="宋体" w:cs="宋体"/>
          <w:color w:val="auto"/>
          <w:sz w:val="22"/>
          <w:szCs w:val="22"/>
          <w:highlight w:val="none"/>
          <w:u w:val="single"/>
        </w:rPr>
        <w:t>经济投标文件（按招标文件的要求填写）。</w:t>
      </w:r>
    </w:p>
    <w:p w14:paraId="61AD578F">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2"/>
          <w:szCs w:val="22"/>
          <w:highlight w:val="none"/>
          <w:u w:val="single"/>
        </w:rPr>
        <w:t>（投标报价的工程量清单的组成、格式等由</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的投标文件管理软件自动生成）</w:t>
      </w:r>
    </w:p>
    <w:p w14:paraId="1178A2B8">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11.3.3按照招标文件要求填写的《参与编制经济标投标文件人员名单》（详见招标文件第四章“投标文件格式”）。</w:t>
      </w:r>
    </w:p>
    <w:p w14:paraId="0DF1B9D3">
      <w:pPr>
        <w:pBdr>
          <w:bottom w:val="single" w:color="auto" w:sz="6" w:space="1"/>
        </w:pBdr>
        <w:adjustRightInd w:val="0"/>
        <w:spacing w:line="360" w:lineRule="auto"/>
        <w:ind w:firstLine="440" w:firstLineChars="200"/>
        <w:rPr>
          <w:rFonts w:ascii="宋体" w:hAnsi="宋体" w:cs="宋体"/>
          <w:color w:val="auto"/>
          <w:sz w:val="22"/>
          <w:szCs w:val="22"/>
          <w:highlight w:val="none"/>
          <w:u w:val="single"/>
        </w:rPr>
      </w:pPr>
      <w:r>
        <w:rPr>
          <w:rFonts w:hint="eastAsia" w:ascii="宋体" w:hAnsi="宋体" w:cs="宋体"/>
          <w:color w:val="auto"/>
          <w:sz w:val="22"/>
          <w:szCs w:val="22"/>
          <w:highlight w:val="none"/>
          <w:u w:val="single"/>
        </w:rPr>
        <w:t>11.3.4《对投标文件编制的承诺》（详见招标文件第四章“投标文件格式”）。</w:t>
      </w:r>
    </w:p>
    <w:p w14:paraId="4F24C004">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11.3.5若投标人的投标报价低于工程成本警戒价的，投标人还须提供详细的施工组织设计、单价、措施性费用、单价分析表、主要材料价格表、投标人成本分析供评标委员会评审。</w:t>
      </w:r>
    </w:p>
    <w:p w14:paraId="7C674079">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12.2       </w:t>
      </w:r>
      <w:r>
        <w:rPr>
          <w:rFonts w:hint="eastAsia" w:ascii="宋体" w:hAnsi="宋体" w:cs="宋体"/>
          <w:b/>
          <w:color w:val="auto"/>
          <w:sz w:val="22"/>
          <w:szCs w:val="22"/>
          <w:highlight w:val="none"/>
        </w:rPr>
        <w:t>修改类型：修改</w:t>
      </w:r>
    </w:p>
    <w:p w14:paraId="12378205">
      <w:pPr>
        <w:pStyle w:val="5"/>
        <w:tabs>
          <w:tab w:val="left" w:pos="7380"/>
        </w:tabs>
        <w:spacing w:after="0" w:line="360" w:lineRule="auto"/>
        <w:ind w:firstLine="442" w:firstLineChars="200"/>
        <w:jc w:val="left"/>
        <w:rPr>
          <w:rFonts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原文：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w:t>
      </w:r>
      <w:r>
        <w:rPr>
          <w:rFonts w:hint="eastAsia" w:asciiTheme="majorEastAsia" w:hAnsiTheme="majorEastAsia" w:eastAsiaTheme="majorEastAsia" w:cstheme="majorEastAsia"/>
          <w:color w:val="auto"/>
          <w:sz w:val="22"/>
          <w:szCs w:val="22"/>
          <w:highlight w:val="none"/>
          <w:lang w:val="en-US" w:eastAsia="zh-CN"/>
        </w:rPr>
        <w:t>对招标文件</w:t>
      </w:r>
      <w:r>
        <w:rPr>
          <w:rFonts w:hint="eastAsia" w:asciiTheme="majorEastAsia" w:hAnsiTheme="majorEastAsia" w:eastAsiaTheme="majorEastAsia" w:cstheme="majorEastAsia"/>
          <w:color w:val="auto"/>
          <w:sz w:val="22"/>
          <w:szCs w:val="22"/>
          <w:highlight w:val="none"/>
        </w:rPr>
        <w:t>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2"/>
          <w:szCs w:val="22"/>
          <w:highlight w:val="none"/>
          <w:u w:val="single"/>
        </w:rPr>
        <w:t xml:space="preserve">             </w:t>
      </w:r>
      <w:r>
        <w:rPr>
          <w:rFonts w:hint="eastAsia" w:asciiTheme="majorEastAsia" w:hAnsiTheme="majorEastAsia" w:eastAsiaTheme="majorEastAsia" w:cstheme="majorEastAsia"/>
          <w:color w:val="auto"/>
          <w:sz w:val="22"/>
          <w:szCs w:val="22"/>
          <w:highlight w:val="none"/>
        </w:rPr>
        <w:t>。</w:t>
      </w:r>
    </w:p>
    <w:p w14:paraId="4BA0C8BD">
      <w:pPr>
        <w:pStyle w:val="5"/>
        <w:spacing w:after="0" w:line="360" w:lineRule="auto"/>
        <w:ind w:firstLine="440" w:firstLineChars="200"/>
        <w:rPr>
          <w:rFonts w:ascii="宋体" w:hAnsi="宋体" w:cs="宋体"/>
          <w:color w:val="auto"/>
          <w:sz w:val="22"/>
          <w:szCs w:val="22"/>
          <w:highlight w:val="none"/>
        </w:rPr>
      </w:pPr>
      <w:r>
        <w:rPr>
          <w:rFonts w:hint="eastAsia" w:asciiTheme="majorEastAsia" w:hAnsiTheme="majorEastAsia" w:eastAsiaTheme="majorEastAsia" w:cstheme="majorEastAsia"/>
          <w:color w:val="auto"/>
          <w:sz w:val="22"/>
          <w:szCs w:val="22"/>
          <w:highlight w:val="none"/>
        </w:rPr>
        <w:t>注释：投标文件电子文档需要投标人单位盖章的材料，投标人加盖电子印章即可，不得将投标人未对电子文档加盖实物印章作为否决投标的情形。</w:t>
      </w:r>
    </w:p>
    <w:p w14:paraId="1BEA2E68">
      <w:pPr>
        <w:pStyle w:val="5"/>
        <w:tabs>
          <w:tab w:val="left" w:pos="7380"/>
        </w:tabs>
        <w:spacing w:after="0" w:line="360" w:lineRule="auto"/>
        <w:ind w:firstLine="442" w:firstLineChars="200"/>
        <w:jc w:val="left"/>
        <w:rPr>
          <w:rFonts w:asciiTheme="majorEastAsia" w:hAnsiTheme="majorEastAsia" w:eastAsiaTheme="majorEastAsia" w:cstheme="majorEastAsia"/>
          <w:color w:val="auto"/>
          <w:sz w:val="22"/>
          <w:szCs w:val="22"/>
          <w:highlight w:val="none"/>
        </w:rPr>
      </w:pPr>
      <w:r>
        <w:rPr>
          <w:rFonts w:hint="eastAsia" w:ascii="宋体" w:hAnsi="宋体" w:cs="宋体"/>
          <w:b/>
          <w:bCs/>
          <w:color w:val="auto"/>
          <w:sz w:val="22"/>
          <w:szCs w:val="22"/>
          <w:highlight w:val="none"/>
        </w:rPr>
        <w:t>现文：</w:t>
      </w:r>
      <w:r>
        <w:rPr>
          <w:rFonts w:hint="eastAsia" w:asciiTheme="majorEastAsia" w:hAnsiTheme="majorEastAsia" w:eastAsiaTheme="majorEastAsia" w:cstheme="majorEastAsia"/>
          <w:color w:val="auto"/>
          <w:sz w:val="22"/>
          <w:szCs w:val="22"/>
          <w:highlight w:val="none"/>
        </w:rPr>
        <w:t>12.2 投标文件全部采用电子文档，投标文件所附证书证件均为原件扫描件，并采用单位数字证书，</w:t>
      </w:r>
      <w:r>
        <w:rPr>
          <w:rFonts w:hint="eastAsia" w:asciiTheme="majorEastAsia" w:hAnsiTheme="majorEastAsia" w:eastAsiaTheme="majorEastAsia" w:cstheme="majorEastAsia"/>
          <w:color w:val="auto"/>
          <w:sz w:val="22"/>
          <w:szCs w:val="22"/>
          <w:highlight w:val="none"/>
          <w:lang w:val="en-US" w:eastAsia="zh-CN"/>
        </w:rPr>
        <w:t>对招标文件</w:t>
      </w:r>
      <w:r>
        <w:rPr>
          <w:rFonts w:hint="eastAsia" w:asciiTheme="majorEastAsia" w:hAnsiTheme="majorEastAsia" w:eastAsiaTheme="majorEastAsia" w:cstheme="majorEastAsia"/>
          <w:color w:val="auto"/>
          <w:sz w:val="22"/>
          <w:szCs w:val="22"/>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eastAsiaTheme="majorEastAsia"/>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Theme="majorEastAsia" w:hAnsiTheme="majorEastAsia" w:eastAsiaTheme="majorEastAsia" w:cstheme="majorEastAsia"/>
          <w:color w:val="auto"/>
          <w:sz w:val="22"/>
          <w:szCs w:val="22"/>
          <w:highlight w:val="none"/>
        </w:rPr>
        <w:t>。</w:t>
      </w:r>
    </w:p>
    <w:p w14:paraId="51C0589C">
      <w:pPr>
        <w:pBdr>
          <w:bottom w:val="single" w:color="auto" w:sz="6" w:space="1"/>
        </w:pBdr>
        <w:spacing w:line="360" w:lineRule="auto"/>
        <w:ind w:firstLine="431" w:firstLineChars="196"/>
        <w:rPr>
          <w:rFonts w:ascii="宋体" w:hAnsi="宋体" w:cs="宋体"/>
          <w:b/>
          <w:bCs/>
          <w:color w:val="auto"/>
          <w:sz w:val="22"/>
          <w:szCs w:val="22"/>
          <w:highlight w:val="none"/>
        </w:rPr>
      </w:pPr>
      <w:r>
        <w:rPr>
          <w:rFonts w:hint="eastAsia" w:asciiTheme="majorEastAsia" w:hAnsiTheme="majorEastAsia" w:eastAsiaTheme="majorEastAsia" w:cstheme="majorEastAsia"/>
          <w:color w:val="auto"/>
          <w:kern w:val="0"/>
          <w:sz w:val="22"/>
          <w:szCs w:val="22"/>
          <w:highlight w:val="none"/>
        </w:rPr>
        <w:t>注释：投标文件电子文档需要投标人单位盖章的材料，投标人加盖电子印章即可，不得将投标人未对电子文档加盖实物印章作为否决投标的情形。</w:t>
      </w:r>
    </w:p>
    <w:p w14:paraId="386F8477">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 xml:space="preserve">12.3       </w:t>
      </w:r>
      <w:r>
        <w:rPr>
          <w:rFonts w:hint="eastAsia" w:ascii="宋体" w:hAnsi="宋体" w:cs="宋体"/>
          <w:b/>
          <w:color w:val="auto"/>
          <w:sz w:val="22"/>
          <w:szCs w:val="22"/>
          <w:highlight w:val="none"/>
        </w:rPr>
        <w:t>修改类型：修改</w:t>
      </w:r>
    </w:p>
    <w:p w14:paraId="332120A2">
      <w:pPr>
        <w:pStyle w:val="11"/>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p>
    <w:p w14:paraId="48A842B2">
      <w:pPr>
        <w:pBdr>
          <w:bottom w:val="single" w:color="auto" w:sz="6" w:space="1"/>
        </w:pBdr>
        <w:spacing w:line="360" w:lineRule="auto"/>
        <w:ind w:firstLine="433" w:firstLineChars="196"/>
        <w:rPr>
          <w:rFonts w:ascii="宋体" w:hAnsi="宋体" w:cs="宋体"/>
          <w:color w:val="auto"/>
          <w:sz w:val="22"/>
          <w:szCs w:val="22"/>
          <w:highlight w:val="none"/>
          <w:u w:val="single"/>
        </w:rPr>
      </w:pPr>
      <w:r>
        <w:rPr>
          <w:rFonts w:hint="eastAsia" w:ascii="宋体" w:hAnsi="宋体" w:cs="宋体"/>
          <w:b/>
          <w:bCs/>
          <w:color w:val="auto"/>
          <w:sz w:val="22"/>
          <w:szCs w:val="22"/>
          <w:highlight w:val="none"/>
        </w:rPr>
        <w:t>现文：</w:t>
      </w:r>
      <w:r>
        <w:rPr>
          <w:rFonts w:hint="eastAsia" w:ascii="宋体" w:hAnsi="宋体" w:cs="宋体"/>
          <w:color w:val="auto"/>
          <w:sz w:val="22"/>
          <w:szCs w:val="22"/>
          <w:highlight w:val="none"/>
        </w:rPr>
        <w:t xml:space="preserve">12.3 </w:t>
      </w:r>
      <w:r>
        <w:rPr>
          <w:rFonts w:hint="eastAsia" w:ascii="宋体" w:hAnsi="宋体" w:cs="宋体"/>
          <w:bCs/>
          <w:color w:val="auto"/>
          <w:sz w:val="22"/>
          <w:szCs w:val="22"/>
          <w:highlight w:val="none"/>
        </w:rPr>
        <w:t>投标文件应按</w:t>
      </w:r>
      <w:r>
        <w:rPr>
          <w:rFonts w:hint="eastAsia" w:ascii="宋体" w:hAnsi="宋体" w:cs="宋体"/>
          <w:color w:val="auto"/>
          <w:sz w:val="22"/>
          <w:szCs w:val="22"/>
          <w:highlight w:val="none"/>
        </w:rPr>
        <w:t>照交易平台关于全流程电子化项目的相关指南进行编制，详见：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p>
    <w:p w14:paraId="4D37A9AB">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条款号：13.1              修改类型：修改</w:t>
      </w:r>
    </w:p>
    <w:p w14:paraId="459F7F0C">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13.1 本工程的投标报价采用投标须知前附表第12项所规定的方式。投标报价（含单价及总价）精确到“分”。</w:t>
      </w:r>
    </w:p>
    <w:p w14:paraId="7B794889">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本工程的投标报价采用投标须知前附表第12项所规定的方式。</w:t>
      </w:r>
      <w:r>
        <w:rPr>
          <w:rFonts w:hint="eastAsia" w:ascii="宋体" w:hAnsi="宋体" w:cs="宋体"/>
          <w:color w:val="auto"/>
          <w:sz w:val="22"/>
          <w:szCs w:val="22"/>
          <w:highlight w:val="none"/>
          <w:u w:val="single"/>
        </w:rPr>
        <w:t>投标文件中的大写金额和小写金额不一致的，以大写金额为准，</w:t>
      </w:r>
      <w:r>
        <w:rPr>
          <w:rFonts w:hint="eastAsia" w:ascii="宋体" w:hAnsi="宋体" w:cs="宋体"/>
          <w:color w:val="auto"/>
          <w:sz w:val="22"/>
          <w:szCs w:val="22"/>
          <w:highlight w:val="none"/>
        </w:rPr>
        <w:t>投标报价（含单价及总价）精确到“分”。</w:t>
      </w:r>
    </w:p>
    <w:p w14:paraId="152AAD1E">
      <w:pPr>
        <w:pStyle w:val="5"/>
        <w:widowControl/>
        <w:adjustRightInd w:val="0"/>
        <w:spacing w:after="0"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条款号：13.4           修改类型：修改</w:t>
      </w:r>
    </w:p>
    <w:p w14:paraId="1FA94CE0">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E25D662">
      <w:pPr>
        <w:pBdr>
          <w:bottom w:val="single" w:color="auto" w:sz="6" w:space="1"/>
        </w:pBdr>
        <w:adjustRightInd w:val="0"/>
        <w:spacing w:line="360" w:lineRule="auto"/>
        <w:ind w:firstLine="442" w:firstLineChars="200"/>
        <w:rPr>
          <w:rFonts w:ascii="宋体" w:hAnsi="宋体" w:cs="宋体"/>
          <w:color w:val="auto"/>
          <w:sz w:val="22"/>
          <w:szCs w:val="22"/>
          <w:highlight w:val="none"/>
          <w:u w:val="singl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13.4投标人一旦中标，投标人对招标人提供的招标工程量清单中列出的工程项目所报出的综合单价和措施项目费在工程结算时，按招标文件第三章合同条款相关约定</w:t>
      </w:r>
      <w:r>
        <w:rPr>
          <w:rFonts w:hint="eastAsia" w:ascii="宋体" w:hAnsi="宋体" w:cs="宋体"/>
          <w:bCs/>
          <w:color w:val="auto"/>
          <w:sz w:val="22"/>
          <w:szCs w:val="22"/>
          <w:highlight w:val="none"/>
          <w:lang w:val="en-US" w:eastAsia="zh-CN"/>
        </w:rPr>
        <w:t>执行</w:t>
      </w:r>
      <w:r>
        <w:rPr>
          <w:rFonts w:hint="eastAsia" w:ascii="宋体" w:hAnsi="宋体" w:cs="宋体"/>
          <w:bCs/>
          <w:color w:val="auto"/>
          <w:sz w:val="22"/>
          <w:szCs w:val="22"/>
          <w:highlight w:val="none"/>
        </w:rPr>
        <w:t>。</w:t>
      </w:r>
    </w:p>
    <w:p w14:paraId="2E0C68E9">
      <w:pPr>
        <w:pStyle w:val="5"/>
        <w:widowControl/>
        <w:adjustRightInd w:val="0"/>
        <w:spacing w:after="0"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条款号：13.5            修改类型：修改</w:t>
      </w:r>
    </w:p>
    <w:p w14:paraId="3D01CBEA">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6DB05380">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13.5.1中标的投标文件工程量清单中已有相同项目的适用综合单价，则沿用；</w:t>
      </w:r>
    </w:p>
    <w:p w14:paraId="66092FC5">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7181218">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49A64C42">
      <w:pPr>
        <w:pBdr>
          <w:bottom w:val="single" w:color="auto" w:sz="6" w:space="1"/>
        </w:pBdr>
        <w:adjustRightIn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13.5.4 如相关定额没有相应子目的，其计价方式由招标人在本招标文件第三章中另行规定。未规定的，中标后双方协商约定。</w:t>
      </w:r>
    </w:p>
    <w:p w14:paraId="2A75CB19">
      <w:pPr>
        <w:pBdr>
          <w:bottom w:val="single" w:color="auto" w:sz="6" w:space="1"/>
        </w:pBdr>
        <w:adjustRightInd w:val="0"/>
        <w:spacing w:line="360" w:lineRule="auto"/>
        <w:ind w:firstLine="442" w:firstLineChars="200"/>
        <w:rPr>
          <w:rFonts w:hint="eastAsia" w:ascii="宋体" w:hAnsi="宋体" w:eastAsia="宋体" w:cs="宋体"/>
          <w:color w:val="auto"/>
          <w:sz w:val="22"/>
          <w:szCs w:val="22"/>
          <w:highlight w:val="none"/>
          <w:u w:val="none"/>
        </w:rPr>
      </w:pPr>
      <w:r>
        <w:rPr>
          <w:rFonts w:hint="eastAsia" w:ascii="宋体" w:hAnsi="宋体" w:cs="宋体"/>
          <w:b/>
          <w:color w:val="auto"/>
          <w:sz w:val="22"/>
          <w:szCs w:val="22"/>
          <w:highlight w:val="none"/>
        </w:rPr>
        <w:t>现文：</w:t>
      </w:r>
      <w:r>
        <w:rPr>
          <w:rFonts w:hint="eastAsia" w:ascii="宋体" w:hAnsi="宋体" w:eastAsia="宋体" w:cs="宋体"/>
          <w:color w:val="auto"/>
          <w:sz w:val="22"/>
          <w:szCs w:val="22"/>
          <w:highlight w:val="none"/>
        </w:rPr>
        <w:t>13.5</w:t>
      </w:r>
      <w:r>
        <w:rPr>
          <w:rFonts w:hint="eastAsia" w:ascii="宋体" w:hAnsi="宋体" w:eastAsia="宋体" w:cs="宋体"/>
          <w:color w:val="auto"/>
          <w:sz w:val="22"/>
          <w:szCs w:val="22"/>
          <w:highlight w:val="none"/>
          <w:u w:val="single"/>
        </w:rPr>
        <w:t>工程项目实施期间和结算时，</w:t>
      </w:r>
      <w:r>
        <w:rPr>
          <w:rFonts w:hint="eastAsia" w:ascii="宋体" w:hAnsi="宋体" w:eastAsia="宋体" w:cs="宋体"/>
          <w:color w:val="auto"/>
          <w:sz w:val="22"/>
          <w:szCs w:val="22"/>
          <w:highlight w:val="none"/>
          <w:u w:val="single"/>
          <w:lang w:val="en-US" w:eastAsia="zh-CN"/>
        </w:rPr>
        <w:t>新增项目的认定及其价格的确定</w:t>
      </w:r>
      <w:r>
        <w:rPr>
          <w:rFonts w:hint="eastAsia" w:ascii="宋体" w:hAnsi="宋体" w:eastAsia="宋体" w:cs="宋体"/>
          <w:color w:val="auto"/>
          <w:sz w:val="22"/>
          <w:szCs w:val="22"/>
          <w:highlight w:val="none"/>
          <w:u w:val="single"/>
        </w:rPr>
        <w:t>按合同相关约定</w:t>
      </w:r>
      <w:r>
        <w:rPr>
          <w:rFonts w:hint="eastAsia" w:ascii="宋体" w:hAnsi="宋体" w:eastAsia="宋体" w:cs="宋体"/>
          <w:color w:val="auto"/>
          <w:sz w:val="22"/>
          <w:szCs w:val="22"/>
          <w:highlight w:val="none"/>
          <w:u w:val="single"/>
          <w:lang w:val="en-US" w:eastAsia="zh-CN"/>
        </w:rPr>
        <w:t>执行</w:t>
      </w:r>
      <w:r>
        <w:rPr>
          <w:rFonts w:hint="eastAsia" w:ascii="宋体" w:hAnsi="宋体" w:eastAsia="宋体" w:cs="宋体"/>
          <w:color w:val="auto"/>
          <w:sz w:val="22"/>
          <w:szCs w:val="22"/>
          <w:highlight w:val="none"/>
          <w:u w:val="single"/>
        </w:rPr>
        <w:t>。</w:t>
      </w:r>
    </w:p>
    <w:p w14:paraId="430C1D8A">
      <w:pPr>
        <w:pBdr>
          <w:bottom w:val="none" w:color="auto" w:sz="0" w:space="0"/>
        </w:pBd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条款号：16.1-16.7                 修改类型：修改</w:t>
      </w:r>
    </w:p>
    <w:p w14:paraId="68AF6503">
      <w:pPr>
        <w:spacing w:line="360" w:lineRule="auto"/>
        <w:ind w:firstLine="442" w:firstLineChars="200"/>
        <w:rPr>
          <w:rFonts w:ascii="宋体" w:hAnsi="宋体" w:cs="宋体"/>
          <w:color w:val="auto"/>
          <w:sz w:val="22"/>
          <w:szCs w:val="21"/>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1"/>
          <w:highlight w:val="none"/>
        </w:rPr>
        <w:t>16.1投标人应按投标须知前附表第14项所述金额和时间递交</w:t>
      </w:r>
      <w:r>
        <w:rPr>
          <w:rFonts w:hint="eastAsia" w:ascii="宋体" w:hAnsi="宋体" w:cs="宋体"/>
          <w:bCs/>
          <w:color w:val="auto"/>
          <w:sz w:val="22"/>
          <w:szCs w:val="21"/>
          <w:highlight w:val="none"/>
        </w:rPr>
        <w:t>投标保证金</w:t>
      </w:r>
      <w:r>
        <w:rPr>
          <w:rFonts w:hint="eastAsia" w:ascii="宋体" w:hAnsi="宋体" w:cs="宋体"/>
          <w:color w:val="auto"/>
          <w:sz w:val="22"/>
          <w:szCs w:val="21"/>
          <w:highlight w:val="none"/>
        </w:rPr>
        <w:t>。招标人应当允许投标人自主选择现金、银行保函、保证保险、专业工程担保公司担保等方式缴纳投标保证金。</w:t>
      </w:r>
    </w:p>
    <w:p w14:paraId="6D0BE322">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16.1.1 采用现金或者支票形式提交的，投标保证金须从投标人的银行基本账户转出。</w:t>
      </w:r>
    </w:p>
    <w:p w14:paraId="142E32C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71F6D7F">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16.1.3 采用电子形式的保函、担保或保证保险提交投标保证金的，应在招标文件中明确电子递交途径。</w:t>
      </w:r>
    </w:p>
    <w:p w14:paraId="209177C9">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2AB9FA1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16.3投标保证金应依据法律法规的相关规定退还。</w:t>
      </w:r>
    </w:p>
    <w:p w14:paraId="060D5283">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16.4如有下列情况之一的，招标人可以不予退还投标保证金（是否退还投标保证金由招标人在招标文件中规定）</w:t>
      </w:r>
    </w:p>
    <w:p w14:paraId="6FB1AF1E">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16.4.1因投标人原因造成投标文件未解密的；</w:t>
      </w:r>
    </w:p>
    <w:p w14:paraId="4173F256">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16.4.2投标人在投标有效期内撤销投标文件；</w:t>
      </w:r>
    </w:p>
    <w:p w14:paraId="6996CB9E">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16.4.3中标人未能在规定期限内按要求提交履约担保；</w:t>
      </w:r>
    </w:p>
    <w:p w14:paraId="508A2768">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16.4.4中标人未能在规定期限内签署合同协议。</w:t>
      </w:r>
    </w:p>
    <w:p w14:paraId="299597C8">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16.5投标人如存在下列情况之一的，将被拒绝在一定时期内参与招标人后续工程投标（拒绝时限需在招标文件中明确）：</w:t>
      </w:r>
    </w:p>
    <w:p w14:paraId="34EAB6B3">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16.5.1投标人存在16.4条款所列情形且投标人提交的保函、担保或保证保险无法兑付的；</w:t>
      </w:r>
    </w:p>
    <w:p w14:paraId="677279DF">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16.5.2采用非电子形式提交投标保证金的投标人存在16.4条款所列情形，且未按招标人要求补交银行保函、专业工程担保公司担保或保证保险原件的；</w:t>
      </w:r>
    </w:p>
    <w:p w14:paraId="2AD688CC">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16.5.3按招标文件要求免于提供投标保证金的投标人存在16.4条款所列情形，且未按招标人要求补交投标保证金的；</w:t>
      </w:r>
    </w:p>
    <w:p w14:paraId="40A25DD0">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16.5.3按招标文件要求免于提供投标保证金的投标人存在16.4条款所列情形的。</w:t>
      </w:r>
    </w:p>
    <w:p w14:paraId="49F8CA58">
      <w:pPr>
        <w:spacing w:line="360" w:lineRule="auto"/>
        <w:ind w:firstLine="440" w:firstLineChars="200"/>
        <w:rPr>
          <w:rFonts w:ascii="宋体" w:hAnsi="宋体" w:cs="宋体"/>
          <w:color w:val="auto"/>
          <w:sz w:val="22"/>
          <w:szCs w:val="21"/>
          <w:highlight w:val="none"/>
        </w:rPr>
      </w:pPr>
      <w:r>
        <w:rPr>
          <w:rFonts w:hint="eastAsia" w:ascii="宋体" w:hAnsi="宋体" w:cs="宋体"/>
          <w:color w:val="auto"/>
          <w:sz w:val="22"/>
          <w:szCs w:val="21"/>
          <w:highlight w:val="none"/>
        </w:rPr>
        <w:t>注：16.5.3款由招标人二选一，需在招标文件中明确。</w:t>
      </w:r>
    </w:p>
    <w:p w14:paraId="2F40AC4F">
      <w:pPr>
        <w:pStyle w:val="124"/>
        <w:spacing w:line="500" w:lineRule="exact"/>
        <w:ind w:firstLine="482"/>
        <w:rPr>
          <w:rFonts w:ascii="宋体" w:hAnsi="宋体"/>
          <w:b/>
          <w:bCs/>
          <w:color w:val="auto"/>
          <w:sz w:val="21"/>
          <w:szCs w:val="21"/>
          <w:highlight w:val="none"/>
        </w:rPr>
      </w:pPr>
      <w:r>
        <w:rPr>
          <w:rFonts w:hint="eastAsia" w:ascii="宋体" w:hAnsi="宋体" w:cs="宋体"/>
          <w:b/>
          <w:color w:val="auto"/>
          <w:sz w:val="22"/>
          <w:szCs w:val="22"/>
          <w:highlight w:val="none"/>
        </w:rPr>
        <w:t>现文：</w:t>
      </w:r>
      <w:r>
        <w:rPr>
          <w:rFonts w:hint="eastAsia" w:ascii="宋体" w:hAnsi="宋体"/>
          <w:color w:val="auto"/>
          <w:sz w:val="21"/>
          <w:szCs w:val="21"/>
          <w:highlight w:val="none"/>
        </w:rPr>
        <w:t>16.1投标人应按投标须知前附表第14项所述金额和时间递交投标保证金。</w:t>
      </w:r>
      <w:r>
        <w:rPr>
          <w:rFonts w:hint="eastAsia" w:ascii="宋体" w:hAnsi="宋体"/>
          <w:b w:val="0"/>
          <w:bCs w:val="0"/>
          <w:color w:val="auto"/>
          <w:sz w:val="21"/>
          <w:szCs w:val="21"/>
          <w:highlight w:val="none"/>
          <w:u w:val="single"/>
        </w:rPr>
        <w:t>允许投标人自主选择现金、银行保函、保证保险、专业工程担保公司担保等方式缴纳投标保证金。</w:t>
      </w:r>
    </w:p>
    <w:p w14:paraId="73DA3F91">
      <w:pPr>
        <w:pStyle w:val="124"/>
        <w:spacing w:line="500" w:lineRule="exact"/>
        <w:ind w:firstLine="480"/>
        <w:rPr>
          <w:rFonts w:ascii="宋体" w:hAnsi="宋体"/>
          <w:bCs/>
          <w:color w:val="auto"/>
          <w:sz w:val="21"/>
          <w:szCs w:val="21"/>
          <w:highlight w:val="none"/>
          <w:u w:val="single"/>
        </w:rPr>
      </w:pPr>
      <w:r>
        <w:rPr>
          <w:rFonts w:hint="eastAsia" w:ascii="宋体" w:hAnsi="宋体"/>
          <w:bCs/>
          <w:color w:val="auto"/>
          <w:sz w:val="21"/>
          <w:szCs w:val="21"/>
          <w:highlight w:val="none"/>
        </w:rPr>
        <w:t>16.1.1 采用现金</w:t>
      </w:r>
      <w:r>
        <w:rPr>
          <w:rFonts w:hint="eastAsia" w:ascii="宋体" w:hAnsi="宋体"/>
          <w:b w:val="0"/>
          <w:bCs w:val="0"/>
          <w:color w:val="auto"/>
          <w:sz w:val="21"/>
          <w:szCs w:val="21"/>
          <w:highlight w:val="none"/>
        </w:rPr>
        <w:t>或者支票</w:t>
      </w:r>
      <w:r>
        <w:rPr>
          <w:rFonts w:hint="eastAsia" w:ascii="宋体" w:hAnsi="宋体"/>
          <w:bCs/>
          <w:color w:val="auto"/>
          <w:sz w:val="21"/>
          <w:szCs w:val="21"/>
          <w:highlight w:val="none"/>
        </w:rPr>
        <w:t>形式提交的，投标保证金须从投标人的银行基本账户转出。</w:t>
      </w:r>
      <w:r>
        <w:rPr>
          <w:rFonts w:hint="eastAsia" w:ascii="宋体" w:hAnsi="宋体"/>
          <w:bCs/>
          <w:color w:val="auto"/>
          <w:sz w:val="21"/>
          <w:szCs w:val="21"/>
          <w:highlight w:val="none"/>
          <w:u w:val="single"/>
        </w:rPr>
        <w:t>由广州公共资源交易中心代收。缴纳情况以开标时广州公共资源交易中心网站查询为准。具体操作流程详见广州公共资源交易中心最新的投标保证金缴纳操作指引或自行咨询交易中心。</w:t>
      </w:r>
    </w:p>
    <w:p w14:paraId="120962FE">
      <w:pPr>
        <w:pStyle w:val="124"/>
        <w:spacing w:line="500" w:lineRule="exact"/>
        <w:ind w:firstLine="480"/>
        <w:rPr>
          <w:rFonts w:hint="eastAsia" w:ascii="宋体" w:hAnsi="宋体"/>
          <w:b/>
          <w:color w:val="auto"/>
          <w:sz w:val="21"/>
          <w:szCs w:val="21"/>
          <w:highlight w:val="none"/>
        </w:rPr>
      </w:pPr>
      <w:r>
        <w:rPr>
          <w:rFonts w:hint="eastAsia" w:ascii="宋体" w:hAnsi="宋体"/>
          <w:bCs/>
          <w:color w:val="auto"/>
          <w:sz w:val="21"/>
          <w:szCs w:val="21"/>
          <w:highlight w:val="none"/>
        </w:rPr>
        <w:t>16.1.2 依法必须招标的房屋建筑工程如采用非电子形式的</w:t>
      </w:r>
      <w:r>
        <w:rPr>
          <w:rFonts w:hint="eastAsia" w:ascii="宋体" w:hAnsi="宋体"/>
          <w:b w:val="0"/>
          <w:bCs w:val="0"/>
          <w:color w:val="auto"/>
          <w:sz w:val="21"/>
          <w:szCs w:val="21"/>
          <w:highlight w:val="none"/>
          <w:u w:val="single"/>
        </w:rPr>
        <w:t>银行保函、专业工程担保公司担保或保证保险</w:t>
      </w:r>
      <w:r>
        <w:rPr>
          <w:rFonts w:hint="eastAsia" w:ascii="宋体" w:hAnsi="宋体"/>
          <w:bCs/>
          <w:color w:val="auto"/>
          <w:sz w:val="21"/>
          <w:szCs w:val="21"/>
          <w:highlight w:val="none"/>
        </w:rPr>
        <w:t>提交投标保证金的，在开标前不强制要求投标人提交纸质原件，由中标候选人在中标候选人公示前提交并在网上公示，投标人应在投标文件中提交</w:t>
      </w:r>
      <w:r>
        <w:rPr>
          <w:rFonts w:hint="eastAsia" w:ascii="宋体" w:hAnsi="宋体"/>
          <w:b w:val="0"/>
          <w:bCs w:val="0"/>
          <w:color w:val="auto"/>
          <w:sz w:val="21"/>
          <w:szCs w:val="21"/>
          <w:highlight w:val="none"/>
          <w:u w:val="single"/>
        </w:rPr>
        <w:t>保函、担保或保证保险</w:t>
      </w:r>
      <w:r>
        <w:rPr>
          <w:rFonts w:hint="eastAsia" w:ascii="宋体" w:hAnsi="宋体"/>
          <w:bCs/>
          <w:color w:val="auto"/>
          <w:sz w:val="21"/>
          <w:szCs w:val="21"/>
          <w:highlight w:val="none"/>
        </w:rPr>
        <w:t>扫描件并加盖投标人电子印章。</w:t>
      </w:r>
      <w:r>
        <w:rPr>
          <w:rFonts w:hint="eastAsia" w:ascii="宋体" w:hAnsi="宋体"/>
          <w:b w:val="0"/>
          <w:bCs/>
          <w:color w:val="auto"/>
          <w:sz w:val="21"/>
          <w:szCs w:val="21"/>
          <w:highlight w:val="none"/>
        </w:rPr>
        <w:t>如投标人存在16.4条款所列情形的，应将纸质原件提交给招标人。</w:t>
      </w:r>
    </w:p>
    <w:p w14:paraId="736B5C2A">
      <w:pPr>
        <w:pStyle w:val="124"/>
        <w:spacing w:line="500" w:lineRule="exact"/>
        <w:ind w:firstLine="480"/>
        <w:rPr>
          <w:rFonts w:hint="eastAsia" w:ascii="宋体" w:hAnsi="宋体"/>
          <w:b w:val="0"/>
          <w:bCs/>
          <w:color w:val="auto"/>
          <w:sz w:val="21"/>
          <w:szCs w:val="21"/>
          <w:highlight w:val="none"/>
        </w:rPr>
      </w:pPr>
      <w:r>
        <w:rPr>
          <w:rFonts w:hint="eastAsia" w:ascii="宋体" w:hAnsi="宋体"/>
          <w:b w:val="0"/>
          <w:bCs/>
          <w:color w:val="auto"/>
          <w:sz w:val="21"/>
          <w:szCs w:val="21"/>
          <w:highlight w:val="none"/>
        </w:rPr>
        <w:t>16.1.3 采用电子形式的保函、担保或保证保险提交投标保证金的，</w:t>
      </w:r>
      <w:r>
        <w:rPr>
          <w:rFonts w:hint="eastAsia" w:ascii="宋体" w:hAnsi="宋体"/>
          <w:b w:val="0"/>
          <w:bCs/>
          <w:color w:val="auto"/>
          <w:sz w:val="21"/>
          <w:szCs w:val="21"/>
          <w:highlight w:val="none"/>
          <w:u w:val="single"/>
        </w:rPr>
        <w:t>按广州公共资源交易中心发布的《广州公共资源交易中心关于开通电子保函服务功能的通知》操作。详见：</w:t>
      </w:r>
      <w:r>
        <w:rPr>
          <w:rFonts w:hint="eastAsia" w:ascii="宋体" w:hAnsi="宋体"/>
          <w:bCs/>
          <w:color w:val="auto"/>
          <w:szCs w:val="21"/>
          <w:highlight w:val="none"/>
          <w:u w:val="single"/>
        </w:rPr>
        <w:t>http://www.gzggzy.cn/jtgg/822128.jhtml</w:t>
      </w:r>
      <w:r>
        <w:rPr>
          <w:rFonts w:hint="eastAsia" w:ascii="宋体" w:hAnsi="宋体"/>
          <w:b w:val="0"/>
          <w:bCs/>
          <w:color w:val="auto"/>
          <w:sz w:val="21"/>
          <w:szCs w:val="21"/>
          <w:highlight w:val="none"/>
          <w:u w:val="single"/>
        </w:rPr>
        <w:t>。到账情况以开标时广州公共资源交易中心数据库查询信息为准</w:t>
      </w:r>
      <w:r>
        <w:rPr>
          <w:rFonts w:hint="eastAsia" w:ascii="宋体" w:hAnsi="宋体"/>
          <w:b w:val="0"/>
          <w:bCs/>
          <w:color w:val="auto"/>
          <w:sz w:val="21"/>
          <w:szCs w:val="21"/>
          <w:highlight w:val="none"/>
        </w:rPr>
        <w:t>。</w:t>
      </w:r>
    </w:p>
    <w:p w14:paraId="12BB8B4B">
      <w:pPr>
        <w:pStyle w:val="124"/>
        <w:spacing w:line="500" w:lineRule="exact"/>
        <w:ind w:firstLine="480"/>
        <w:rPr>
          <w:rFonts w:hint="eastAsia" w:ascii="宋体" w:hAnsi="宋体"/>
          <w:b/>
          <w:bCs/>
          <w:color w:val="auto"/>
          <w:sz w:val="21"/>
          <w:szCs w:val="21"/>
          <w:highlight w:val="none"/>
        </w:rPr>
      </w:pPr>
      <w:r>
        <w:rPr>
          <w:rFonts w:hint="eastAsia" w:ascii="宋体" w:hAnsi="宋体"/>
          <w:color w:val="auto"/>
          <w:sz w:val="21"/>
          <w:szCs w:val="21"/>
          <w:highlight w:val="none"/>
        </w:rPr>
        <w:t>16.2开标时投标人没有按要求提供投标保证金的，其投标文件将被否决</w:t>
      </w:r>
      <w:r>
        <w:rPr>
          <w:rFonts w:hint="eastAsia" w:ascii="宋体" w:hAnsi="宋体"/>
          <w:b w:val="0"/>
          <w:bCs w:val="0"/>
          <w:strike w:val="0"/>
          <w:dstrike w:val="0"/>
          <w:color w:val="auto"/>
          <w:sz w:val="21"/>
          <w:szCs w:val="21"/>
          <w:highlight w:val="none"/>
        </w:rPr>
        <w:t>；未按招标文件要求提交符合免予提供投标保证金相关证明材料，且未提交投标保证金的投标人，视为未按要求提供投标保证金</w:t>
      </w:r>
      <w:r>
        <w:rPr>
          <w:rFonts w:hint="eastAsia" w:ascii="宋体" w:hAnsi="宋体"/>
          <w:b/>
          <w:bCs/>
          <w:strike w:val="0"/>
          <w:color w:val="auto"/>
          <w:sz w:val="21"/>
          <w:szCs w:val="21"/>
          <w:highlight w:val="none"/>
        </w:rPr>
        <w:t>。</w:t>
      </w:r>
    </w:p>
    <w:p w14:paraId="06B7A96C">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3DA5D953">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16.4如有下列情况之一的，招标人不予退还投标保证金：</w:t>
      </w:r>
    </w:p>
    <w:p w14:paraId="103AF11C">
      <w:pPr>
        <w:pBdr>
          <w:bottom w:val="single" w:color="auto" w:sz="6" w:space="22"/>
        </w:pBdr>
        <w:spacing w:line="360" w:lineRule="auto"/>
        <w:ind w:firstLine="420" w:firstLineChars="200"/>
        <w:rPr>
          <w:rFonts w:hint="eastAsia" w:eastAsia="宋体" w:cs="宋体"/>
          <w:color w:val="auto"/>
          <w:szCs w:val="21"/>
          <w:highlight w:val="none"/>
          <w:lang w:eastAsia="zh-CN"/>
        </w:rPr>
      </w:pPr>
      <w:r>
        <w:rPr>
          <w:rFonts w:hint="eastAsia" w:cs="宋体"/>
          <w:color w:val="auto"/>
          <w:szCs w:val="21"/>
          <w:highlight w:val="none"/>
        </w:rPr>
        <w:t>16.4.1</w:t>
      </w:r>
      <w:r>
        <w:rPr>
          <w:rFonts w:hint="eastAsia" w:cs="宋体"/>
          <w:color w:val="auto"/>
          <w:szCs w:val="21"/>
          <w:highlight w:val="none"/>
          <w:u w:val="none"/>
        </w:rPr>
        <w:t>因投标人原因造成投标文件未解密的</w:t>
      </w:r>
      <w:r>
        <w:rPr>
          <w:rFonts w:hint="eastAsia" w:cs="宋体"/>
          <w:color w:val="auto"/>
          <w:szCs w:val="21"/>
          <w:highlight w:val="none"/>
          <w:u w:val="none"/>
          <w:lang w:eastAsia="zh-CN"/>
        </w:rPr>
        <w:t>；</w:t>
      </w:r>
    </w:p>
    <w:p w14:paraId="7FD36472">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2</w:t>
      </w:r>
      <w:r>
        <w:rPr>
          <w:rFonts w:hint="eastAsia" w:cs="宋体"/>
          <w:color w:val="auto"/>
          <w:szCs w:val="21"/>
          <w:highlight w:val="none"/>
          <w:u w:val="single"/>
        </w:rPr>
        <w:t>投标人在投标有效期内撤销投标文件或放弃中标资格的</w:t>
      </w:r>
      <w:r>
        <w:rPr>
          <w:rFonts w:hint="eastAsia" w:cs="宋体"/>
          <w:color w:val="auto"/>
          <w:szCs w:val="21"/>
          <w:highlight w:val="none"/>
        </w:rPr>
        <w:t>；</w:t>
      </w:r>
    </w:p>
    <w:p w14:paraId="2EE528B9">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3</w:t>
      </w:r>
      <w:r>
        <w:rPr>
          <w:rFonts w:hint="eastAsia" w:cs="宋体"/>
          <w:color w:val="auto"/>
          <w:szCs w:val="21"/>
          <w:highlight w:val="none"/>
          <w:u w:val="none"/>
        </w:rPr>
        <w:t>中标人未能在规定期限内按要求提交履约担保；</w:t>
      </w:r>
    </w:p>
    <w:p w14:paraId="6058AA68">
      <w:pPr>
        <w:pBdr>
          <w:bottom w:val="single" w:color="auto" w:sz="6" w:space="22"/>
        </w:pBdr>
        <w:spacing w:line="360" w:lineRule="auto"/>
        <w:ind w:firstLine="420" w:firstLineChars="200"/>
        <w:rPr>
          <w:rFonts w:hint="default" w:eastAsia="宋体" w:cs="宋体"/>
          <w:color w:val="auto"/>
          <w:szCs w:val="21"/>
          <w:highlight w:val="none"/>
          <w:u w:val="none"/>
          <w:lang w:val="en-US" w:eastAsia="zh-CN"/>
        </w:rPr>
      </w:pPr>
      <w:r>
        <w:rPr>
          <w:rFonts w:hint="eastAsia" w:cs="宋体"/>
          <w:color w:val="auto"/>
          <w:szCs w:val="21"/>
          <w:highlight w:val="none"/>
          <w:lang w:val="en-US" w:eastAsia="zh-CN"/>
        </w:rPr>
        <w:t>16.4.4</w:t>
      </w:r>
      <w:r>
        <w:rPr>
          <w:rFonts w:hint="eastAsia" w:cs="宋体"/>
          <w:color w:val="auto"/>
          <w:szCs w:val="21"/>
          <w:highlight w:val="none"/>
          <w:u w:val="none"/>
          <w:lang w:val="en-US" w:eastAsia="zh-CN"/>
        </w:rPr>
        <w:t>中标人未能在规定期限内签署合同协议</w:t>
      </w:r>
    </w:p>
    <w:p w14:paraId="275C8467">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5</w:t>
      </w:r>
      <w:r>
        <w:rPr>
          <w:rFonts w:hint="eastAsia" w:cs="宋体"/>
          <w:color w:val="auto"/>
          <w:szCs w:val="21"/>
          <w:highlight w:val="none"/>
          <w:u w:val="single"/>
        </w:rPr>
        <w:t>投标人弄虚作假骗取中标的</w:t>
      </w:r>
      <w:r>
        <w:rPr>
          <w:rFonts w:hint="eastAsia" w:cs="宋体"/>
          <w:color w:val="auto"/>
          <w:szCs w:val="21"/>
          <w:highlight w:val="none"/>
        </w:rPr>
        <w:t>。</w:t>
      </w:r>
    </w:p>
    <w:p w14:paraId="2BF929EF">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16.5投标人如存在下列情况之一的，将被拒绝在1年内参与招标人后续工程投标：</w:t>
      </w:r>
    </w:p>
    <w:p w14:paraId="0C69156D">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171AC3F0">
      <w:pPr>
        <w:pBdr>
          <w:bottom w:val="single" w:color="auto" w:sz="6" w:space="22"/>
        </w:pBdr>
        <w:spacing w:line="360" w:lineRule="auto"/>
        <w:ind w:firstLine="420" w:firstLineChars="200"/>
        <w:rPr>
          <w:rFonts w:ascii="宋体" w:hAnsi="宋体" w:cs="宋体"/>
          <w:bCs/>
          <w:color w:val="auto"/>
          <w:sz w:val="22"/>
          <w:szCs w:val="22"/>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r>
        <w:rPr>
          <w:rFonts w:hint="eastAsia" w:cs="宋体"/>
          <w:color w:val="auto"/>
          <w:szCs w:val="21"/>
          <w:highlight w:val="none"/>
          <w:lang w:eastAsia="zh-CN"/>
        </w:rPr>
        <w:t>。</w:t>
      </w:r>
    </w:p>
    <w:p w14:paraId="4A100858">
      <w:pPr>
        <w:pBdr>
          <w:bottom w:val="none" w:color="auto" w:sz="0" w:space="0"/>
        </w:pBd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条款号：17.1            修改类型：修改</w:t>
      </w:r>
    </w:p>
    <w:p w14:paraId="1369F1DC">
      <w:pP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1"/>
          <w:highlight w:val="none"/>
        </w:rPr>
        <w:t>投标人应采用单位数字证书，</w:t>
      </w:r>
      <w:r>
        <w:rPr>
          <w:rFonts w:hint="eastAsia" w:asciiTheme="majorEastAsia" w:hAnsiTheme="majorEastAsia" w:eastAsiaTheme="majorEastAsia" w:cstheme="majorEastAsia"/>
          <w:color w:val="auto"/>
          <w:sz w:val="22"/>
          <w:szCs w:val="22"/>
          <w:highlight w:val="none"/>
          <w:lang w:val="en-US" w:eastAsia="zh-CN"/>
        </w:rPr>
        <w:t>对招标文件</w:t>
      </w:r>
      <w:r>
        <w:rPr>
          <w:rFonts w:hint="eastAsia" w:ascii="宋体" w:hAnsi="宋体" w:cs="宋体"/>
          <w:color w:val="auto"/>
          <w:sz w:val="22"/>
          <w:szCs w:val="21"/>
          <w:highlight w:val="none"/>
        </w:rPr>
        <w:t>加盖电子印章。投标文件中需个人签字或盖章的，应加盖个人电子印章或在线下完成后扫描上传。按照交易平台关于全流程电子化项目的相关指南进行操作。详见：。</w:t>
      </w:r>
    </w:p>
    <w:p w14:paraId="7AAF71AB">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17.1投标人应采用单位数字证书，</w:t>
      </w:r>
      <w:r>
        <w:rPr>
          <w:rFonts w:hint="eastAsia" w:asciiTheme="majorEastAsia" w:hAnsiTheme="majorEastAsia" w:eastAsiaTheme="majorEastAsia" w:cstheme="majorEastAsia"/>
          <w:color w:val="auto"/>
          <w:sz w:val="22"/>
          <w:szCs w:val="22"/>
          <w:highlight w:val="none"/>
          <w:lang w:val="en-US" w:eastAsia="zh-CN"/>
        </w:rPr>
        <w:t>对招标文件</w:t>
      </w:r>
      <w:r>
        <w:rPr>
          <w:rFonts w:hint="eastAsia" w:ascii="宋体" w:hAnsi="宋体" w:cs="宋体"/>
          <w:color w:val="auto"/>
          <w:sz w:val="22"/>
          <w:szCs w:val="22"/>
          <w:highlight w:val="none"/>
        </w:rPr>
        <w:t>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宋体" w:hAnsi="宋体" w:cs="宋体"/>
          <w:color w:val="auto"/>
          <w:sz w:val="22"/>
          <w:szCs w:val="22"/>
          <w:highlight w:val="none"/>
        </w:rPr>
        <w:t>。</w:t>
      </w:r>
    </w:p>
    <w:p w14:paraId="08445DEF">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18、19</w:t>
      </w:r>
      <w:r>
        <w:rPr>
          <w:rFonts w:hint="eastAsia" w:ascii="宋体" w:hAnsi="宋体" w:cs="宋体"/>
          <w:b/>
          <w:color w:val="auto"/>
          <w:sz w:val="22"/>
          <w:szCs w:val="22"/>
          <w:highlight w:val="none"/>
        </w:rPr>
        <w:t xml:space="preserve">             修改类型：修改</w:t>
      </w:r>
    </w:p>
    <w:p w14:paraId="20F1ABB4">
      <w:pPr>
        <w:spacing w:line="360" w:lineRule="auto"/>
        <w:ind w:firstLine="442" w:firstLineChars="200"/>
        <w:rPr>
          <w:rFonts w:ascii="宋体" w:hAnsi="宋体" w:cs="宋体"/>
          <w:b/>
          <w:bCs/>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14:paraId="5D12D523">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18.1递交的电子投标文件（不含备用光盘）必须进行加密。按照交易平台关于</w:t>
      </w:r>
      <w:r>
        <w:rPr>
          <w:rFonts w:hint="eastAsia" w:ascii="宋体" w:hAnsi="宋体" w:cs="宋体"/>
          <w:color w:val="auto"/>
          <w:sz w:val="22"/>
          <w:szCs w:val="22"/>
          <w:highlight w:val="none"/>
        </w:rPr>
        <w:t>全流程电子化项目的相关指南进行操作。详见： 。</w:t>
      </w:r>
    </w:p>
    <w:p w14:paraId="2525281B">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18.2 未按要求加密的投标文件，</w:t>
      </w:r>
      <w:r>
        <w:rPr>
          <w:rFonts w:hint="eastAsia" w:ascii="宋体" w:hAnsi="宋体" w:cs="宋体"/>
          <w:color w:val="auto"/>
          <w:sz w:val="22"/>
          <w:szCs w:val="22"/>
          <w:highlight w:val="none"/>
        </w:rPr>
        <w:t>交易平台</w:t>
      </w:r>
      <w:r>
        <w:rPr>
          <w:rFonts w:hint="eastAsia" w:ascii="宋体" w:hAnsi="宋体" w:cs="宋体"/>
          <w:bCs/>
          <w:color w:val="auto"/>
          <w:sz w:val="22"/>
          <w:szCs w:val="22"/>
          <w:highlight w:val="none"/>
        </w:rPr>
        <w:t>将予以拒收。</w:t>
      </w:r>
    </w:p>
    <w:p w14:paraId="11B0CDE6">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19．投标文件的递交和接收</w:t>
      </w:r>
    </w:p>
    <w:p w14:paraId="09BC5605">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19.1投标人通过</w:t>
      </w:r>
      <w:r>
        <w:rPr>
          <w:rFonts w:hint="eastAsia" w:ascii="宋体" w:hAnsi="宋体" w:cs="宋体"/>
          <w:color w:val="auto"/>
          <w:sz w:val="22"/>
          <w:szCs w:val="22"/>
          <w:highlight w:val="none"/>
        </w:rPr>
        <w:t>交易平台递交电子投标文件。</w:t>
      </w:r>
    </w:p>
    <w:p w14:paraId="3DE8C9FA">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19.2投标人完成电子</w:t>
      </w:r>
      <w:r>
        <w:rPr>
          <w:rFonts w:hint="eastAsia" w:ascii="宋体" w:hAnsi="宋体" w:cs="宋体"/>
          <w:color w:val="auto"/>
          <w:sz w:val="22"/>
          <w:szCs w:val="22"/>
          <w:highlight w:val="none"/>
        </w:rPr>
        <w:t>投标文件</w:t>
      </w:r>
      <w:r>
        <w:rPr>
          <w:rFonts w:hint="eastAsia" w:ascii="宋体" w:hAnsi="宋体" w:cs="宋体"/>
          <w:bCs/>
          <w:color w:val="auto"/>
          <w:sz w:val="22"/>
          <w:szCs w:val="22"/>
          <w:highlight w:val="none"/>
        </w:rPr>
        <w:t>上传后，</w:t>
      </w:r>
      <w:r>
        <w:rPr>
          <w:rFonts w:hint="eastAsia" w:ascii="宋体" w:hAnsi="宋体" w:cs="宋体"/>
          <w:color w:val="auto"/>
          <w:sz w:val="22"/>
          <w:szCs w:val="22"/>
          <w:highlight w:val="none"/>
        </w:rPr>
        <w:t>交易平台即时向投标人发出递交回执通知。递交时间以递交回执通知载明的传输完成时间为准。</w:t>
      </w:r>
    </w:p>
    <w:p w14:paraId="1431FF10">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19.3逾期送达的电子投标文件，</w:t>
      </w:r>
      <w:r>
        <w:rPr>
          <w:rFonts w:hint="eastAsia" w:ascii="宋体" w:hAnsi="宋体" w:cs="宋体"/>
          <w:color w:val="auto"/>
          <w:sz w:val="22"/>
          <w:szCs w:val="22"/>
          <w:highlight w:val="none"/>
        </w:rPr>
        <w:t>交易平台将予以拒收。</w:t>
      </w:r>
    </w:p>
    <w:p w14:paraId="10BC8E1E">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19.4 投标截止前，招标人拒绝接收符合条件的投标文件，投标人可向招标投标监督机构投诉。</w:t>
      </w:r>
    </w:p>
    <w:p w14:paraId="5363BBD7">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19.5如技术标和经济标先后分别开启，交易平台将按招标文件规定的时间分别开启技术标和经济标。</w:t>
      </w:r>
    </w:p>
    <w:p w14:paraId="0C90870B">
      <w:pPr>
        <w:spacing w:line="360" w:lineRule="auto"/>
        <w:ind w:firstLine="440" w:firstLineChars="200"/>
        <w:rPr>
          <w:rFonts w:ascii="宋体" w:hAnsi="宋体" w:cs="宋体"/>
          <w:bCs/>
          <w:color w:val="auto"/>
          <w:sz w:val="22"/>
          <w:szCs w:val="22"/>
          <w:highlight w:val="none"/>
          <w:u w:val="single"/>
        </w:rPr>
      </w:pPr>
      <w:r>
        <w:rPr>
          <w:rFonts w:hint="eastAsia" w:ascii="宋体" w:hAnsi="宋体" w:cs="宋体"/>
          <w:color w:val="auto"/>
          <w:sz w:val="22"/>
          <w:szCs w:val="22"/>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245DAAF4">
      <w:pPr>
        <w:pStyle w:val="5"/>
        <w:spacing w:after="0" w:line="360" w:lineRule="auto"/>
        <w:ind w:firstLine="442" w:firstLineChars="200"/>
        <w:rPr>
          <w:rFonts w:ascii="宋体" w:hAnsi="宋体" w:cs="宋体"/>
          <w:b/>
          <w:bCs/>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
          <w:bCs/>
          <w:color w:val="auto"/>
          <w:sz w:val="22"/>
          <w:szCs w:val="22"/>
          <w:highlight w:val="none"/>
        </w:rPr>
        <w:t>18．</w:t>
      </w:r>
      <w:r>
        <w:rPr>
          <w:rFonts w:hint="eastAsia" w:ascii="宋体" w:hAnsi="宋体" w:cs="宋体"/>
          <w:b/>
          <w:color w:val="auto"/>
          <w:sz w:val="22"/>
          <w:szCs w:val="22"/>
          <w:highlight w:val="none"/>
        </w:rPr>
        <w:t>投标文件的密封和标记</w:t>
      </w:r>
    </w:p>
    <w:p w14:paraId="21F34E3B">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18.1递交的电子投标文件（不含备用光盘）必须进行加密。按照交易平台关于</w:t>
      </w:r>
      <w:r>
        <w:rPr>
          <w:rFonts w:hint="eastAsia" w:ascii="宋体" w:hAnsi="宋体" w:cs="宋体"/>
          <w:color w:val="auto"/>
          <w:sz w:val="22"/>
          <w:szCs w:val="22"/>
          <w:highlight w:val="none"/>
        </w:rPr>
        <w:t>全流程电子化项目的相关指南进行操作。详见：</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u w:val="single"/>
        </w:rPr>
        <w:t>网站</w:t>
      </w:r>
      <w:r>
        <w:rPr>
          <w:rFonts w:hint="eastAsia" w:ascii="宋体" w:hAnsi="宋体" w:cs="宋体"/>
          <w:color w:val="auto"/>
          <w:sz w:val="22"/>
          <w:szCs w:val="22"/>
          <w:highlight w:val="none"/>
        </w:rPr>
        <w:t>。</w:t>
      </w:r>
    </w:p>
    <w:p w14:paraId="7D2ED890">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18.2 未按要求加密的投标文件，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w:t>
      </w:r>
      <w:r>
        <w:rPr>
          <w:rFonts w:hint="eastAsia" w:ascii="宋体" w:hAnsi="宋体" w:cs="宋体"/>
          <w:bCs/>
          <w:color w:val="auto"/>
          <w:sz w:val="22"/>
          <w:szCs w:val="22"/>
          <w:highlight w:val="none"/>
        </w:rPr>
        <w:t>将予以拒收。</w:t>
      </w:r>
    </w:p>
    <w:p w14:paraId="07758FD9">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19．投标文件的递交和接收</w:t>
      </w:r>
    </w:p>
    <w:p w14:paraId="38F90809">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19.1投标人通过</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交易平台递交电子投标文件。</w:t>
      </w:r>
    </w:p>
    <w:p w14:paraId="70B42C52">
      <w:pPr>
        <w:spacing w:line="360" w:lineRule="auto"/>
        <w:ind w:firstLine="440" w:firstLineChars="200"/>
        <w:rPr>
          <w:rFonts w:ascii="宋体" w:hAnsi="宋体" w:cs="宋体"/>
          <w:bCs/>
          <w:color w:val="auto"/>
          <w:sz w:val="22"/>
          <w:szCs w:val="22"/>
          <w:highlight w:val="none"/>
        </w:rPr>
      </w:pPr>
      <w:r>
        <w:rPr>
          <w:rFonts w:hint="eastAsia" w:ascii="宋体" w:hAnsi="宋体" w:cs="宋体"/>
          <w:bCs/>
          <w:color w:val="auto"/>
          <w:sz w:val="22"/>
          <w:szCs w:val="22"/>
          <w:highlight w:val="none"/>
        </w:rPr>
        <w:t>19.2投标人完成电子</w:t>
      </w:r>
      <w:r>
        <w:rPr>
          <w:rFonts w:hint="eastAsia" w:ascii="宋体" w:hAnsi="宋体" w:cs="宋体"/>
          <w:color w:val="auto"/>
          <w:sz w:val="22"/>
          <w:szCs w:val="22"/>
          <w:highlight w:val="none"/>
        </w:rPr>
        <w:t>投标文件</w:t>
      </w:r>
      <w:r>
        <w:rPr>
          <w:rFonts w:hint="eastAsia" w:ascii="宋体" w:hAnsi="宋体" w:cs="宋体"/>
          <w:bCs/>
          <w:color w:val="auto"/>
          <w:sz w:val="22"/>
          <w:szCs w:val="22"/>
          <w:highlight w:val="none"/>
        </w:rPr>
        <w:t>上传后，</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交易平台即时向投标人发出递交回执通知。递交时间以递交回执通知载明的传输完成时间为准。</w:t>
      </w:r>
    </w:p>
    <w:p w14:paraId="721F05A1">
      <w:pPr>
        <w:spacing w:line="360" w:lineRule="auto"/>
        <w:ind w:firstLine="440" w:firstLineChars="200"/>
        <w:rPr>
          <w:rFonts w:ascii="宋体" w:hAnsi="宋体" w:cs="宋体"/>
          <w:color w:val="auto"/>
          <w:sz w:val="22"/>
          <w:szCs w:val="22"/>
          <w:highlight w:val="none"/>
        </w:rPr>
      </w:pPr>
      <w:r>
        <w:rPr>
          <w:rFonts w:hint="eastAsia" w:ascii="宋体" w:hAnsi="宋体" w:cs="宋体"/>
          <w:bCs/>
          <w:color w:val="auto"/>
          <w:sz w:val="22"/>
          <w:szCs w:val="22"/>
          <w:highlight w:val="none"/>
        </w:rPr>
        <w:t>19.3逾期送达的电子投标文件，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交易平台将予以拒收。</w:t>
      </w:r>
    </w:p>
    <w:p w14:paraId="69E571C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19.4 投标截止前，招标人拒绝接收符合条件的投标文件，投标人可向招标投标监督机构投诉。</w:t>
      </w:r>
    </w:p>
    <w:p w14:paraId="4FF75D8D">
      <w:pPr>
        <w:pBdr>
          <w:bottom w:val="single" w:color="auto" w:sz="6" w:space="1"/>
        </w:pBd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19.5技术标和经济标同时开启，</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交易平台将按招标文件规定的时间同时开启技术标和经济标。</w:t>
      </w:r>
    </w:p>
    <w:p w14:paraId="600D7D1D">
      <w:pPr>
        <w:adjustRightInd w:val="0"/>
        <w:spacing w:line="360" w:lineRule="auto"/>
        <w:ind w:firstLine="493" w:firstLineChars="223"/>
        <w:rPr>
          <w:rFonts w:ascii="宋体" w:hAnsi="宋体" w:cs="宋体"/>
          <w:b/>
          <w:color w:val="auto"/>
          <w:sz w:val="22"/>
          <w:szCs w:val="22"/>
          <w:highlight w:val="none"/>
        </w:rPr>
      </w:pPr>
      <w:r>
        <w:rPr>
          <w:rFonts w:hint="eastAsia" w:ascii="宋体" w:hAnsi="宋体" w:cs="宋体"/>
          <w:b/>
          <w:color w:val="auto"/>
          <w:sz w:val="22"/>
          <w:szCs w:val="22"/>
          <w:highlight w:val="none"/>
        </w:rPr>
        <w:t>条款号：20.3             修改类型：修改</w:t>
      </w:r>
    </w:p>
    <w:p w14:paraId="4A0A8956">
      <w:pPr>
        <w:adjustRightInd w:val="0"/>
        <w:spacing w:line="360" w:lineRule="auto"/>
        <w:ind w:firstLine="495" w:firstLineChars="224"/>
        <w:rPr>
          <w:rFonts w:ascii="宋体" w:hAnsi="宋体" w:cs="宋体"/>
          <w:b/>
          <w:color w:val="auto"/>
          <w:sz w:val="22"/>
          <w:szCs w:val="22"/>
          <w:highlight w:val="none"/>
        </w:rPr>
      </w:pPr>
      <w:r>
        <w:rPr>
          <w:rFonts w:hint="eastAsia" w:ascii="宋体" w:hAnsi="宋体" w:cs="宋体"/>
          <w:b/>
          <w:bCs/>
          <w:color w:val="auto"/>
          <w:sz w:val="22"/>
          <w:szCs w:val="22"/>
          <w:highlight w:val="none"/>
        </w:rPr>
        <w:t>原文：</w:t>
      </w:r>
      <w:r>
        <w:rPr>
          <w:rFonts w:hint="eastAsia" w:ascii="宋体" w:hAnsi="宋体" w:cs="宋体"/>
          <w:color w:val="auto"/>
          <w:sz w:val="22"/>
          <w:szCs w:val="22"/>
          <w:highlight w:val="none"/>
        </w:rPr>
        <w:t>20.3 到投标截止时间止，招标人收到的投标文件少于3家的，招标人将重新组织招标（当N个标段同时招标且不允许兼中时，若有效投标单位不足N+4家，则重新组织招标）。</w:t>
      </w:r>
    </w:p>
    <w:p w14:paraId="5DC559CD">
      <w:pPr>
        <w:pBdr>
          <w:bottom w:val="single" w:color="auto" w:sz="6" w:space="1"/>
        </w:pBdr>
        <w:adjustRightInd w:val="0"/>
        <w:spacing w:line="360" w:lineRule="auto"/>
        <w:ind w:firstLine="552" w:firstLineChars="250"/>
        <w:rPr>
          <w:rFonts w:ascii="宋体" w:hAnsi="宋体" w:cs="宋体"/>
          <w:b/>
          <w:color w:val="auto"/>
          <w:sz w:val="22"/>
          <w:szCs w:val="22"/>
          <w:highlight w:val="none"/>
        </w:rPr>
      </w:pPr>
      <w:r>
        <w:rPr>
          <w:rFonts w:hint="eastAsia" w:ascii="宋体" w:hAnsi="宋体" w:cs="宋体"/>
          <w:b/>
          <w:bCs/>
          <w:color w:val="auto"/>
          <w:sz w:val="22"/>
          <w:szCs w:val="22"/>
          <w:highlight w:val="none"/>
        </w:rPr>
        <w:t>现文：</w:t>
      </w:r>
      <w:r>
        <w:rPr>
          <w:rFonts w:hint="eastAsia" w:ascii="宋体" w:hAnsi="宋体" w:cs="宋体"/>
          <w:color w:val="auto"/>
          <w:sz w:val="22"/>
          <w:szCs w:val="22"/>
          <w:highlight w:val="none"/>
        </w:rPr>
        <w:t>20.3 到投标截止时间止，招标人收到的投标文件少于</w:t>
      </w:r>
      <w:r>
        <w:rPr>
          <w:rFonts w:hint="eastAsia" w:ascii="宋体" w:hAnsi="宋体" w:cs="宋体"/>
          <w:color w:val="auto"/>
          <w:sz w:val="22"/>
          <w:szCs w:val="22"/>
          <w:highlight w:val="none"/>
          <w:u w:val="single"/>
        </w:rPr>
        <w:t>3家</w:t>
      </w:r>
      <w:r>
        <w:rPr>
          <w:rFonts w:hint="eastAsia" w:ascii="宋体" w:hAnsi="宋体" w:cs="宋体"/>
          <w:color w:val="auto"/>
          <w:sz w:val="22"/>
          <w:szCs w:val="22"/>
          <w:highlight w:val="none"/>
        </w:rPr>
        <w:t>的，招标人将重新组织招标。</w:t>
      </w:r>
    </w:p>
    <w:p w14:paraId="265A72A9">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21.1</w:t>
      </w:r>
      <w:r>
        <w:rPr>
          <w:rFonts w:hint="eastAsia" w:ascii="宋体" w:hAnsi="宋体" w:cs="宋体"/>
          <w:b/>
          <w:color w:val="auto"/>
          <w:sz w:val="22"/>
          <w:szCs w:val="22"/>
          <w:highlight w:val="none"/>
        </w:rPr>
        <w:t xml:space="preserve">             修改类型：修改</w:t>
      </w:r>
    </w:p>
    <w:p w14:paraId="105B20DE">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21.1 本须知前附表第17项规定的投标截止时间</w:t>
      </w:r>
      <w:r>
        <w:rPr>
          <w:rFonts w:hint="eastAsia" w:ascii="宋体" w:hAnsi="宋体" w:cs="宋体"/>
          <w:bCs/>
          <w:color w:val="auto"/>
          <w:sz w:val="22"/>
          <w:szCs w:val="22"/>
          <w:highlight w:val="none"/>
        </w:rPr>
        <w:t>后送达的电子投标文件，</w:t>
      </w:r>
      <w:r>
        <w:rPr>
          <w:rFonts w:hint="eastAsia" w:ascii="宋体" w:hAnsi="宋体" w:cs="宋体"/>
          <w:color w:val="auto"/>
          <w:sz w:val="22"/>
          <w:szCs w:val="22"/>
          <w:highlight w:val="none"/>
        </w:rPr>
        <w:t>交易平台将予以拒收。</w:t>
      </w:r>
    </w:p>
    <w:p w14:paraId="0F11F1E5">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21.1 本须知前附表第17项规定的投标截止时间</w:t>
      </w:r>
      <w:r>
        <w:rPr>
          <w:rFonts w:hint="eastAsia" w:ascii="宋体" w:hAnsi="宋体" w:cs="宋体"/>
          <w:bCs/>
          <w:color w:val="auto"/>
          <w:sz w:val="22"/>
          <w:szCs w:val="22"/>
          <w:highlight w:val="none"/>
        </w:rPr>
        <w:t>后送达的电子投标文件，</w:t>
      </w:r>
      <w:r>
        <w:rPr>
          <w:rFonts w:hint="eastAsia" w:ascii="宋体" w:hAnsi="宋体" w:cs="宋体"/>
          <w:color w:val="auto"/>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交易平台将予以拒收。</w:t>
      </w:r>
    </w:p>
    <w:p w14:paraId="128BA491">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条款号：27.1          修改类型：修改</w:t>
      </w:r>
    </w:p>
    <w:p w14:paraId="4029E27A">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27.1招标人将在交易平台、广东省招标投标监管网和中国招标投标公共服务平台公示中标候选人，公示期为三天。</w:t>
      </w:r>
    </w:p>
    <w:p w14:paraId="5E433AD4">
      <w:pPr>
        <w:pBdr>
          <w:bottom w:val="single" w:color="auto" w:sz="6" w:space="1"/>
        </w:pBdr>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27.1招标人将在</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w:t>
      </w:r>
      <w:r>
        <w:rPr>
          <w:rFonts w:hint="eastAsia" w:ascii="宋体" w:hAnsi="宋体" w:cs="宋体"/>
          <w:color w:val="auto"/>
          <w:sz w:val="22"/>
          <w:szCs w:val="22"/>
          <w:highlight w:val="none"/>
          <w:lang w:eastAsia="zh-CN"/>
        </w:rPr>
        <w:t>广州交易集团有限公司（广州公共资源交易中心）</w:t>
      </w:r>
      <w:r>
        <w:rPr>
          <w:rFonts w:hint="eastAsia" w:ascii="宋体" w:hAnsi="宋体" w:cs="宋体"/>
          <w:color w:val="auto"/>
          <w:sz w:val="22"/>
          <w:szCs w:val="22"/>
          <w:highlight w:val="none"/>
        </w:rPr>
        <w:t>交易平台答复线上提交的异议。作出答复前，应当暂停招标投标活动。</w:t>
      </w:r>
    </w:p>
    <w:p w14:paraId="062EEDEE">
      <w:pPr>
        <w:spacing w:line="360" w:lineRule="auto"/>
        <w:ind w:firstLine="495" w:firstLineChars="224"/>
        <w:rPr>
          <w:rFonts w:ascii="宋体" w:hAnsi="宋体" w:cs="宋体"/>
          <w:b/>
          <w:color w:val="auto"/>
          <w:sz w:val="22"/>
          <w:szCs w:val="22"/>
          <w:highlight w:val="none"/>
        </w:rPr>
      </w:pPr>
      <w:r>
        <w:rPr>
          <w:rFonts w:hint="eastAsia" w:ascii="宋体" w:hAnsi="宋体" w:cs="宋体"/>
          <w:b/>
          <w:color w:val="auto"/>
          <w:sz w:val="22"/>
          <w:szCs w:val="22"/>
          <w:highlight w:val="none"/>
        </w:rPr>
        <w:t>条款号：</w:t>
      </w:r>
      <w:r>
        <w:rPr>
          <w:rFonts w:hint="eastAsia" w:ascii="宋体" w:hAnsi="宋体" w:cs="宋体"/>
          <w:color w:val="auto"/>
          <w:sz w:val="22"/>
          <w:szCs w:val="22"/>
          <w:highlight w:val="none"/>
        </w:rPr>
        <w:t>27.4</w:t>
      </w:r>
      <w:r>
        <w:rPr>
          <w:rFonts w:hint="eastAsia" w:ascii="宋体" w:hAnsi="宋体" w:cs="宋体"/>
          <w:b/>
          <w:color w:val="auto"/>
          <w:sz w:val="22"/>
          <w:szCs w:val="22"/>
          <w:highlight w:val="none"/>
        </w:rPr>
        <w:t xml:space="preserve">            修改类型：修改</w:t>
      </w:r>
    </w:p>
    <w:p w14:paraId="4EF10DD2">
      <w:pPr>
        <w:spacing w:line="360" w:lineRule="auto"/>
        <w:ind w:firstLine="442" w:firstLineChars="200"/>
        <w:rPr>
          <w:rFonts w:ascii="宋体" w:hAnsi="宋体" w:cs="宋体"/>
          <w:bCs/>
          <w:color w:val="auto"/>
          <w:sz w:val="22"/>
          <w:szCs w:val="22"/>
          <w:highlight w:val="none"/>
          <w:u w:val="singl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27.4在产生中标候选人后，招标人将中标候选人的投标文件商务部分文件的所有内容（包括报价清单、人员、业绩、奖项等资料）在交易平台和广东省招标投标监管网公开。</w:t>
      </w:r>
    </w:p>
    <w:p w14:paraId="31415F6F">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27.4在产生中标候选人后，招标人将中标候选人的投标文件商务部分文件的所有内容（包括人员、业绩、奖项等资料）在</w:t>
      </w:r>
      <w:r>
        <w:rPr>
          <w:rFonts w:hint="eastAsia" w:ascii="宋体" w:hAnsi="宋体" w:cs="宋体"/>
          <w:color w:val="auto"/>
          <w:kern w:val="0"/>
          <w:sz w:val="22"/>
          <w:szCs w:val="22"/>
          <w:highlight w:val="none"/>
          <w:u w:val="single"/>
          <w:lang w:eastAsia="zh-CN"/>
        </w:rPr>
        <w:t>广州交易集团有限公司（广州公共资源交易中心）</w:t>
      </w:r>
      <w:r>
        <w:rPr>
          <w:rFonts w:hint="eastAsia" w:ascii="宋体" w:hAnsi="宋体" w:cs="宋体"/>
          <w:color w:val="auto"/>
          <w:sz w:val="22"/>
          <w:szCs w:val="22"/>
          <w:highlight w:val="none"/>
        </w:rPr>
        <w:t>交易平台和广东省招标投标监管网公开。</w:t>
      </w:r>
    </w:p>
    <w:p w14:paraId="27EC086A">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条款号：29.1         修改类型：修改</w:t>
      </w:r>
    </w:p>
    <w:p w14:paraId="50C472F6">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29.1 在收到中标通知书后的15日内，中标人应按本须知前附表第20项的规定向招标人提交履约担保。</w:t>
      </w:r>
    </w:p>
    <w:p w14:paraId="5A8255C9">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29.1 合同正式签订</w:t>
      </w:r>
      <w:r>
        <w:rPr>
          <w:rFonts w:hint="eastAsia" w:ascii="宋体" w:hAnsi="宋体" w:cs="宋体"/>
          <w:color w:val="auto"/>
          <w:sz w:val="22"/>
          <w:szCs w:val="22"/>
          <w:highlight w:val="none"/>
          <w:lang w:val="en-US" w:eastAsia="zh-CN"/>
        </w:rPr>
        <w:t>后，在招标人要求的时间内</w:t>
      </w:r>
      <w:r>
        <w:rPr>
          <w:rFonts w:hint="eastAsia" w:ascii="宋体" w:hAnsi="宋体" w:cs="宋体"/>
          <w:color w:val="auto"/>
          <w:sz w:val="22"/>
          <w:szCs w:val="22"/>
          <w:highlight w:val="none"/>
        </w:rPr>
        <w:t>，中标人应按施工合同约定向招标人提交履约担保。</w:t>
      </w:r>
    </w:p>
    <w:p w14:paraId="6E86083B">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条款号：29.2         修改类型：修改</w:t>
      </w:r>
    </w:p>
    <w:p w14:paraId="60BD1457">
      <w:pPr>
        <w:pBdr>
          <w:bottom w:val="single" w:color="auto" w:sz="6" w:space="1"/>
        </w:pBdr>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color w:val="auto"/>
          <w:sz w:val="22"/>
          <w:szCs w:val="22"/>
          <w:highlight w:val="none"/>
        </w:rPr>
        <w:t>29.2 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FDA3687">
      <w:pPr>
        <w:pBdr>
          <w:bottom w:val="single" w:color="auto" w:sz="6" w:space="1"/>
        </w:pBdr>
        <w:adjustRightInd w:val="0"/>
        <w:spacing w:line="360" w:lineRule="auto"/>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color w:val="auto"/>
          <w:sz w:val="22"/>
          <w:szCs w:val="22"/>
          <w:highlight w:val="none"/>
        </w:rPr>
        <w:t>29.2合同正式签订</w:t>
      </w:r>
      <w:r>
        <w:rPr>
          <w:rFonts w:hint="eastAsia" w:ascii="宋体" w:hAnsi="宋体" w:cs="宋体"/>
          <w:color w:val="auto"/>
          <w:sz w:val="22"/>
          <w:szCs w:val="22"/>
          <w:highlight w:val="none"/>
          <w:lang w:val="en-US" w:eastAsia="zh-CN"/>
        </w:rPr>
        <w:t>后，在招标人要求的时间内</w:t>
      </w:r>
      <w:r>
        <w:rPr>
          <w:rFonts w:hint="eastAsia" w:ascii="宋体" w:hAnsi="宋体" w:cs="宋体"/>
          <w:color w:val="auto"/>
          <w:sz w:val="22"/>
          <w:szCs w:val="22"/>
          <w:highlight w:val="none"/>
        </w:rPr>
        <w:t>，中标人未按上款的规定提交履约担保，招标人有权解除合同，原中标人依法承担相应法律责任。原中标人给招标人造成的损失超过投标保证金数额的，还应当对超过部分予以赔偿。原中标人有异议的，可以向人民法院起诉。</w:t>
      </w:r>
    </w:p>
    <w:p w14:paraId="799EEFA5">
      <w:pPr>
        <w:pBdr>
          <w:top w:val="single" w:color="auto" w:sz="4" w:space="1"/>
        </w:pBdr>
        <w:spacing w:line="480" w:lineRule="auto"/>
        <w:ind w:firstLine="495" w:firstLineChars="224"/>
        <w:rPr>
          <w:b/>
          <w:color w:val="auto"/>
          <w:sz w:val="22"/>
          <w:szCs w:val="22"/>
          <w:highlight w:val="none"/>
        </w:rPr>
      </w:pPr>
      <w:r>
        <w:rPr>
          <w:rFonts w:hint="eastAsia"/>
          <w:b/>
          <w:color w:val="auto"/>
          <w:sz w:val="22"/>
          <w:szCs w:val="22"/>
          <w:highlight w:val="none"/>
        </w:rPr>
        <w:t>条款号：31.1                   修改类型：增加</w:t>
      </w:r>
    </w:p>
    <w:p w14:paraId="332DD247">
      <w:pPr>
        <w:pBdr>
          <w:bottom w:val="single" w:color="000000" w:sz="6" w:space="1"/>
        </w:pBdr>
        <w:spacing w:line="360" w:lineRule="auto"/>
        <w:ind w:firstLine="552" w:firstLineChars="250"/>
        <w:rPr>
          <w:bCs/>
          <w:color w:val="auto"/>
          <w:sz w:val="22"/>
          <w:szCs w:val="22"/>
          <w:highlight w:val="none"/>
        </w:rPr>
      </w:pPr>
      <w:r>
        <w:rPr>
          <w:rFonts w:hint="eastAsia"/>
          <w:b/>
          <w:color w:val="auto"/>
          <w:sz w:val="22"/>
          <w:szCs w:val="22"/>
          <w:highlight w:val="none"/>
        </w:rPr>
        <w:t>现文：31.1</w:t>
      </w:r>
      <w:r>
        <w:rPr>
          <w:rFonts w:hint="eastAsia" w:ascii="Times New Roman" w:hAnsi="Times New Roman" w:eastAsia="宋体" w:cs="Times New Roman"/>
          <w:bCs/>
          <w:color w:val="auto"/>
          <w:sz w:val="22"/>
          <w:szCs w:val="22"/>
          <w:highlight w:val="none"/>
        </w:rPr>
        <w:t>招标人按委托代理合同约定支付本项目的招标代理服务费。</w:t>
      </w:r>
    </w:p>
    <w:p w14:paraId="208A4B8D">
      <w:pPr>
        <w:pBdr>
          <w:bottom w:val="single" w:color="000000" w:sz="6" w:space="1"/>
        </w:pBdr>
        <w:spacing w:line="360" w:lineRule="auto"/>
        <w:ind w:firstLine="552" w:firstLineChars="250"/>
        <w:rPr>
          <w:bCs/>
          <w:color w:val="auto"/>
          <w:sz w:val="22"/>
          <w:szCs w:val="22"/>
          <w:highlight w:val="none"/>
          <w:u w:val="single"/>
        </w:rPr>
      </w:pPr>
      <w:r>
        <w:rPr>
          <w:rFonts w:hint="eastAsia"/>
          <w:b/>
          <w:color w:val="auto"/>
          <w:sz w:val="22"/>
          <w:szCs w:val="22"/>
          <w:highlight w:val="none"/>
        </w:rPr>
        <w:t>31.2</w:t>
      </w:r>
      <w:r>
        <w:rPr>
          <w:rFonts w:hint="eastAsia" w:ascii="Times New Roman" w:hAnsi="Times New Roman" w:eastAsia="宋体" w:cs="Times New Roman"/>
          <w:bCs/>
          <w:color w:val="auto"/>
          <w:sz w:val="22"/>
          <w:szCs w:val="22"/>
          <w:highlight w:val="none"/>
        </w:rPr>
        <w:t>中标单位根据交易中心相关文件规定缴纳交易服务费，其费用包含在中标人投标报价中，交易中心向中标人开具发票。</w:t>
      </w:r>
    </w:p>
    <w:p w14:paraId="64DB7534">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条款号：32.3         修改类型：修改</w:t>
      </w:r>
    </w:p>
    <w:p w14:paraId="2599F7ED">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22"/>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1DDB3CC8">
      <w:pPr>
        <w:pBdr>
          <w:bottom w:val="single" w:color="auto" w:sz="6" w:space="1"/>
        </w:pBdr>
        <w:spacing w:line="360" w:lineRule="auto"/>
        <w:ind w:firstLine="552" w:firstLineChars="250"/>
        <w:rPr>
          <w:rFonts w:ascii="宋体" w:hAnsi="宋体" w:cs="宋体"/>
          <w:b/>
          <w:color w:val="auto"/>
          <w:sz w:val="22"/>
          <w:szCs w:val="22"/>
          <w:highlight w:val="none"/>
        </w:rPr>
      </w:pPr>
      <w:r>
        <w:rPr>
          <w:rFonts w:hint="eastAsia" w:ascii="宋体" w:hAnsi="宋体" w:cs="宋体"/>
          <w:b/>
          <w:color w:val="auto"/>
          <w:sz w:val="22"/>
          <w:szCs w:val="22"/>
          <w:highlight w:val="none"/>
        </w:rPr>
        <w:t>现文：</w:t>
      </w:r>
      <w:r>
        <w:rPr>
          <w:rFonts w:hint="eastAsia" w:ascii="宋体" w:hAnsi="宋体" w:cs="宋体"/>
          <w:bCs/>
          <w:color w:val="auto"/>
          <w:sz w:val="22"/>
          <w:szCs w:val="22"/>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28C1B90D">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条款号：33         修改类型：删除</w:t>
      </w:r>
    </w:p>
    <w:p w14:paraId="5BF3201B">
      <w:pPr>
        <w:pBdr>
          <w:bottom w:val="single" w:color="auto" w:sz="6" w:space="1"/>
        </w:pBdr>
        <w:tabs>
          <w:tab w:val="left" w:pos="1620"/>
        </w:tabs>
        <w:spacing w:line="360" w:lineRule="auto"/>
        <w:ind w:firstLine="552" w:firstLineChars="250"/>
        <w:rPr>
          <w:rFonts w:ascii="宋体" w:hAnsi="宋体" w:cs="宋体"/>
          <w:color w:val="auto"/>
          <w:sz w:val="22"/>
          <w:szCs w:val="22"/>
          <w:highlight w:val="none"/>
        </w:rPr>
      </w:pPr>
      <w:r>
        <w:rPr>
          <w:rFonts w:hint="eastAsia" w:ascii="宋体" w:hAnsi="宋体" w:cs="宋体"/>
          <w:b/>
          <w:color w:val="auto"/>
          <w:sz w:val="22"/>
          <w:szCs w:val="22"/>
          <w:highlight w:val="none"/>
        </w:rPr>
        <w:t>原文</w:t>
      </w:r>
      <w:r>
        <w:rPr>
          <w:rFonts w:hint="eastAsia" w:ascii="宋体" w:hAnsi="宋体" w:cs="宋体"/>
          <w:bCs/>
          <w:color w:val="auto"/>
          <w:sz w:val="22"/>
          <w:szCs w:val="22"/>
          <w:highlight w:val="none"/>
        </w:rPr>
        <w:t>：</w:t>
      </w:r>
      <w:r>
        <w:rPr>
          <w:rFonts w:hint="eastAsia" w:ascii="宋体" w:hAnsi="宋体" w:cs="宋体"/>
          <w:color w:val="auto"/>
          <w:sz w:val="22"/>
          <w:szCs w:val="22"/>
          <w:highlight w:val="none"/>
        </w:rPr>
        <w:t>33. 投标人信誉的要求</w:t>
      </w:r>
    </w:p>
    <w:p w14:paraId="27608D17">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存在下列情形之一的，招标人可以限制其投标（需在招标文件中明确评定方法）</w:t>
      </w:r>
    </w:p>
    <w:p w14:paraId="405E1216">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（1）被住房城乡建设行政主管部门在全国建筑市场监管一体化工作平台列入建筑市场主体“黑名单”；</w:t>
      </w:r>
    </w:p>
    <w:p w14:paraId="70BF2611">
      <w:pPr>
        <w:pBdr>
          <w:bottom w:val="single" w:color="auto" w:sz="6" w:space="1"/>
        </w:pBdr>
        <w:tabs>
          <w:tab w:val="left" w:pos="1620"/>
        </w:tabs>
        <w:spacing w:line="360" w:lineRule="auto"/>
        <w:ind w:firstLine="550" w:firstLineChars="250"/>
        <w:rPr>
          <w:rFonts w:ascii="宋体" w:hAnsi="宋体" w:cs="宋体"/>
          <w:color w:val="auto"/>
          <w:sz w:val="22"/>
          <w:szCs w:val="22"/>
          <w:highlight w:val="none"/>
        </w:rPr>
      </w:pPr>
      <w:r>
        <w:rPr>
          <w:rFonts w:hint="eastAsia" w:ascii="宋体" w:hAnsi="宋体" w:cs="宋体"/>
          <w:color w:val="auto"/>
          <w:sz w:val="22"/>
          <w:szCs w:val="22"/>
          <w:highlight w:val="none"/>
        </w:rPr>
        <w:t>（2）被发改委、人力资源社会保障、质检总局等有关部门、单位在“信用中国”网站中列入联合惩戒失信黑名单。</w:t>
      </w:r>
    </w:p>
    <w:p w14:paraId="3B3959D4">
      <w:pPr>
        <w:spacing w:line="360" w:lineRule="auto"/>
        <w:ind w:firstLine="221" w:firstLineChars="100"/>
        <w:rPr>
          <w:rFonts w:ascii="宋体" w:hAnsi="宋体" w:cs="宋体"/>
          <w:b/>
          <w:color w:val="auto"/>
          <w:sz w:val="22"/>
          <w:szCs w:val="22"/>
          <w:highlight w:val="none"/>
        </w:rPr>
      </w:pPr>
      <w:r>
        <w:rPr>
          <w:rFonts w:hint="eastAsia" w:ascii="宋体" w:hAnsi="宋体" w:cs="宋体"/>
          <w:b/>
          <w:color w:val="auto"/>
          <w:sz w:val="22"/>
          <w:szCs w:val="22"/>
          <w:highlight w:val="none"/>
        </w:rPr>
        <w:t>注：以上修改，仅限于本范本中有可供选择条款的情形。</w:t>
      </w:r>
    </w:p>
    <w:p w14:paraId="0DB3BCD6">
      <w:pPr>
        <w:spacing w:line="360" w:lineRule="auto"/>
        <w:rPr>
          <w:rFonts w:ascii="宋体" w:hAnsi="宋体" w:cs="宋体"/>
          <w:color w:val="auto"/>
          <w:sz w:val="24"/>
          <w:szCs w:val="24"/>
          <w:highlight w:val="none"/>
        </w:rPr>
      </w:pPr>
      <w:r>
        <w:rPr>
          <w:rFonts w:hint="eastAsia" w:ascii="宋体" w:hAnsi="宋体" w:cs="宋体"/>
          <w:b/>
          <w:color w:val="auto"/>
          <w:sz w:val="22"/>
          <w:szCs w:val="22"/>
          <w:highlight w:val="none"/>
        </w:rPr>
        <w:t>（以下无正文）</w:t>
      </w:r>
    </w:p>
    <w:p w14:paraId="24931EBD">
      <w:pPr>
        <w:pStyle w:val="11"/>
        <w:spacing w:line="360" w:lineRule="auto"/>
        <w:ind w:firstLine="482" w:firstLineChars="200"/>
        <w:rPr>
          <w:rFonts w:ascii="宋体" w:hAnsi="宋体" w:cs="宋体"/>
          <w:b/>
          <w:bCs/>
          <w:color w:val="auto"/>
          <w:sz w:val="24"/>
          <w:szCs w:val="24"/>
          <w:highlight w:val="none"/>
        </w:rPr>
        <w:sectPr>
          <w:footerReference r:id="rId10" w:type="first"/>
          <w:footerReference r:id="rId9" w:type="default"/>
          <w:pgSz w:w="11906" w:h="16838"/>
          <w:pgMar w:top="1134" w:right="1418" w:bottom="1247" w:left="1418" w:header="851" w:footer="907" w:gutter="0"/>
          <w:pgBorders>
            <w:top w:val="none" w:sz="0" w:space="0"/>
            <w:left w:val="none" w:sz="0" w:space="0"/>
            <w:bottom w:val="none" w:sz="0" w:space="0"/>
            <w:right w:val="none" w:sz="0" w:space="0"/>
          </w:pgBorders>
          <w:pgNumType w:start="1"/>
          <w:cols w:space="720" w:num="1"/>
          <w:titlePg/>
          <w:docGrid w:type="lines" w:linePitch="312" w:charSpace="0"/>
        </w:sectPr>
      </w:pPr>
    </w:p>
    <w:p w14:paraId="1219C94B">
      <w:pPr>
        <w:pStyle w:val="7"/>
        <w:rPr>
          <w:rFonts w:ascii="宋体" w:hAnsi="宋体" w:cs="宋体"/>
          <w:color w:val="auto"/>
          <w:highlight w:val="none"/>
        </w:rPr>
      </w:pPr>
      <w:bookmarkStart w:id="3" w:name="_Toc24881"/>
      <w:r>
        <w:rPr>
          <w:rFonts w:hint="eastAsia" w:ascii="宋体" w:hAnsi="宋体" w:cs="宋体"/>
          <w:color w:val="auto"/>
          <w:highlight w:val="none"/>
        </w:rPr>
        <w:t>三、投标须知通用条款</w:t>
      </w:r>
      <w:bookmarkEnd w:id="3"/>
    </w:p>
    <w:p w14:paraId="662EA20A">
      <w:pPr>
        <w:pStyle w:val="8"/>
        <w:spacing w:before="156" w:after="156"/>
        <w:rPr>
          <w:rFonts w:hAnsi="宋体" w:cs="宋体"/>
          <w:color w:val="auto"/>
          <w:highlight w:val="none"/>
        </w:rPr>
      </w:pPr>
      <w:bookmarkStart w:id="4" w:name="_Toc2272549"/>
      <w:bookmarkStart w:id="5" w:name="_Toc21525493"/>
      <w:bookmarkStart w:id="6" w:name="_Toc373"/>
      <w:r>
        <w:rPr>
          <w:rFonts w:hint="eastAsia" w:hAnsi="宋体" w:cs="宋体"/>
          <w:color w:val="auto"/>
          <w:highlight w:val="none"/>
        </w:rPr>
        <w:t>（一）总则</w:t>
      </w:r>
      <w:bookmarkEnd w:id="4"/>
      <w:bookmarkEnd w:id="5"/>
    </w:p>
    <w:p w14:paraId="4EBAD446">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1、定义</w:t>
      </w:r>
    </w:p>
    <w:p w14:paraId="5BA330C6">
      <w:pPr>
        <w:pStyle w:val="5"/>
        <w:spacing w:after="0"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本招标文件使用的下列词语具有如下规定的意义：</w:t>
      </w:r>
    </w:p>
    <w:p w14:paraId="7E56AFCF">
      <w:pPr>
        <w:pStyle w:val="5"/>
        <w:spacing w:after="0" w:line="360" w:lineRule="auto"/>
        <w:ind w:firstLine="480" w:firstLineChars="200"/>
        <w:rPr>
          <w:rFonts w:ascii="宋体" w:hAnsi="宋体" w:cs="宋体"/>
          <w:b/>
          <w:bCs/>
          <w:color w:val="auto"/>
          <w:sz w:val="24"/>
          <w:highlight w:val="none"/>
          <w:u w:val="single"/>
        </w:rPr>
      </w:pPr>
      <w:r>
        <w:rPr>
          <w:rFonts w:hint="eastAsia" w:ascii="宋体" w:hAnsi="宋体" w:cs="宋体"/>
          <w:color w:val="auto"/>
          <w:sz w:val="24"/>
          <w:highlight w:val="none"/>
        </w:rPr>
        <w:t>（1）“招标人”（即发包人）、“项目建设管理单位”（或称“项目代建单位”）、“招标代理”、“设计单位”、“监理单位”均已在投标须知前附表中列明。</w:t>
      </w:r>
    </w:p>
    <w:p w14:paraId="0E591C95">
      <w:pPr>
        <w:pStyle w:val="5"/>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（2）“投标人”指向招标人提交投标文件的当事人。</w:t>
      </w:r>
    </w:p>
    <w:p w14:paraId="2E5F05A3">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（3）“承包人”指其投标被招标人接受并与其签订承包合同的当事人。</w:t>
      </w:r>
    </w:p>
    <w:p w14:paraId="6110B4BE">
      <w:pPr>
        <w:pStyle w:val="5"/>
        <w:spacing w:after="0"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（4）“招标文件”指由招标代理发出的本文件（包括全部章节、附件）及招标答疑会会议纪要和</w:t>
      </w:r>
      <w:r>
        <w:rPr>
          <w:rFonts w:hint="eastAsia" w:ascii="宋体" w:hAnsi="宋体" w:cs="宋体"/>
          <w:bCs/>
          <w:color w:val="auto"/>
          <w:sz w:val="24"/>
          <w:highlight w:val="none"/>
        </w:rPr>
        <w:t>招标文件的澄清与修改</w:t>
      </w:r>
      <w:r>
        <w:rPr>
          <w:rFonts w:hint="eastAsia" w:ascii="宋体" w:hAnsi="宋体" w:cs="宋体"/>
          <w:color w:val="auto"/>
          <w:sz w:val="24"/>
          <w:highlight w:val="none"/>
        </w:rPr>
        <w:t>文件。</w:t>
      </w:r>
    </w:p>
    <w:p w14:paraId="01E40F3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（5）“投标文件”指投标人根据本项目招标文件向招标人提交的全部文件。</w:t>
      </w:r>
    </w:p>
    <w:p w14:paraId="0C4F3395">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（6）“书面形式”指打字或印刷的文件和数据电文（包括电报、电传、传真、电子数据交换和电子邮件）。</w:t>
      </w:r>
    </w:p>
    <w:p w14:paraId="7913EB9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2、招标说明</w:t>
      </w:r>
    </w:p>
    <w:p w14:paraId="2902A4C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2.1本招标工程项目按照《中华人民共和国招标投标法》等有关法律、行政法规、规章和规范性文件，通过招标方式选定承包人。</w:t>
      </w:r>
    </w:p>
    <w:p w14:paraId="57E880E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2.2工程名称、建设地点、建设规模、承包方式、质量标准、招标范围、工期要求等均在投标须知前附表中列明。</w:t>
      </w:r>
    </w:p>
    <w:p w14:paraId="2086110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2.3设计说明：详见招标图纸。</w:t>
      </w:r>
    </w:p>
    <w:p w14:paraId="4EE523FC">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2.4工程施工特点：详见招标图纸。</w:t>
      </w:r>
    </w:p>
    <w:p w14:paraId="364870FF">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3．资金来源</w:t>
      </w:r>
    </w:p>
    <w:p w14:paraId="0260ACE1">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3.1本招标工程项目资金来源见投标须知前附表第9项</w:t>
      </w:r>
    </w:p>
    <w:p w14:paraId="53A1698F">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4．合格投标人的条件</w:t>
      </w:r>
    </w:p>
    <w:p w14:paraId="22D4D573">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4.1详见本项目招标公告</w:t>
      </w:r>
    </w:p>
    <w:p w14:paraId="2E84AC86">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5．踏勘现场</w:t>
      </w:r>
    </w:p>
    <w:p w14:paraId="3D707393">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5.1 投标人应按本投标须知前附表第15项所述时间和要求对工程现场及周围环境进行踏勘，</w:t>
      </w:r>
      <w:r>
        <w:rPr>
          <w:rFonts w:hint="eastAsia" w:ascii="宋体" w:hAnsi="宋体" w:cs="宋体"/>
          <w:color w:val="auto"/>
          <w:sz w:val="24"/>
          <w:highlight w:val="none"/>
        </w:rPr>
        <w:t>投标人应充分重视和仔细地进行这种考察，</w:t>
      </w:r>
      <w:r>
        <w:rPr>
          <w:rFonts w:hint="eastAsia" w:ascii="宋体" w:hAnsi="宋体" w:cs="宋体"/>
          <w:bCs/>
          <w:color w:val="auto"/>
          <w:sz w:val="24"/>
          <w:highlight w:val="none"/>
        </w:rPr>
        <w:t>以便投标人获取</w:t>
      </w:r>
      <w:r>
        <w:rPr>
          <w:rFonts w:hint="eastAsia" w:ascii="宋体" w:hAnsi="宋体" w:cs="宋体"/>
          <w:color w:val="auto"/>
          <w:sz w:val="24"/>
          <w:highlight w:val="none"/>
        </w:rPr>
        <w:t>那些须投标人自己负责的</w:t>
      </w:r>
      <w:r>
        <w:rPr>
          <w:rFonts w:hint="eastAsia" w:ascii="宋体" w:hAnsi="宋体" w:cs="宋体"/>
          <w:bCs/>
          <w:color w:val="auto"/>
          <w:sz w:val="24"/>
          <w:highlight w:val="none"/>
        </w:rPr>
        <w:t>有关编制投标文件和签署合同所涉及现场所有的资料。</w:t>
      </w:r>
      <w:r>
        <w:rPr>
          <w:rFonts w:hint="eastAsia" w:ascii="宋体" w:hAnsi="宋体" w:cs="宋体"/>
          <w:color w:val="auto"/>
          <w:sz w:val="24"/>
          <w:highlight w:val="none"/>
        </w:rPr>
        <w:t>一旦中标，这种考察即被认为其结果已在中标文件中得到充分反映。考察现场的费用由投标人自己承担。</w:t>
      </w:r>
    </w:p>
    <w:p w14:paraId="7764F74F">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5.2 招标人向投标人提供的有关现场的数据和资料，是招标人现有的能被投标人利用的资料，招标人对投标人做出的任何推论、理解和结论均不负责任。</w:t>
      </w:r>
    </w:p>
    <w:p w14:paraId="07B486D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5.3 经招标人允许，投标人可为踏勘目的进入招标人的项目现场。</w:t>
      </w:r>
      <w:r>
        <w:rPr>
          <w:rFonts w:hint="eastAsia" w:ascii="宋体" w:hAnsi="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highlight w:val="none"/>
        </w:rPr>
        <w:t>投标人不得因此使招标人承担有关的责任和蒙受损失。</w:t>
      </w:r>
    </w:p>
    <w:p w14:paraId="056769EB">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6．投标费用</w:t>
      </w:r>
    </w:p>
    <w:p w14:paraId="206FF989">
      <w:pPr>
        <w:tabs>
          <w:tab w:val="left" w:pos="105"/>
        </w:tabs>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6.1</w:t>
      </w:r>
      <w:r>
        <w:rPr>
          <w:rFonts w:hint="eastAsia" w:ascii="宋体" w:hAnsi="宋体" w:cs="宋体"/>
          <w:color w:val="auto"/>
          <w:sz w:val="24"/>
          <w:highlight w:val="none"/>
        </w:rPr>
        <w:t>不论投标结果如何，投标人应承担</w:t>
      </w:r>
      <w:r>
        <w:rPr>
          <w:rFonts w:hint="eastAsia" w:ascii="宋体" w:hAnsi="宋体" w:cs="宋体"/>
          <w:bCs/>
          <w:color w:val="auto"/>
          <w:sz w:val="24"/>
          <w:highlight w:val="none"/>
        </w:rPr>
        <w:t>自身</w:t>
      </w:r>
      <w:r>
        <w:rPr>
          <w:rFonts w:hint="eastAsia" w:ascii="宋体" w:hAnsi="宋体" w:cs="宋体"/>
          <w:color w:val="auto"/>
          <w:sz w:val="24"/>
          <w:highlight w:val="none"/>
        </w:rPr>
        <w:t>因投标文件编制、递交及其他</w:t>
      </w:r>
      <w:r>
        <w:rPr>
          <w:rFonts w:hint="eastAsia" w:ascii="宋体" w:hAnsi="宋体" w:cs="宋体"/>
          <w:bCs/>
          <w:color w:val="auto"/>
          <w:sz w:val="24"/>
          <w:highlight w:val="none"/>
        </w:rPr>
        <w:t>参加本招标活动</w:t>
      </w:r>
      <w:r>
        <w:rPr>
          <w:rFonts w:hint="eastAsia" w:ascii="宋体" w:hAnsi="宋体" w:cs="宋体"/>
          <w:color w:val="auto"/>
          <w:sz w:val="24"/>
          <w:highlight w:val="none"/>
        </w:rPr>
        <w:t>所涉及的一切费用，招标人对上述费用不负任何责任。</w:t>
      </w:r>
    </w:p>
    <w:p w14:paraId="5123F3AD">
      <w:pPr>
        <w:pStyle w:val="8"/>
        <w:spacing w:before="156" w:after="156"/>
        <w:rPr>
          <w:rFonts w:hAnsi="宋体" w:cs="宋体"/>
          <w:color w:val="auto"/>
          <w:highlight w:val="none"/>
        </w:rPr>
      </w:pPr>
      <w:bookmarkStart w:id="7" w:name="_Toc2272550"/>
      <w:bookmarkStart w:id="8" w:name="_Toc21525494"/>
      <w:r>
        <w:rPr>
          <w:rFonts w:hint="eastAsia" w:hAnsi="宋体" w:cs="宋体"/>
          <w:color w:val="auto"/>
          <w:highlight w:val="none"/>
        </w:rPr>
        <w:t>（二）招标文件</w:t>
      </w:r>
      <w:bookmarkEnd w:id="7"/>
      <w:bookmarkEnd w:id="8"/>
    </w:p>
    <w:p w14:paraId="7DE81D3D">
      <w:pPr>
        <w:tabs>
          <w:tab w:val="left" w:pos="105"/>
        </w:tabs>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7.招标文件的组成</w:t>
      </w:r>
    </w:p>
    <w:p w14:paraId="46A67154">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7.1本招标文件包括下列文件，以及所有按本须知第8条发出的招标答疑会会议纪要和按本须知第9条发出的澄清或修改：</w:t>
      </w:r>
    </w:p>
    <w:p w14:paraId="58F8670E">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第一章  投标须知</w:t>
      </w:r>
    </w:p>
    <w:p w14:paraId="278C782B">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第二章  开标、评标及定标办法</w:t>
      </w:r>
    </w:p>
    <w:p w14:paraId="29B6EF53">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第三章  合同条款</w:t>
      </w:r>
    </w:p>
    <w:p w14:paraId="2F62E334">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第四章  投标文件格式</w:t>
      </w:r>
    </w:p>
    <w:p w14:paraId="6FB0F1E5">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第五章  技术条件（工程建设标准）（另册）</w:t>
      </w:r>
    </w:p>
    <w:p w14:paraId="751DE1C7">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第六章  图纸及勘察资料（另册）</w:t>
      </w:r>
    </w:p>
    <w:p w14:paraId="4D5D1AF1">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第七章  招标工程量清单（另册）</w:t>
      </w:r>
    </w:p>
    <w:p w14:paraId="0BC40567">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第八章  最高投标限价</w:t>
      </w:r>
    </w:p>
    <w:p w14:paraId="4BF72581">
      <w:pPr>
        <w:pStyle w:val="5"/>
        <w:spacing w:after="0" w:line="360" w:lineRule="auto"/>
        <w:ind w:left="-2" w:firstLine="480" w:firstLineChars="200"/>
        <w:rPr>
          <w:rFonts w:ascii="宋体" w:hAnsi="宋体" w:cs="宋体"/>
          <w:color w:val="auto"/>
          <w:sz w:val="24"/>
          <w:highlight w:val="none"/>
        </w:rPr>
      </w:pPr>
      <w:r>
        <w:rPr>
          <w:rFonts w:hint="eastAsia" w:ascii="宋体" w:hAnsi="宋体" w:cs="宋体"/>
          <w:color w:val="auto"/>
          <w:sz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71F2B18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2FA1A1E">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 投标人一旦中标，招标文件的内容对招标人和中标人双方均有约束力。</w:t>
      </w:r>
    </w:p>
    <w:p w14:paraId="1C6DA95F">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8．招标答疑</w:t>
      </w:r>
    </w:p>
    <w:p w14:paraId="24370A83">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投标人若对招标文件（包括招标图纸）中有疑问，可以书面形式</w:t>
      </w:r>
      <w:r>
        <w:rPr>
          <w:rFonts w:hint="eastAsia" w:ascii="宋体" w:hAnsi="宋体" w:cs="宋体"/>
          <w:color w:val="auto"/>
          <w:sz w:val="24"/>
          <w:szCs w:val="24"/>
          <w:highlight w:val="none"/>
        </w:rPr>
        <w:t>通过交易平台提交</w:t>
      </w:r>
      <w:r>
        <w:rPr>
          <w:rFonts w:hint="eastAsia" w:ascii="宋体" w:hAnsi="宋体" w:cs="宋体"/>
          <w:color w:val="auto"/>
          <w:sz w:val="24"/>
          <w:highlight w:val="none"/>
        </w:rPr>
        <w:t>给招标人或招标代理人，提交形式见本须知前附表第16项。</w:t>
      </w:r>
    </w:p>
    <w:p w14:paraId="605DABA8">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8.2招标答疑会会议纪要将在提交投标文件截止时间15日前在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 xml:space="preserve"> “项目答疑纪要”专区公开发布。答疑纪要一经在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w:t>
      </w:r>
    </w:p>
    <w:p w14:paraId="4CA564E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8.3答疑会会议纪要为招标文件的一部分。</w:t>
      </w:r>
    </w:p>
    <w:p w14:paraId="2F105581">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8.4若招标答疑会会议纪要与招标文件有矛盾，以答疑会议纪要最后发出的书面形式的文件为准。</w:t>
      </w:r>
    </w:p>
    <w:p w14:paraId="4ADF5E26">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9.招标文件的澄清与修改</w:t>
      </w:r>
    </w:p>
    <w:p w14:paraId="141698C0">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9.1招标文件发出后,在提交投标文件截止时间15日前，招标人可对招标文件进行必要的澄清或修改。</w:t>
      </w:r>
    </w:p>
    <w:p w14:paraId="54AF4AC6">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9.2招标文件的澄清或修改将在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“项目答疑纪要”专区公开发布。答疑纪要一经在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发布，视作已发放给所有投标人，以</w:t>
      </w:r>
      <w:r>
        <w:rPr>
          <w:rFonts w:hint="eastAsia" w:ascii="宋体" w:hAnsi="宋体" w:cs="宋体"/>
          <w:color w:val="auto"/>
          <w:sz w:val="24"/>
          <w:szCs w:val="24"/>
          <w:highlight w:val="none"/>
        </w:rPr>
        <w:t>交易平台</w:t>
      </w:r>
      <w:r>
        <w:rPr>
          <w:rFonts w:hint="eastAsia" w:ascii="宋体" w:hAnsi="宋体" w:cs="宋体"/>
          <w:color w:val="auto"/>
          <w:sz w:val="24"/>
          <w:highlight w:val="none"/>
        </w:rPr>
        <w:t>上网发布时间作为送达时间。</w:t>
      </w:r>
    </w:p>
    <w:p w14:paraId="7EA41010">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9.3招标文件的修改内容为招标文件的组成部分。</w:t>
      </w:r>
    </w:p>
    <w:p w14:paraId="3F1B88E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9.4招标文件的澄清或修改均以书面形式明确的内容为准。当招标文件的澄清、修改、补充等在同一内容的表述不一致时，以最后发出的书面形式的文件为准。</w:t>
      </w:r>
    </w:p>
    <w:p w14:paraId="4C625DA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26F5D7A">
      <w:pPr>
        <w:pStyle w:val="8"/>
        <w:spacing w:before="156" w:after="156"/>
        <w:rPr>
          <w:rFonts w:hAnsi="宋体" w:cs="宋体"/>
          <w:color w:val="auto"/>
          <w:highlight w:val="none"/>
        </w:rPr>
      </w:pPr>
      <w:bookmarkStart w:id="9" w:name="_Toc21525495"/>
      <w:bookmarkStart w:id="10" w:name="_Toc2272551"/>
      <w:r>
        <w:rPr>
          <w:rFonts w:hint="eastAsia" w:hAnsi="宋体" w:cs="宋体"/>
          <w:color w:val="auto"/>
          <w:highlight w:val="none"/>
        </w:rPr>
        <w:t>（三）投标文件的编制</w:t>
      </w:r>
      <w:bookmarkEnd w:id="9"/>
      <w:bookmarkEnd w:id="10"/>
    </w:p>
    <w:p w14:paraId="59494BD0">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10．投标文件的语言及度量衡单位</w:t>
      </w:r>
    </w:p>
    <w:p w14:paraId="7B99D5C8">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 投标文件和与投标有关的所有文件均应使用中文。</w:t>
      </w:r>
    </w:p>
    <w:p w14:paraId="69E78ED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 除工程规范另有规定外，投标文件使用的度量衡单位，均采用中华人民共和国法定计量单位。</w:t>
      </w:r>
    </w:p>
    <w:p w14:paraId="2B2804E3">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11．投标文件的组成</w:t>
      </w:r>
    </w:p>
    <w:p w14:paraId="1E64CEFC">
      <w:pPr>
        <w:pStyle w:val="5"/>
        <w:spacing w:after="0"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11.1 投标文件由技术部分（含资格审查文件）和经济部分二部分投标文件组成</w:t>
      </w:r>
      <w:r>
        <w:rPr>
          <w:rFonts w:hint="eastAsia" w:ascii="宋体" w:hAnsi="宋体" w:cs="宋体"/>
          <w:b/>
          <w:color w:val="auto"/>
          <w:sz w:val="24"/>
          <w:highlight w:val="none"/>
        </w:rPr>
        <w:t>。</w:t>
      </w:r>
    </w:p>
    <w:p w14:paraId="43C3DDD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11.2投标文件技术标部分主要包括下列内容:</w:t>
      </w:r>
    </w:p>
    <w:p w14:paraId="0F2F49A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11.2.1 技术投标文件</w:t>
      </w:r>
      <w:r>
        <w:rPr>
          <w:rFonts w:hint="eastAsia" w:ascii="宋体" w:hAnsi="宋体" w:cs="宋体"/>
          <w:color w:val="auto"/>
          <w:sz w:val="24"/>
          <w:highlight w:val="none"/>
        </w:rPr>
        <w:t>(按招标文件的要求填写)</w:t>
      </w:r>
      <w:r>
        <w:rPr>
          <w:rFonts w:hint="eastAsia" w:ascii="宋体" w:hAnsi="宋体" w:cs="宋体"/>
          <w:bCs/>
          <w:color w:val="auto"/>
          <w:sz w:val="24"/>
          <w:highlight w:val="none"/>
        </w:rPr>
        <w:t>；</w:t>
      </w:r>
    </w:p>
    <w:p w14:paraId="35D6B5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11.2.2 资格审查文件：</w:t>
      </w:r>
    </w:p>
    <w:p w14:paraId="024287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（1）投标人声明； </w:t>
      </w:r>
    </w:p>
    <w:p w14:paraId="51D765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（2）法定代表人证明书、法定代表人签字或盖章的本投标文件授权委托证明书；</w:t>
      </w:r>
    </w:p>
    <w:p w14:paraId="68025B0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（3）企业营业执照扫描件或电子证照；</w:t>
      </w:r>
    </w:p>
    <w:p w14:paraId="046731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（4）企业资质证书扫描件或电子证照；</w:t>
      </w:r>
    </w:p>
    <w:p w14:paraId="6B66A8F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（5）建筑施工企业安全生产许可证扫描件或电子证照；</w:t>
      </w:r>
    </w:p>
    <w:p w14:paraId="598890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（6）项目负责人（按网上投标登记时选择拟投入本项目的项目负责人）</w:t>
      </w:r>
    </w:p>
    <w:p w14:paraId="3BCAB2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（7）专职安全员（按网上投标登记时选择拟投入本项目的专职安全员）</w:t>
      </w:r>
    </w:p>
    <w:p w14:paraId="354E12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（8）拟委托技术负责人的相关证书、资料（具体要求由招标人明确）</w:t>
      </w:r>
    </w:p>
    <w:p w14:paraId="789794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（9）拟委派项目负责人的有效期内的建造师注册证书扫描件或电子证书；  </w:t>
      </w:r>
    </w:p>
    <w:p w14:paraId="28B197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（10）项目负责人在有效期内的安全生产考核合格证书（B类）或建筑施工企业项目负责人安全生产考核合格证书扫描件或电子证书；</w:t>
      </w:r>
    </w:p>
    <w:p w14:paraId="646BF9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（11）专职安全员须具有在有效期内的安全生产考核合格证书（C类）或建筑施工企业专职安全生产管理人员安全生产考核合格证书扫描件或电子证书；</w:t>
      </w:r>
    </w:p>
    <w:p w14:paraId="256DEA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（12）用于资格审查的业绩（设置业绩要求时选择此项，投标人须提供类似工程业绩的项目名称及项目编号，具体格式由招标人自定）；</w:t>
      </w:r>
    </w:p>
    <w:p w14:paraId="3C9135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r>
        <w:rPr>
          <w:rFonts w:hint="eastAsia" w:ascii="宋体" w:hAnsi="宋体" w:cs="宋体"/>
          <w:color w:val="auto"/>
          <w:sz w:val="24"/>
          <w:szCs w:val="24"/>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sz w:val="24"/>
          <w:highlight w:val="none"/>
        </w:rPr>
        <w:t xml:space="preserve">； </w:t>
      </w:r>
    </w:p>
    <w:p w14:paraId="5635F8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B83DA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注：1.相关电子证书按规定需打印后手写本人签名的，应按照规定手写本人签名后再扫描提交。</w:t>
      </w:r>
    </w:p>
    <w:p w14:paraId="168272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2EC157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11.2.3项目管理机构配备。</w:t>
      </w:r>
    </w:p>
    <w:p w14:paraId="4C8E5B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（1）投标人应列出该项目工程的施工组织机构构成和画出机构框架图及其负责人；</w:t>
      </w:r>
    </w:p>
    <w:p w14:paraId="2EA2CC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（2）投标人应详细列出该施工组织机构中主要成员的名单、简历资料、职务职称和在本项目中拟担任的职务等资料，并附上有关证明材料扫描件；</w:t>
      </w:r>
    </w:p>
    <w:p w14:paraId="33E9D8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（3）其他辅助说明资料。</w:t>
      </w:r>
    </w:p>
    <w:p w14:paraId="7FA0EA6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11.2.4投标人在广州市可使用适合本工程的机械设备（附：机械设备为自有或租赁的说明；及承诺机械设备如属于租赁的，其租赁是不属于重复租赁）。</w:t>
      </w:r>
    </w:p>
    <w:p w14:paraId="7D25A6F6">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11.2.5施工组织设计或施工方案。</w:t>
      </w:r>
    </w:p>
    <w:p w14:paraId="60BE1D10">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（1）投标人在编制施工组织设计或施工方案时应按照招标人提出的施工现场建筑垃圾源头减量的具体要求以及建筑垃圾综合利用产品的使用要求提供相应措施。</w:t>
      </w:r>
    </w:p>
    <w:p w14:paraId="4F430C0F">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5C40974">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11.2.6按照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填写的《参与编制技术标投标文件人员名单》。</w:t>
      </w:r>
    </w:p>
    <w:p w14:paraId="4911854D">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11.3 经济部分投标文件主要包括下列内容：</w:t>
      </w:r>
    </w:p>
    <w:p w14:paraId="4CA29A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11.3.1 经济投标文件(按招标文件的要求填写)。</w:t>
      </w:r>
    </w:p>
    <w:p w14:paraId="3066B7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 w:val="24"/>
          <w:szCs w:val="24"/>
          <w:highlight w:val="none"/>
        </w:rPr>
        <w:t>其中包括如下：</w:t>
      </w:r>
    </w:p>
    <w:p w14:paraId="2E377A7A">
      <w:pPr>
        <w:spacing w:line="360" w:lineRule="auto"/>
        <w:ind w:firstLine="559" w:firstLineChars="233"/>
        <w:rPr>
          <w:rFonts w:ascii="宋体" w:hAnsi="宋体" w:cs="宋体"/>
          <w:color w:val="auto"/>
          <w:sz w:val="24"/>
          <w:highlight w:val="none"/>
        </w:rPr>
      </w:pPr>
      <w:r>
        <w:rPr>
          <w:rFonts w:hint="eastAsia" w:ascii="宋体" w:hAnsi="宋体" w:cs="宋体"/>
          <w:color w:val="auto"/>
          <w:sz w:val="24"/>
          <w:highlight w:val="none"/>
        </w:rPr>
        <w:t>（1）投标总价封面、扉页；</w:t>
      </w:r>
    </w:p>
    <w:p w14:paraId="3E57EF6A">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（2）总说明</w:t>
      </w:r>
    </w:p>
    <w:p w14:paraId="74C13642">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14:paraId="5D3E7F87">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14:paraId="027A7417">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14:paraId="66ABAB0F">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14:paraId="6EE46988">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14:paraId="435D9908">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14:paraId="3E48B3DD">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（9）综合单价分析表；</w:t>
      </w:r>
    </w:p>
    <w:p w14:paraId="407D5310">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14:paraId="68948E13">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（11）暂列金额明细表；</w:t>
      </w:r>
    </w:p>
    <w:p w14:paraId="1352CB90">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14:paraId="6D78ED8E">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14:paraId="56090915">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（14）计日工表；</w:t>
      </w:r>
    </w:p>
    <w:p w14:paraId="0BA3AFF3">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（15）总承包服务计价表；</w:t>
      </w:r>
    </w:p>
    <w:p w14:paraId="06B32663">
      <w:pPr>
        <w:spacing w:line="360" w:lineRule="auto"/>
        <w:ind w:firstLine="559" w:firstLineChars="233"/>
        <w:rPr>
          <w:rFonts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14:paraId="6471F186">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 xml:space="preserve"> （17）人工、主要材料和设备一览表</w:t>
      </w:r>
    </w:p>
    <w:p w14:paraId="5C9D3206">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11.3.3按照</w:t>
      </w:r>
      <w:r>
        <w:rPr>
          <w:rFonts w:hint="eastAsia" w:ascii="宋体" w:hAnsi="宋体" w:cs="宋体"/>
          <w:bCs/>
          <w:color w:val="auto"/>
          <w:sz w:val="24"/>
          <w:highlight w:val="none"/>
        </w:rPr>
        <w:t>招标文件要求</w:t>
      </w:r>
      <w:r>
        <w:rPr>
          <w:rFonts w:hint="eastAsia" w:ascii="宋体" w:hAnsi="宋体" w:cs="宋体"/>
          <w:color w:val="auto"/>
          <w:sz w:val="24"/>
          <w:highlight w:val="none"/>
        </w:rPr>
        <w:t>填写的《参与编制经济标投标文件人员名单》。</w:t>
      </w:r>
    </w:p>
    <w:p w14:paraId="05E95BAC">
      <w:pPr>
        <w:tabs>
          <w:tab w:val="left" w:pos="112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7A59C416">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12．投标文件格式</w:t>
      </w:r>
    </w:p>
    <w:p w14:paraId="76801B81">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投标文件包括本须知第11条中规定的内容，投标人提交的投标文件应当使用招标文件所提供的投标文件全部格式（表格可以按同样格式扩展）。</w:t>
      </w:r>
    </w:p>
    <w:p w14:paraId="17FA1D2A">
      <w:pPr>
        <w:pStyle w:val="5"/>
        <w:tabs>
          <w:tab w:val="left" w:pos="7380"/>
        </w:tabs>
        <w:spacing w:after="0" w:line="360" w:lineRule="auto"/>
        <w:ind w:firstLine="480" w:firstLineChars="200"/>
        <w:jc w:val="left"/>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rPr>
        <w:t>。</w:t>
      </w:r>
    </w:p>
    <w:p w14:paraId="63E22E47">
      <w:pPr>
        <w:pStyle w:val="5"/>
        <w:spacing w:after="0" w:line="360" w:lineRule="auto"/>
        <w:ind w:firstLine="482" w:firstLineChars="200"/>
        <w:rPr>
          <w:rFonts w:ascii="宋体" w:hAnsi="宋体" w:cs="宋体"/>
          <w:color w:val="auto"/>
          <w:sz w:val="24"/>
          <w:highlight w:val="none"/>
        </w:rPr>
      </w:pPr>
      <w:r>
        <w:rPr>
          <w:rFonts w:hint="eastAsia" w:asciiTheme="majorEastAsia" w:hAnsiTheme="majorEastAsia" w:eastAsiaTheme="majorEastAsia" w:cstheme="majorEastAsia"/>
          <w:b/>
          <w:color w:val="auto"/>
          <w:sz w:val="24"/>
          <w:szCs w:val="24"/>
          <w:highlight w:val="none"/>
        </w:rPr>
        <w:t>注释：投标文件电子文档需要投标人单位盖章的材料，投标人加盖电子印章即可，不得将投标人未对电子文档加盖实物印章作为否决投标的情形。</w:t>
      </w:r>
    </w:p>
    <w:p w14:paraId="7D8DB3E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highlight w:val="none"/>
        </w:rPr>
        <w:t xml:space="preserve">照交易平台关于全流程电子化项目的相关指南进行编制，详见：。               </w:t>
      </w:r>
    </w:p>
    <w:p w14:paraId="34D47C19">
      <w:pPr>
        <w:pStyle w:val="5"/>
        <w:spacing w:after="0" w:line="360" w:lineRule="auto"/>
        <w:ind w:firstLine="0"/>
        <w:rPr>
          <w:rFonts w:ascii="宋体" w:hAnsi="宋体" w:cs="宋体"/>
          <w:color w:val="auto"/>
          <w:sz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14:paraId="4DA63C24">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13．投标报价及造价承包和变更结算方式</w:t>
      </w:r>
    </w:p>
    <w:p w14:paraId="65AA1F8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13.1 本工程的投标报价采用投标须知前附表第12项所规定的方式。投标报价（含单价及总价）精确到“分”。</w:t>
      </w:r>
    </w:p>
    <w:p w14:paraId="259F9A5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8693FE4">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649360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79896B1">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911842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13.5.1中标的投标文件工程量清单中已有相同项目的适用综合单价，则沿用；</w:t>
      </w:r>
    </w:p>
    <w:p w14:paraId="7EF7D7C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0F31A93">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cs="宋体"/>
          <w:color w:val="auto"/>
          <w:sz w:val="24"/>
          <w:szCs w:val="24"/>
          <w:highlight w:val="none"/>
        </w:rPr>
        <w:t>相对于最高投标限价的下</w:t>
      </w:r>
      <w:r>
        <w:rPr>
          <w:rFonts w:hint="eastAsia" w:ascii="宋体" w:hAnsi="宋体" w:cs="宋体"/>
          <w:color w:val="auto"/>
          <w:sz w:val="24"/>
          <w:highlight w:val="none"/>
        </w:rPr>
        <w:t>浮率（下浮率=(</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-中标价)/</w:t>
      </w:r>
      <w:r>
        <w:rPr>
          <w:rFonts w:hint="eastAsia" w:ascii="宋体" w:hAnsi="宋体" w:cs="宋体"/>
          <w:color w:val="auto"/>
          <w:sz w:val="24"/>
          <w:szCs w:val="24"/>
          <w:highlight w:val="none"/>
        </w:rPr>
        <w:t>最高投标限价</w:t>
      </w:r>
      <w:r>
        <w:rPr>
          <w:rFonts w:hint="eastAsia" w:ascii="宋体" w:hAnsi="宋体" w:cs="宋体"/>
          <w:color w:val="auto"/>
          <w:sz w:val="24"/>
          <w:highlight w:val="none"/>
        </w:rPr>
        <w:t>）。</w:t>
      </w:r>
    </w:p>
    <w:p w14:paraId="7CD209F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13.5.4 如相关定额没有相应子目的，其计价方式由招标人在本招标文件第三章中另行规定。未规定的，中标后双方协商约定。</w:t>
      </w:r>
    </w:p>
    <w:p w14:paraId="2AE0749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13.6暂列金额、暂估价</w:t>
      </w:r>
    </w:p>
    <w:p w14:paraId="529FC45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FCCE9C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暂估价是指招标人在工程量清单中提供的用于支付必然发生但暂时不能确定价格的材料的单价以及专业工程的金额。</w:t>
      </w:r>
    </w:p>
    <w:p w14:paraId="55F2709B">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2493FE83">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C2B3BFF">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D5B5BC3">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FB957C8">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4860A6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7849E9E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435F8508">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13.9</w:t>
      </w:r>
      <w:r>
        <w:rPr>
          <w:rFonts w:hint="eastAsia" w:ascii="宋体" w:hAnsi="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73B8B144">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14．投标货币</w:t>
      </w:r>
    </w:p>
    <w:p w14:paraId="5E98592C">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本工程投标报价采用的币种为人民币。</w:t>
      </w:r>
    </w:p>
    <w:p w14:paraId="36C9DE1C">
      <w:pPr>
        <w:pStyle w:val="5"/>
        <w:spacing w:after="0"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15．投标有效期</w:t>
      </w:r>
    </w:p>
    <w:p w14:paraId="3877166D">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 投标有效期见投标须知前附表第13项所规定的期限，在此期限内，凡符合本招标文件要求的投标文件均保持有效。</w:t>
      </w:r>
    </w:p>
    <w:p w14:paraId="611A94B0">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40027066">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16．投标保证金</w:t>
      </w:r>
    </w:p>
    <w:p w14:paraId="52520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16.1投标人应按投标须知前附表第14项所述金额和时间递交</w:t>
      </w:r>
      <w:r>
        <w:rPr>
          <w:rFonts w:hint="eastAsia" w:ascii="宋体" w:hAnsi="宋体" w:cs="宋体"/>
          <w:bCs/>
          <w:color w:val="auto"/>
          <w:sz w:val="24"/>
          <w:highlight w:val="none"/>
        </w:rPr>
        <w:t>投标保证金</w:t>
      </w:r>
      <w:r>
        <w:rPr>
          <w:rFonts w:hint="eastAsia" w:ascii="宋体" w:hAnsi="宋体" w:cs="宋体"/>
          <w:color w:val="auto"/>
          <w:sz w:val="24"/>
          <w:highlight w:val="none"/>
        </w:rPr>
        <w:t>。招标人应当允许投标人自主选择现金、银行保函、保证保险、专业工程担保公司担保等方式缴纳投标保证金。</w:t>
      </w:r>
    </w:p>
    <w:p w14:paraId="7DB08B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16.1.1 采用现金或者支票形式提交的，投标保证金须从投标人的银行基本账户转出。</w:t>
      </w:r>
    </w:p>
    <w:p w14:paraId="65C89D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FF30F3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16.1.3 采用电子形式的保函、担保或保证保险提交投标保证金的，应在招标文件中明确电子递交途径。</w:t>
      </w:r>
    </w:p>
    <w:p w14:paraId="2CF4B8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DCCEC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16.3投标保证金应依据法律法规的相关规定退还。</w:t>
      </w:r>
    </w:p>
    <w:p w14:paraId="190CB2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16.4如有下列情况之一的，招标人可以不予退还投标保证金（是否退还投标保证金由招标人在招标文件中规定）：</w:t>
      </w:r>
    </w:p>
    <w:p w14:paraId="7301D0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16.4.1因投标人原因造成投标文件未解密的；</w:t>
      </w:r>
    </w:p>
    <w:p w14:paraId="2928D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16.4.2投标人在投标有效期内撤销投标文件；</w:t>
      </w:r>
    </w:p>
    <w:p w14:paraId="503BE8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16.4.3中标人未能在规定期限内按要求提交履约担保；</w:t>
      </w:r>
    </w:p>
    <w:p w14:paraId="79C147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16.4.4中标人未能在规定期限内签署合同协议。</w:t>
      </w:r>
    </w:p>
    <w:p w14:paraId="539AC04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16.5投标人如存在下列情况之一的，将被拒绝在一定时期内参与招标人后续工程投标（拒绝时限需在招标文件中明确）：</w:t>
      </w:r>
    </w:p>
    <w:p w14:paraId="4FB97A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16.5.1投标人存在16.4条款所列情形且投标人提交的保函、担保或保证保险无法兑付的；</w:t>
      </w:r>
    </w:p>
    <w:p w14:paraId="2FE363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16.5.2采用非电子形式提交投标保证金的投标人存在16.4条款所列情形，且未按招标人要求补交银行保函、专业工程担保公司担保或保证保险原件的；</w:t>
      </w:r>
    </w:p>
    <w:p w14:paraId="7E37A9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16.5.3按招标文件要求免于提供投标保证金的投标人存在16.4条款所列情形，且未按招标人要求补交投标保证金的；</w:t>
      </w:r>
    </w:p>
    <w:p w14:paraId="0DF6D3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16.5.3按招标文件要求免于提供投标保证金的投标人存在16.4条款所列情形的。</w:t>
      </w:r>
    </w:p>
    <w:p w14:paraId="4242A2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注：16.5.3款由招标人二选一，需在招标文件中明确。</w:t>
      </w:r>
    </w:p>
    <w:p w14:paraId="6A30E3D3">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17．投标文件的签署</w:t>
      </w:r>
    </w:p>
    <w:p w14:paraId="4B2002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14:paraId="5916590F">
      <w:pPr>
        <w:pStyle w:val="8"/>
        <w:spacing w:before="156" w:after="156"/>
        <w:rPr>
          <w:rFonts w:hAnsi="宋体" w:cs="宋体"/>
          <w:color w:val="auto"/>
          <w:highlight w:val="none"/>
        </w:rPr>
      </w:pPr>
      <w:bookmarkStart w:id="11" w:name="_Toc21525496"/>
      <w:bookmarkStart w:id="12" w:name="_Toc2272552"/>
      <w:r>
        <w:rPr>
          <w:rFonts w:hint="eastAsia" w:hAnsi="宋体" w:cs="宋体"/>
          <w:color w:val="auto"/>
          <w:highlight w:val="none"/>
        </w:rPr>
        <w:t>（四）投标文件的提交</w:t>
      </w:r>
      <w:bookmarkEnd w:id="11"/>
      <w:bookmarkEnd w:id="12"/>
    </w:p>
    <w:p w14:paraId="263FA6D1">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w:t>
      </w:r>
      <w:r>
        <w:rPr>
          <w:rFonts w:hint="eastAsia" w:ascii="宋体" w:hAnsi="宋体" w:cs="宋体"/>
          <w:b/>
          <w:color w:val="auto"/>
          <w:sz w:val="24"/>
          <w:szCs w:val="24"/>
          <w:highlight w:val="none"/>
        </w:rPr>
        <w:t>投标文件的密封和标记</w:t>
      </w:r>
    </w:p>
    <w:p w14:paraId="3D6D4142">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 。</w:t>
      </w:r>
    </w:p>
    <w:p w14:paraId="448F8EB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18.2未按要求加密的投标文件，</w:t>
      </w:r>
      <w:r>
        <w:rPr>
          <w:rFonts w:hint="eastAsia" w:ascii="宋体" w:hAnsi="宋体" w:cs="宋体"/>
          <w:color w:val="auto"/>
          <w:sz w:val="24"/>
          <w:szCs w:val="24"/>
          <w:highlight w:val="none"/>
        </w:rPr>
        <w:t>交易平台</w:t>
      </w:r>
      <w:r>
        <w:rPr>
          <w:rFonts w:hint="eastAsia" w:ascii="宋体" w:hAnsi="宋体" w:cs="宋体"/>
          <w:bCs/>
          <w:color w:val="auto"/>
          <w:sz w:val="24"/>
          <w:highlight w:val="none"/>
        </w:rPr>
        <w:t>将予以拒收。</w:t>
      </w:r>
    </w:p>
    <w:p w14:paraId="3FFFCA1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19．投标文件的递交和接收</w:t>
      </w:r>
    </w:p>
    <w:p w14:paraId="402C4116">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19.1投标人通过</w:t>
      </w:r>
      <w:r>
        <w:rPr>
          <w:rFonts w:hint="eastAsia" w:ascii="宋体" w:hAnsi="宋体" w:cs="宋体"/>
          <w:color w:val="auto"/>
          <w:sz w:val="24"/>
          <w:szCs w:val="24"/>
          <w:highlight w:val="none"/>
        </w:rPr>
        <w:t>交易平台</w:t>
      </w:r>
      <w:r>
        <w:rPr>
          <w:rFonts w:hint="eastAsia" w:ascii="宋体" w:hAnsi="宋体" w:cs="宋体"/>
          <w:color w:val="auto"/>
          <w:sz w:val="24"/>
          <w:highlight w:val="none"/>
        </w:rPr>
        <w:t>递交电子投标文件。</w:t>
      </w:r>
    </w:p>
    <w:p w14:paraId="5AAD374E">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19.2投标人完成电子</w:t>
      </w:r>
      <w:r>
        <w:rPr>
          <w:rFonts w:hint="eastAsia" w:ascii="宋体" w:hAnsi="宋体" w:cs="宋体"/>
          <w:color w:val="auto"/>
          <w:sz w:val="24"/>
          <w:highlight w:val="none"/>
        </w:rPr>
        <w:t>投标文件</w:t>
      </w:r>
      <w:r>
        <w:rPr>
          <w:rFonts w:hint="eastAsia" w:ascii="宋体" w:hAnsi="宋体" w:cs="宋体"/>
          <w:bCs/>
          <w:color w:val="auto"/>
          <w:sz w:val="24"/>
          <w:highlight w:val="none"/>
        </w:rPr>
        <w:t>上传后，</w:t>
      </w:r>
      <w:r>
        <w:rPr>
          <w:rFonts w:hint="eastAsia" w:ascii="宋体" w:hAnsi="宋体" w:cs="宋体"/>
          <w:color w:val="auto"/>
          <w:sz w:val="24"/>
          <w:szCs w:val="24"/>
          <w:highlight w:val="none"/>
        </w:rPr>
        <w:t>交易平台</w:t>
      </w:r>
      <w:r>
        <w:rPr>
          <w:rFonts w:hint="eastAsia" w:ascii="宋体" w:hAnsi="宋体" w:cs="宋体"/>
          <w:color w:val="auto"/>
          <w:sz w:val="24"/>
          <w:highlight w:val="none"/>
        </w:rPr>
        <w:t>即时向投标人发出递交回执通知。递交时间以递交回执通知载明的传输完成时间为准。</w:t>
      </w:r>
    </w:p>
    <w:p w14:paraId="5FD9B56B">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19.3</w:t>
      </w:r>
      <w:r>
        <w:rPr>
          <w:rFonts w:hint="eastAsia" w:ascii="宋体" w:hAnsi="宋体" w:cs="宋体"/>
          <w:bCs/>
          <w:color w:val="auto"/>
          <w:sz w:val="24"/>
          <w:szCs w:val="24"/>
          <w:highlight w:val="none"/>
        </w:rPr>
        <w:t>逾期送达的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6EF6F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w:t>
      </w:r>
      <w:r>
        <w:rPr>
          <w:rFonts w:hint="eastAsia" w:ascii="宋体" w:hAnsi="宋体" w:cs="宋体"/>
          <w:color w:val="auto"/>
          <w:sz w:val="24"/>
          <w:szCs w:val="24"/>
          <w:highlight w:val="none"/>
        </w:rPr>
        <w:t>投标截止前，招标人拒绝接收符合条件的投标文件，投标人可向招标投标监督机构投诉。</w:t>
      </w:r>
    </w:p>
    <w:p w14:paraId="65037D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19.5如技术标和经济标先后分别开启，</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将按招标文件规定的时间分别开启技术标和经济标。</w:t>
      </w:r>
    </w:p>
    <w:p w14:paraId="6D0EAB05">
      <w:pPr>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hint="eastAsia" w:ascii="宋体" w:hAnsi="宋体" w:cs="宋体"/>
          <w:color w:val="auto"/>
          <w:sz w:val="24"/>
          <w:highlight w:val="none"/>
        </w:rPr>
        <w:t>该投标文件将不能参与资格审查和评标</w:t>
      </w:r>
      <w:r>
        <w:rPr>
          <w:rFonts w:hint="eastAsia" w:ascii="宋体" w:hAnsi="宋体" w:cs="宋体"/>
          <w:color w:val="auto"/>
          <w:sz w:val="24"/>
          <w:szCs w:val="24"/>
          <w:highlight w:val="none"/>
        </w:rPr>
        <w:t>（选择性条款）。</w:t>
      </w:r>
    </w:p>
    <w:p w14:paraId="7B757D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20．投标文件提交的截止时间</w:t>
      </w:r>
    </w:p>
    <w:p w14:paraId="4E0C2B2E">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20.1投标人应在投标须知前附表第17项所述的时间前提交投标文件。</w:t>
      </w:r>
    </w:p>
    <w:p w14:paraId="04EF9D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18094C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 到投标截止时间止，招标人收到的投标文件少于3家的，招标人将重新组织招标</w:t>
      </w:r>
      <w:r>
        <w:rPr>
          <w:rFonts w:hint="eastAsia" w:ascii="宋体" w:hAnsi="宋体" w:cs="宋体"/>
          <w:color w:val="auto"/>
          <w:sz w:val="24"/>
          <w:szCs w:val="24"/>
          <w:highlight w:val="none"/>
        </w:rPr>
        <w:t>（当N个标段同时招标且不允许兼中时，若有效投标人不足N+2家，则重新组织招标）</w:t>
      </w:r>
      <w:r>
        <w:rPr>
          <w:rFonts w:hint="eastAsia" w:ascii="宋体" w:hAnsi="宋体" w:cs="宋体"/>
          <w:color w:val="auto"/>
          <w:sz w:val="24"/>
          <w:highlight w:val="none"/>
        </w:rPr>
        <w:t>。</w:t>
      </w:r>
    </w:p>
    <w:p w14:paraId="4F1240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21．迟交的投标文件</w:t>
      </w:r>
    </w:p>
    <w:p w14:paraId="42AABC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本须知前附表第17项规定的投标截止时间</w:t>
      </w:r>
      <w:r>
        <w:rPr>
          <w:rFonts w:hint="eastAsia" w:ascii="宋体" w:hAnsi="宋体" w:cs="宋体"/>
          <w:bCs/>
          <w:color w:val="auto"/>
          <w:sz w:val="24"/>
          <w:szCs w:val="24"/>
          <w:highlight w:val="none"/>
        </w:rPr>
        <w:t>后送达的</w:t>
      </w:r>
      <w:r>
        <w:rPr>
          <w:rFonts w:hint="eastAsia" w:ascii="宋体" w:hAnsi="宋体" w:cs="宋体"/>
          <w:bCs/>
          <w:color w:val="auto"/>
          <w:sz w:val="24"/>
          <w:highlight w:val="none"/>
        </w:rPr>
        <w:t>电子投标文件，</w:t>
      </w:r>
      <w:r>
        <w:rPr>
          <w:rFonts w:hint="eastAsia" w:ascii="宋体" w:hAnsi="宋体" w:cs="宋体"/>
          <w:color w:val="auto"/>
          <w:sz w:val="24"/>
          <w:szCs w:val="24"/>
          <w:highlight w:val="none"/>
        </w:rPr>
        <w:t>交易平台</w:t>
      </w:r>
      <w:r>
        <w:rPr>
          <w:rFonts w:hint="eastAsia" w:ascii="宋体" w:hAnsi="宋体" w:cs="宋体"/>
          <w:color w:val="auto"/>
          <w:sz w:val="24"/>
          <w:highlight w:val="none"/>
        </w:rPr>
        <w:t>将予以拒收。</w:t>
      </w:r>
    </w:p>
    <w:p w14:paraId="4D77B51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22．投标文件的修改与撤回</w:t>
      </w:r>
    </w:p>
    <w:p w14:paraId="211347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22.1在规定的投标截止时间前，投标人可以修改或撤回已递交的投标文件，但应以书面形式通知招标人。</w:t>
      </w:r>
    </w:p>
    <w:p w14:paraId="7E8061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w:t>
      </w:r>
      <w:r>
        <w:rPr>
          <w:rFonts w:hint="eastAsia" w:ascii="宋体" w:hAnsi="宋体" w:cs="宋体"/>
          <w:color w:val="auto"/>
          <w:sz w:val="24"/>
          <w:highlight w:val="none"/>
        </w:rPr>
        <w:t>交易平台发出修改或撤回</w:t>
      </w:r>
      <w:r>
        <w:rPr>
          <w:rFonts w:hint="eastAsia" w:ascii="宋体" w:hAnsi="宋体" w:cs="宋体"/>
          <w:color w:val="auto"/>
          <w:sz w:val="24"/>
          <w:szCs w:val="24"/>
          <w:highlight w:val="none"/>
        </w:rPr>
        <w:t>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14:paraId="7E02031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14:paraId="1540AE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22.4在投标截止时间之后，投标人不得补充、修改和更换投标文件。</w:t>
      </w:r>
    </w:p>
    <w:p w14:paraId="6E06D14C">
      <w:pPr>
        <w:pStyle w:val="8"/>
        <w:spacing w:before="156" w:after="156"/>
        <w:rPr>
          <w:rFonts w:hAnsi="宋体" w:cs="宋体"/>
          <w:color w:val="auto"/>
          <w:highlight w:val="none"/>
        </w:rPr>
      </w:pPr>
      <w:bookmarkStart w:id="13" w:name="_Toc21525497"/>
      <w:bookmarkStart w:id="14" w:name="_Toc2272553"/>
      <w:r>
        <w:rPr>
          <w:rFonts w:hint="eastAsia" w:hAnsi="宋体" w:cs="宋体"/>
          <w:color w:val="auto"/>
          <w:highlight w:val="none"/>
        </w:rPr>
        <w:t>（五）开标、评标、定标及合同签定</w:t>
      </w:r>
      <w:bookmarkEnd w:id="13"/>
      <w:bookmarkEnd w:id="14"/>
    </w:p>
    <w:p w14:paraId="14B359F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23、开标。</w:t>
      </w:r>
    </w:p>
    <w:p w14:paraId="50E3BD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详见第二章开标、评标及定标办法</w:t>
      </w:r>
    </w:p>
    <w:p w14:paraId="307934B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24．评标过程的保密</w:t>
      </w:r>
    </w:p>
    <w:p w14:paraId="521C5F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 开标后，直至中标公示为止，凡属于对投标文件的审查、澄清、评价和比较有关的资料以及中标候选人的推荐情况，与评标有关的其他任何情况均严格保密。</w:t>
      </w:r>
    </w:p>
    <w:p w14:paraId="7168D9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14:paraId="031579B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25．投标文件的澄清，计算错误的修正</w:t>
      </w:r>
    </w:p>
    <w:p w14:paraId="0B5F4F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详见招标文件第二章开标、评标及定标办法</w:t>
      </w:r>
    </w:p>
    <w:p w14:paraId="3DA8339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26．投标文件的评审、比较和否决</w:t>
      </w:r>
    </w:p>
    <w:p w14:paraId="03DC7F54">
      <w:pPr>
        <w:spacing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highlight w:val="none"/>
        </w:rPr>
        <w:t>详见招标文件第二章开标、评标及定标办法。</w:t>
      </w:r>
    </w:p>
    <w:p w14:paraId="5CCD26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27．中标通知书</w:t>
      </w:r>
    </w:p>
    <w:p w14:paraId="2BA262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27.1招标人将在</w:t>
      </w:r>
      <w:r>
        <w:rPr>
          <w:rFonts w:hint="eastAsia" w:ascii="宋体" w:hAnsi="宋体" w:cs="宋体"/>
          <w:color w:val="auto"/>
          <w:sz w:val="24"/>
          <w:szCs w:val="24"/>
          <w:highlight w:val="none"/>
        </w:rPr>
        <w:t>交易平台</w:t>
      </w:r>
      <w:r>
        <w:rPr>
          <w:rFonts w:hint="eastAsia" w:ascii="宋体" w:hAnsi="宋体" w:cs="宋体"/>
          <w:color w:val="auto"/>
          <w:sz w:val="24"/>
          <w:highlight w:val="none"/>
        </w:rPr>
        <w:t>、广东省招标投标监管网和中国招标投标公共服务平台公示中标候选人，公示期为三天。</w:t>
      </w:r>
    </w:p>
    <w:p w14:paraId="708215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27.2招标人应当自确定中标人后，向招标投标监管机构提交招标投标情况的书面报告；经招投标监管机构备案后，方可发出中标通知书。</w:t>
      </w:r>
    </w:p>
    <w:p w14:paraId="4F907A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27.3中标人必须在收到中标通知书后24小时之内以书面形式回复招标人，确认收到。</w:t>
      </w:r>
    </w:p>
    <w:p w14:paraId="5F1FAE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27.4在产生中标候选人后，招标人将中标候选人的投标文件商务部分文件的所有内容（包括报价清单、人员、业绩、奖项等资料）在</w:t>
      </w:r>
      <w:r>
        <w:rPr>
          <w:rFonts w:hint="eastAsia" w:ascii="宋体" w:hAnsi="宋体" w:cs="宋体"/>
          <w:color w:val="auto"/>
          <w:sz w:val="24"/>
          <w:szCs w:val="24"/>
          <w:highlight w:val="none"/>
        </w:rPr>
        <w:t>交易平台和广东省招标投标监管网</w:t>
      </w:r>
      <w:r>
        <w:rPr>
          <w:rFonts w:hint="eastAsia" w:ascii="宋体" w:hAnsi="宋体" w:cs="宋体"/>
          <w:color w:val="auto"/>
          <w:sz w:val="24"/>
          <w:highlight w:val="none"/>
        </w:rPr>
        <w:t>公开。</w:t>
      </w:r>
    </w:p>
    <w:p w14:paraId="02B2105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28．合同协议书的签订</w:t>
      </w:r>
    </w:p>
    <w:p w14:paraId="42B042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14:paraId="5665DCA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52FC1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28.3非经招标人同意，中标人在投标过程中使用的银行名称</w:t>
      </w:r>
      <w:r>
        <w:rPr>
          <w:rFonts w:hint="eastAsia" w:ascii="宋体" w:hAnsi="宋体" w:cs="宋体"/>
          <w:color w:val="auto"/>
          <w:sz w:val="24"/>
          <w:highlight w:val="none"/>
          <w:lang w:eastAsia="zh-CN"/>
        </w:rPr>
        <w:t>及账号</w:t>
      </w:r>
      <w:r>
        <w:rPr>
          <w:rFonts w:hint="eastAsia" w:ascii="宋体" w:hAnsi="宋体" w:cs="宋体"/>
          <w:color w:val="auto"/>
          <w:sz w:val="24"/>
          <w:highlight w:val="none"/>
        </w:rPr>
        <w:t>至完成竣工结算不得变更，否则招标人有权停止工程款项的</w:t>
      </w:r>
      <w:r>
        <w:rPr>
          <w:rFonts w:hint="eastAsia" w:ascii="宋体" w:hAnsi="宋体" w:cs="宋体"/>
          <w:color w:val="auto"/>
          <w:sz w:val="24"/>
          <w:highlight w:val="none"/>
          <w:lang w:eastAsia="zh-CN"/>
        </w:rPr>
        <w:t>拨付</w:t>
      </w:r>
      <w:r>
        <w:rPr>
          <w:rFonts w:hint="eastAsia" w:ascii="宋体" w:hAnsi="宋体" w:cs="宋体"/>
          <w:color w:val="auto"/>
          <w:sz w:val="24"/>
          <w:highlight w:val="none"/>
        </w:rPr>
        <w:t>及至解除合同，由此造成的一切责任由中标人承担。</w:t>
      </w:r>
    </w:p>
    <w:p w14:paraId="4C3629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w:t>
      </w:r>
      <w:r>
        <w:rPr>
          <w:rFonts w:hint="eastAsia" w:ascii="宋体" w:hAnsi="宋体" w:eastAsia="宋体" w:cs="宋体"/>
          <w:b w:val="0"/>
          <w:bCs w:val="0"/>
          <w:color w:val="auto"/>
          <w:kern w:val="2"/>
          <w:sz w:val="24"/>
          <w:szCs w:val="22"/>
          <w:highlight w:val="none"/>
        </w:rPr>
        <w:t>工程进度款支付应不低于已完成工程价款的80%，</w:t>
      </w:r>
      <w:r>
        <w:rPr>
          <w:rFonts w:hint="eastAsia" w:ascii="宋体" w:hAnsi="宋体" w:eastAsia="宋体" w:cs="宋体"/>
          <w:color w:val="auto"/>
          <w:kern w:val="2"/>
          <w:sz w:val="24"/>
          <w:szCs w:val="22"/>
          <w:highlight w:val="none"/>
        </w:rPr>
        <w:t>招标人支付工程款时，中标人应按规定开具发票。</w:t>
      </w:r>
      <w:r>
        <w:rPr>
          <w:rFonts w:hint="eastAsia" w:ascii="宋体" w:hAnsi="宋体" w:eastAsia="宋体" w:cs="宋体"/>
          <w:b w:val="0"/>
          <w:color w:val="auto"/>
          <w:kern w:val="2"/>
          <w:sz w:val="24"/>
          <w:szCs w:val="22"/>
          <w:highlight w:val="none"/>
        </w:rPr>
        <w:t>质量保证金不超过工程价款总额3%。</w:t>
      </w:r>
      <w:r>
        <w:rPr>
          <w:rFonts w:hint="eastAsia" w:ascii="宋体" w:hAnsi="宋体" w:eastAsia="宋体" w:cs="宋体"/>
          <w:b w:val="0"/>
          <w:bCs w:val="0"/>
          <w:color w:val="auto"/>
          <w:kern w:val="2"/>
          <w:sz w:val="24"/>
          <w:szCs w:val="22"/>
          <w:highlight w:val="none"/>
        </w:rPr>
        <w:t>当年开工、当年不能竣工的新开工项目可以采用过程结算。</w:t>
      </w:r>
      <w:r>
        <w:rPr>
          <w:rFonts w:hint="eastAsia" w:ascii="宋体" w:hAnsi="宋体" w:cs="宋体"/>
          <w:color w:val="auto"/>
          <w:sz w:val="24"/>
          <w:highlight w:val="none"/>
        </w:rPr>
        <w:t>。</w:t>
      </w:r>
    </w:p>
    <w:p w14:paraId="27ED40A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29．履约担保</w:t>
      </w:r>
    </w:p>
    <w:p w14:paraId="5C33CA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29.1 在收到中标通知书后的</w:t>
      </w:r>
      <w:r>
        <w:rPr>
          <w:rFonts w:hint="eastAsia" w:ascii="宋体" w:hAnsi="宋体" w:cs="宋体"/>
          <w:b/>
          <w:color w:val="auto"/>
          <w:sz w:val="24"/>
          <w:highlight w:val="none"/>
        </w:rPr>
        <w:t>15日</w:t>
      </w:r>
      <w:r>
        <w:rPr>
          <w:rFonts w:hint="eastAsia" w:ascii="宋体" w:hAnsi="宋体" w:cs="宋体"/>
          <w:color w:val="auto"/>
          <w:sz w:val="24"/>
          <w:highlight w:val="none"/>
        </w:rPr>
        <w:t>内，中标人应按本须知前附表第20项的规定向招标人提交履约担保。</w:t>
      </w:r>
    </w:p>
    <w:p w14:paraId="7E20190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186A6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30．合同生效</w:t>
      </w:r>
    </w:p>
    <w:p w14:paraId="60A87B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30.1在合同双方全权代表在合同协议书上签字，并分别加盖双方单位的公章后，合同正式生效。</w:t>
      </w:r>
    </w:p>
    <w:p w14:paraId="0615640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31．其它费用</w:t>
      </w:r>
    </w:p>
    <w:p w14:paraId="7315BFBF">
      <w:pPr>
        <w:pStyle w:val="5"/>
        <w:spacing w:after="0"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32．腐败与欺诈行为</w:t>
      </w:r>
    </w:p>
    <w:p w14:paraId="48C132C4">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在招标和合同实施期间，招标人要求投标人和承包人遵守最高的道德标准。</w:t>
      </w:r>
    </w:p>
    <w:p w14:paraId="42B82E74">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32．1对本条款的规定，特定义如下词汇：</w:t>
      </w:r>
    </w:p>
    <w:p w14:paraId="543C4155">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1）、“腐败行为”是指在招标或合同执行期间，通过提供、给予、接受或索要任何有价值的东西，从而影响招标人有关人员工作的行为；</w:t>
      </w:r>
    </w:p>
    <w:p w14:paraId="4C83B639">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7891F32">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32．2如果投标人被认定在本招标的竞争中有腐败或欺诈行为，则会被取消投标资格。</w:t>
      </w:r>
    </w:p>
    <w:p w14:paraId="07B07D60">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6F59FB36">
      <w:pPr>
        <w:spacing w:line="480" w:lineRule="auto"/>
        <w:ind w:firstLine="540" w:firstLineChars="224"/>
        <w:rPr>
          <w:rFonts w:ascii="宋体" w:hAnsi="宋体" w:cs="宋体"/>
          <w:b/>
          <w:color w:val="auto"/>
          <w:sz w:val="24"/>
          <w:highlight w:val="none"/>
        </w:rPr>
      </w:pPr>
      <w:r>
        <w:rPr>
          <w:rFonts w:hint="eastAsia" w:ascii="宋体" w:hAnsi="宋体" w:cs="宋体"/>
          <w:b/>
          <w:color w:val="auto"/>
          <w:sz w:val="24"/>
          <w:highlight w:val="none"/>
        </w:rPr>
        <w:t>33. 投标人信誉的要求</w:t>
      </w:r>
    </w:p>
    <w:p w14:paraId="4D907D95">
      <w:pPr>
        <w:spacing w:line="480" w:lineRule="auto"/>
        <w:ind w:firstLine="537" w:firstLineChars="224"/>
        <w:rPr>
          <w:rFonts w:ascii="宋体" w:hAnsi="宋体" w:cs="宋体"/>
          <w:color w:val="auto"/>
          <w:sz w:val="24"/>
          <w:highlight w:val="none"/>
          <w:shd w:val="clear" w:color="FFFFFF" w:fill="D9D9D9"/>
        </w:rPr>
      </w:pPr>
      <w:r>
        <w:rPr>
          <w:rFonts w:hint="eastAsia" w:ascii="宋体" w:hAnsi="宋体" w:cs="宋体"/>
          <w:color w:val="auto"/>
          <w:sz w:val="24"/>
          <w:highlight w:val="none"/>
        </w:rPr>
        <w:t>存在下列情形之一的，招标人可以限制其投标（需在招标文件中明确评定方法）</w:t>
      </w:r>
    </w:p>
    <w:p w14:paraId="5E7A229F">
      <w:pPr>
        <w:spacing w:line="480" w:lineRule="auto"/>
        <w:ind w:firstLine="537" w:firstLineChars="224"/>
        <w:rPr>
          <w:rFonts w:ascii="宋体" w:hAnsi="宋体" w:cs="宋体"/>
          <w:color w:val="auto"/>
          <w:sz w:val="24"/>
          <w:highlight w:val="none"/>
        </w:rPr>
      </w:pPr>
      <w:r>
        <w:rPr>
          <w:rFonts w:hint="eastAsia" w:ascii="宋体" w:hAnsi="宋体" w:cs="宋体"/>
          <w:color w:val="auto"/>
          <w:sz w:val="24"/>
          <w:highlight w:val="none"/>
        </w:rPr>
        <w:t>（1）被住房城乡建设行政主管部门在全国建筑市场监管一体化工作平台列入建筑市场主体“黑名单”；</w:t>
      </w:r>
    </w:p>
    <w:p w14:paraId="587665A7">
      <w:pPr>
        <w:pStyle w:val="5"/>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（2）被发改委、人力资源社会保障、质检总局等有关部门、单位在“信用中国”网站中列入联合惩戒失信黑名单。</w:t>
      </w:r>
    </w:p>
    <w:bookmarkEnd w:id="6"/>
    <w:p w14:paraId="11500780">
      <w:pPr>
        <w:pStyle w:val="3"/>
        <w:jc w:val="center"/>
        <w:rPr>
          <w:rFonts w:ascii="宋体" w:hAnsi="宋体" w:cs="宋体"/>
          <w:color w:val="auto"/>
          <w:highlight w:val="none"/>
        </w:rPr>
      </w:pPr>
      <w:r>
        <w:rPr>
          <w:rFonts w:hint="eastAsia" w:ascii="宋体" w:hAnsi="宋体" w:cs="宋体"/>
          <w:color w:val="auto"/>
          <w:sz w:val="24"/>
          <w:highlight w:val="none"/>
        </w:rPr>
        <w:br w:type="page"/>
      </w:r>
      <w:bookmarkStart w:id="15" w:name="_Toc286"/>
      <w:r>
        <w:rPr>
          <w:rFonts w:hint="eastAsia" w:ascii="宋体" w:hAnsi="宋体" w:cs="宋体"/>
          <w:color w:val="auto"/>
          <w:highlight w:val="none"/>
        </w:rPr>
        <w:t>第二章  开标、评标及定标办法</w:t>
      </w:r>
      <w:bookmarkEnd w:id="15"/>
    </w:p>
    <w:p w14:paraId="6E876405">
      <w:pPr>
        <w:pStyle w:val="7"/>
        <w:rPr>
          <w:rFonts w:ascii="宋体" w:hAnsi="宋体" w:cs="宋体"/>
          <w:color w:val="auto"/>
          <w:highlight w:val="none"/>
        </w:rPr>
      </w:pPr>
      <w:bookmarkStart w:id="16" w:name="_Toc20398"/>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16"/>
    </w:p>
    <w:p w14:paraId="6A9A21A8">
      <w:pPr>
        <w:pStyle w:val="5"/>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40FA8BA2">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36.1            </w:t>
      </w:r>
      <w:r>
        <w:rPr>
          <w:rFonts w:hint="eastAsia" w:ascii="宋体" w:hAnsi="宋体" w:cs="宋体"/>
          <w:b/>
          <w:color w:val="auto"/>
          <w:sz w:val="24"/>
          <w:szCs w:val="24"/>
          <w:highlight w:val="none"/>
        </w:rPr>
        <w:t>修改类型：修改</w:t>
      </w:r>
    </w:p>
    <w:p w14:paraId="6B0B5B22">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39569898">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2DECE862">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color w:val="auto"/>
          <w:sz w:val="24"/>
          <w:szCs w:val="24"/>
          <w:highlight w:val="none"/>
        </w:rPr>
        <w:t xml:space="preserve">36.3                </w:t>
      </w:r>
      <w:r>
        <w:rPr>
          <w:rFonts w:hint="eastAsia" w:ascii="宋体" w:hAnsi="宋体" w:cs="宋体"/>
          <w:b/>
          <w:color w:val="auto"/>
          <w:sz w:val="24"/>
          <w:szCs w:val="24"/>
          <w:highlight w:val="none"/>
        </w:rPr>
        <w:t>修改类型：删除</w:t>
      </w:r>
    </w:p>
    <w:p w14:paraId="5012DFC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1ED2D3D">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条款号：36.4                修改类型：修改</w:t>
      </w:r>
    </w:p>
    <w:p w14:paraId="73739DEE">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36.4若递交投标文件的投标人不足3家，则重新组织招标。（当N个标段同时招标且不允许兼中时，若有效投标人不足N+2家，则重新组织招标）。</w:t>
      </w:r>
    </w:p>
    <w:p w14:paraId="5CA91190">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36.4若递交投标文件的投标人不足3家，则重新组织招标。</w:t>
      </w:r>
    </w:p>
    <w:p w14:paraId="5BA1CEAF">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w:t>
      </w:r>
      <w:r>
        <w:rPr>
          <w:rFonts w:hint="eastAsia" w:ascii="宋体" w:hAnsi="宋体" w:cs="宋体"/>
          <w:bCs/>
          <w:color w:val="auto"/>
          <w:sz w:val="24"/>
          <w:szCs w:val="24"/>
          <w:highlight w:val="none"/>
        </w:rPr>
        <w:t xml:space="preserve">36.5.1              </w:t>
      </w:r>
      <w:r>
        <w:rPr>
          <w:rFonts w:hint="eastAsia" w:ascii="宋体" w:hAnsi="宋体" w:cs="宋体"/>
          <w:b/>
          <w:color w:val="auto"/>
          <w:sz w:val="24"/>
          <w:szCs w:val="24"/>
          <w:highlight w:val="none"/>
        </w:rPr>
        <w:t>修改类型：修改</w:t>
      </w:r>
    </w:p>
    <w:p w14:paraId="15CE8026">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2047194">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报价、工期及其他内容；</w:t>
      </w:r>
    </w:p>
    <w:p w14:paraId="25B4199B">
      <w:pPr>
        <w:pStyle w:val="35"/>
        <w:widowControl/>
        <w:spacing w:line="360" w:lineRule="auto"/>
        <w:ind w:firstLine="480"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条款号：39.3                   修改类型：修改</w:t>
      </w:r>
    </w:p>
    <w:p w14:paraId="28B0EA5E">
      <w:pPr>
        <w:widowControl/>
        <w:spacing w:line="360" w:lineRule="auto"/>
        <w:ind w:firstLine="472" w:firstLineChars="196"/>
        <w:jc w:val="left"/>
        <w:rPr>
          <w:rFonts w:ascii="宋体" w:hAnsi="宋体" w:cs="宋体"/>
          <w:color w:val="auto"/>
          <w:sz w:val="24"/>
          <w:szCs w:val="24"/>
          <w:highlight w:val="none"/>
          <w:shd w:val="clear" w:color="auto" w:fill="FFFFFF"/>
        </w:rPr>
      </w:pPr>
      <w:r>
        <w:rPr>
          <w:rFonts w:hint="eastAsia" w:ascii="宋体" w:hAnsi="宋体" w:cs="宋体"/>
          <w:b/>
          <w:color w:val="auto"/>
          <w:kern w:val="0"/>
          <w:sz w:val="24"/>
          <w:szCs w:val="24"/>
          <w:highlight w:val="none"/>
          <w:shd w:val="clear" w:color="auto" w:fill="FFFFFF"/>
        </w:rPr>
        <w:t>原文：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0B352A52">
      <w:pPr>
        <w:pBdr>
          <w:bottom w:val="single" w:color="auto" w:sz="6" w:space="1"/>
        </w:pBdr>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shd w:val="clear" w:color="auto" w:fill="FFFFFF"/>
        </w:rPr>
        <w:t>现文：</w:t>
      </w:r>
      <w:r>
        <w:rPr>
          <w:rFonts w:hint="eastAsia" w:ascii="宋体" w:hAnsi="宋体" w:cs="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 w:val="24"/>
          <w:szCs w:val="24"/>
          <w:highlight w:val="none"/>
          <w:u w:val="single"/>
          <w:shd w:val="clear" w:color="auto" w:fill="FFFFFF"/>
        </w:rPr>
        <w:t>或经核查发现委派的项目负责人已在其他在建项目中担任施工单位项目负责人的，</w:t>
      </w:r>
      <w:r>
        <w:rPr>
          <w:rFonts w:hint="eastAsia" w:ascii="宋体" w:hAnsi="宋体" w:cs="宋体"/>
          <w:color w:val="auto"/>
          <w:sz w:val="24"/>
          <w:szCs w:val="24"/>
          <w:highlight w:val="none"/>
          <w:u w:val="single"/>
        </w:rPr>
        <w:t>或因中标候选人原因在</w:t>
      </w:r>
      <w:r>
        <w:rPr>
          <w:rFonts w:hint="eastAsia" w:ascii="宋体" w:hAnsi="宋体" w:cs="宋体"/>
          <w:color w:val="auto"/>
          <w:sz w:val="24"/>
          <w:szCs w:val="24"/>
          <w:highlight w:val="none"/>
          <w:u w:val="single"/>
          <w:lang w:val="en-US" w:eastAsia="zh-CN"/>
        </w:rPr>
        <w:t>发出中标通知书后30日历天</w:t>
      </w:r>
      <w:r>
        <w:rPr>
          <w:rFonts w:hint="eastAsia" w:ascii="宋体" w:hAnsi="宋体" w:cs="宋体"/>
          <w:color w:val="auto"/>
          <w:sz w:val="24"/>
          <w:szCs w:val="24"/>
          <w:highlight w:val="none"/>
          <w:u w:val="single"/>
        </w:rPr>
        <w:t>内未与招标人完成合同签署的，招标人可以重新招标，也可以确定排名第二的中标候选人为中标人，如第二中标候选人出现前款所列的情形的，招标人也可以确定排名第三的中标候选人为中标人，如所有中标候选人均出现前款所列的情形，为招标失败，招标人依法重新招标。</w:t>
      </w:r>
    </w:p>
    <w:p w14:paraId="6CA730D3">
      <w:pPr>
        <w:pStyle w:val="35"/>
        <w:widowControl/>
        <w:spacing w:line="360" w:lineRule="auto"/>
        <w:ind w:firstLine="480" w:firstLineChars="20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条款号：（二）开标评标办法程序和细则      修改类型：删除</w:t>
      </w:r>
    </w:p>
    <w:p w14:paraId="147D258B">
      <w:pPr>
        <w:pBdr>
          <w:bottom w:val="single" w:color="auto" w:sz="6" w:space="1"/>
        </w:pBdr>
        <w:spacing w:line="360" w:lineRule="auto"/>
        <w:ind w:firstLine="482" w:firstLineChars="200"/>
        <w:rPr>
          <w:rFonts w:ascii="宋体" w:hAnsi="宋体" w:cs="宋体"/>
          <w:b/>
          <w:color w:val="auto"/>
          <w:sz w:val="24"/>
          <w:szCs w:val="24"/>
          <w:highlight w:val="none"/>
        </w:rPr>
      </w:pPr>
      <w:r>
        <w:rPr>
          <w:rFonts w:hint="eastAsia" w:ascii="宋体" w:hAnsi="宋体" w:cs="宋体"/>
          <w:b/>
          <w:bCs/>
          <w:color w:val="auto"/>
          <w:sz w:val="24"/>
          <w:szCs w:val="24"/>
          <w:highlight w:val="none"/>
          <w:shd w:val="clear" w:color="auto" w:fill="FFFFFF"/>
        </w:rPr>
        <w:t>原文：</w:t>
      </w:r>
      <w:r>
        <w:rPr>
          <w:rFonts w:hint="eastAsia" w:ascii="宋体" w:hAnsi="宋体" w:cs="宋体"/>
          <w:color w:val="auto"/>
          <w:sz w:val="24"/>
          <w:szCs w:val="24"/>
          <w:highlight w:val="none"/>
          <w:shd w:val="clear" w:color="auto" w:fill="FFFFFF"/>
        </w:rPr>
        <w:t>注：以下八种评标办法所述企业综合诚信评价分数即投标截止当日广州市住房和城乡建设局网站上公布的企业综合诚信评价60日诚信分。</w:t>
      </w:r>
    </w:p>
    <w:p w14:paraId="6BB11132">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 评标办法        修改类型：删除</w:t>
      </w:r>
    </w:p>
    <w:p w14:paraId="3DF3E081">
      <w:pPr>
        <w:pBdr>
          <w:bottom w:val="single" w:color="auto" w:sz="6" w:space="1"/>
        </w:pBdr>
        <w:spacing w:line="360" w:lineRule="auto"/>
        <w:ind w:firstLine="602" w:firstLineChars="250"/>
        <w:rPr>
          <w:rStyle w:val="47"/>
          <w:rFonts w:ascii="宋体" w:hAnsi="宋体" w:cs="宋体"/>
          <w:color w:val="auto"/>
          <w:sz w:val="24"/>
          <w:szCs w:val="24"/>
          <w:highlight w:val="none"/>
        </w:rPr>
      </w:pPr>
      <w:r>
        <w:rPr>
          <w:rFonts w:hint="eastAsia" w:ascii="宋体" w:hAnsi="宋体" w:cs="宋体"/>
          <w:b/>
          <w:color w:val="auto"/>
          <w:sz w:val="24"/>
          <w:szCs w:val="24"/>
          <w:highlight w:val="none"/>
        </w:rPr>
        <w:t>原文：</w:t>
      </w:r>
      <w:r>
        <w:rPr>
          <w:rStyle w:val="47"/>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7"/>
          <w:rFonts w:hint="eastAsia" w:ascii="宋体" w:hAnsi="宋体" w:cs="宋体"/>
          <w:color w:val="auto"/>
          <w:sz w:val="24"/>
          <w:szCs w:val="24"/>
          <w:highlight w:val="none"/>
        </w:rPr>
        <w:t>一（适合</w:t>
      </w:r>
      <w:r>
        <w:rPr>
          <w:rStyle w:val="47"/>
          <w:rFonts w:hint="eastAsia" w:ascii="宋体" w:hAnsi="宋体" w:cs="宋体"/>
          <w:color w:val="auto"/>
          <w:kern w:val="0"/>
          <w:sz w:val="24"/>
          <w:szCs w:val="24"/>
          <w:highlight w:val="none"/>
        </w:rPr>
        <w:t>综合评分法一</w:t>
      </w:r>
      <w:r>
        <w:rPr>
          <w:rStyle w:val="47"/>
          <w:rFonts w:hint="eastAsia" w:ascii="宋体" w:hAnsi="宋体" w:cs="宋体"/>
          <w:color w:val="auto"/>
          <w:sz w:val="24"/>
          <w:szCs w:val="24"/>
          <w:highlight w:val="none"/>
        </w:rPr>
        <w:t>，技术标与经济标先后分别开启）</w:t>
      </w:r>
    </w:p>
    <w:p w14:paraId="343C0A28">
      <w:pPr>
        <w:pBdr>
          <w:bottom w:val="single" w:color="auto" w:sz="6" w:space="1"/>
        </w:pBdr>
        <w:spacing w:line="360" w:lineRule="auto"/>
        <w:ind w:firstLine="1320" w:firstLineChars="550"/>
        <w:rPr>
          <w:rStyle w:val="47"/>
          <w:rFonts w:ascii="宋体" w:hAnsi="宋体" w:cs="宋体"/>
          <w:color w:val="auto"/>
          <w:sz w:val="24"/>
          <w:szCs w:val="24"/>
          <w:highlight w:val="none"/>
        </w:rPr>
      </w:pPr>
      <w:r>
        <w:rPr>
          <w:rStyle w:val="47"/>
          <w:rFonts w:hint="eastAsia" w:ascii="宋体" w:hAnsi="宋体" w:cs="宋体"/>
          <w:color w:val="auto"/>
          <w:sz w:val="24"/>
          <w:szCs w:val="24"/>
          <w:highlight w:val="none"/>
        </w:rPr>
        <w:t>可选</w:t>
      </w:r>
      <w:r>
        <w:rPr>
          <w:rFonts w:hint="eastAsia" w:ascii="宋体" w:hAnsi="宋体" w:cs="宋体"/>
          <w:color w:val="auto"/>
          <w:sz w:val="24"/>
          <w:szCs w:val="24"/>
          <w:highlight w:val="none"/>
          <w:u w:val="single"/>
        </w:rPr>
        <w:t>办法</w:t>
      </w:r>
      <w:r>
        <w:rPr>
          <w:rStyle w:val="47"/>
          <w:rFonts w:hint="eastAsia" w:ascii="宋体" w:hAnsi="宋体" w:cs="宋体"/>
          <w:color w:val="auto"/>
          <w:sz w:val="24"/>
          <w:szCs w:val="24"/>
          <w:highlight w:val="none"/>
        </w:rPr>
        <w:t>二（适合综合评分法一，技术标与经济标同时开启）</w:t>
      </w:r>
    </w:p>
    <w:p w14:paraId="0B0EE7A7">
      <w:pPr>
        <w:pBdr>
          <w:bottom w:val="single" w:color="auto" w:sz="6" w:space="1"/>
        </w:pBdr>
        <w:spacing w:line="360" w:lineRule="auto"/>
        <w:ind w:firstLine="1320" w:firstLineChars="550"/>
        <w:rPr>
          <w:rStyle w:val="47"/>
          <w:rFonts w:ascii="宋体" w:hAnsi="宋体" w:cs="宋体"/>
          <w:color w:val="auto"/>
          <w:sz w:val="24"/>
          <w:szCs w:val="24"/>
          <w:highlight w:val="none"/>
        </w:rPr>
      </w:pPr>
      <w:r>
        <w:rPr>
          <w:rStyle w:val="47"/>
          <w:rFonts w:hint="eastAsia" w:ascii="宋体" w:hAnsi="宋体" w:cs="宋体"/>
          <w:color w:val="auto"/>
          <w:sz w:val="24"/>
          <w:szCs w:val="24"/>
          <w:highlight w:val="none"/>
        </w:rPr>
        <w:t>可选办法三（适合综合评分法二，技术标与经济标先后分别开启）</w:t>
      </w:r>
    </w:p>
    <w:p w14:paraId="5CF4F2D1">
      <w:pPr>
        <w:pBdr>
          <w:bottom w:val="single" w:color="auto" w:sz="6" w:space="1"/>
        </w:pBdr>
        <w:spacing w:line="360" w:lineRule="auto"/>
        <w:ind w:firstLine="1320" w:firstLineChars="550"/>
        <w:rPr>
          <w:rStyle w:val="47"/>
          <w:rFonts w:ascii="宋体" w:hAnsi="宋体" w:cs="宋体"/>
          <w:color w:val="auto"/>
          <w:sz w:val="24"/>
          <w:szCs w:val="24"/>
          <w:highlight w:val="none"/>
        </w:rPr>
      </w:pPr>
      <w:r>
        <w:rPr>
          <w:rStyle w:val="47"/>
          <w:rFonts w:hint="eastAsia" w:ascii="宋体" w:hAnsi="宋体" w:cs="宋体"/>
          <w:color w:val="auto"/>
          <w:sz w:val="24"/>
          <w:szCs w:val="24"/>
          <w:highlight w:val="none"/>
        </w:rPr>
        <w:t>可选办法四（适合综合评分法二，技术标与经济标同时开启）</w:t>
      </w:r>
    </w:p>
    <w:p w14:paraId="3CEBD826">
      <w:pPr>
        <w:pBdr>
          <w:bottom w:val="single" w:color="auto" w:sz="6" w:space="1"/>
        </w:pBdr>
        <w:spacing w:line="360" w:lineRule="auto"/>
        <w:ind w:firstLine="1320" w:firstLineChars="550"/>
        <w:rPr>
          <w:rStyle w:val="47"/>
          <w:rFonts w:ascii="宋体" w:hAnsi="宋体" w:cs="宋体"/>
          <w:color w:val="auto"/>
          <w:sz w:val="24"/>
          <w:szCs w:val="24"/>
          <w:highlight w:val="none"/>
        </w:rPr>
      </w:pPr>
      <w:r>
        <w:rPr>
          <w:rStyle w:val="47"/>
          <w:rFonts w:hint="eastAsia" w:ascii="宋体" w:hAnsi="宋体" w:cs="宋体"/>
          <w:color w:val="auto"/>
          <w:sz w:val="24"/>
          <w:szCs w:val="24"/>
          <w:highlight w:val="none"/>
        </w:rPr>
        <w:t>可选办法五（适合综合评分法三，技术标与经济标先后分别开启）</w:t>
      </w:r>
    </w:p>
    <w:p w14:paraId="10019EA7">
      <w:pPr>
        <w:pBdr>
          <w:bottom w:val="single" w:color="auto" w:sz="6" w:space="1"/>
        </w:pBdr>
        <w:spacing w:line="360" w:lineRule="auto"/>
        <w:ind w:firstLine="1320" w:firstLineChars="550"/>
        <w:rPr>
          <w:rStyle w:val="47"/>
          <w:rFonts w:ascii="宋体" w:hAnsi="宋体" w:cs="宋体"/>
          <w:color w:val="auto"/>
          <w:sz w:val="24"/>
          <w:szCs w:val="24"/>
          <w:highlight w:val="none"/>
        </w:rPr>
      </w:pPr>
      <w:r>
        <w:rPr>
          <w:rStyle w:val="47"/>
          <w:rFonts w:hint="eastAsia" w:ascii="宋体" w:hAnsi="宋体" w:cs="宋体"/>
          <w:color w:val="auto"/>
          <w:sz w:val="24"/>
          <w:szCs w:val="24"/>
          <w:highlight w:val="none"/>
        </w:rPr>
        <w:t>可选办法六（适合综合评分法三，技术标与经济标同时开启）</w:t>
      </w:r>
    </w:p>
    <w:p w14:paraId="1C93267F">
      <w:pPr>
        <w:pBdr>
          <w:bottom w:val="single" w:color="auto" w:sz="6" w:space="1"/>
        </w:pBdr>
        <w:spacing w:line="360" w:lineRule="auto"/>
        <w:ind w:firstLine="1320" w:firstLineChars="550"/>
        <w:rPr>
          <w:rFonts w:ascii="宋体" w:hAnsi="宋体" w:cs="宋体"/>
          <w:b/>
          <w:color w:val="auto"/>
          <w:sz w:val="24"/>
          <w:szCs w:val="24"/>
          <w:highlight w:val="none"/>
        </w:rPr>
      </w:pPr>
      <w:r>
        <w:rPr>
          <w:rStyle w:val="47"/>
          <w:rFonts w:hint="eastAsia" w:ascii="宋体" w:hAnsi="宋体" w:cs="宋体"/>
          <w:color w:val="auto"/>
          <w:sz w:val="24"/>
          <w:szCs w:val="24"/>
          <w:highlight w:val="none"/>
        </w:rPr>
        <w:t>可选办法八（适合经评审的最低投标价法，技术标与经济标同时开启）</w:t>
      </w:r>
    </w:p>
    <w:p w14:paraId="227C8DF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 41.1         修改类型：修改</w:t>
      </w:r>
    </w:p>
    <w:p w14:paraId="168E1ED2">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41.1 开标由招标人主持；</w:t>
      </w:r>
    </w:p>
    <w:p w14:paraId="10A9CE01">
      <w:pPr>
        <w:pBdr>
          <w:bottom w:val="single" w:color="auto" w:sz="6" w:space="1"/>
        </w:pBdr>
        <w:spacing w:line="360" w:lineRule="auto"/>
        <w:ind w:firstLine="602" w:firstLineChars="250"/>
        <w:rPr>
          <w:rFonts w:ascii="宋体" w:hAnsi="宋体" w:cs="宋体"/>
          <w:b/>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 xml:space="preserve">41.1 </w:t>
      </w:r>
      <w:r>
        <w:rPr>
          <w:rFonts w:hint="eastAsia" w:ascii="宋体" w:hAnsi="宋体" w:cs="宋体"/>
          <w:color w:val="auto"/>
          <w:sz w:val="24"/>
          <w:szCs w:val="24"/>
          <w:highlight w:val="none"/>
          <w:u w:val="single"/>
        </w:rPr>
        <w:t>开标由招标人或招标代理主持；</w:t>
      </w:r>
    </w:p>
    <w:p w14:paraId="031C0067">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条款号：41.2.1             修改类型：修改</w:t>
      </w:r>
    </w:p>
    <w:p w14:paraId="61533904">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 xml:space="preserve">投标截止期前，各投标人递交投标文件（包括技术标投标文件、经济标投标文件）至交易平台。有关投标文件提交的事项详见第一章投标须知。 </w:t>
      </w:r>
    </w:p>
    <w:p w14:paraId="37AA6378">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
          <w:bCs/>
          <w:color w:val="auto"/>
          <w:sz w:val="24"/>
          <w:szCs w:val="24"/>
          <w:highlight w:val="none"/>
        </w:rPr>
        <w:t>41.2.1</w:t>
      </w:r>
      <w:r>
        <w:rPr>
          <w:rFonts w:hint="eastAsia" w:ascii="宋体" w:hAnsi="宋体" w:cs="宋体"/>
          <w:bCs/>
          <w:color w:val="auto"/>
          <w:sz w:val="24"/>
          <w:szCs w:val="24"/>
          <w:highlight w:val="none"/>
        </w:rPr>
        <w:t>投标截止期前，各投标人递交投标文件（包括技术标投标文件、经济标投标文件）至</w:t>
      </w:r>
      <w:r>
        <w:rPr>
          <w:rFonts w:hint="eastAsia" w:ascii="宋体" w:hAnsi="宋体" w:cs="宋体"/>
          <w:bCs/>
          <w:color w:val="auto"/>
          <w:sz w:val="24"/>
          <w:szCs w:val="24"/>
          <w:highlight w:val="none"/>
          <w:u w:val="single"/>
          <w:lang w:eastAsia="zh-CN"/>
        </w:rPr>
        <w:t>广州交易集团有限公司（广州公共资源交易中心）</w:t>
      </w:r>
      <w:r>
        <w:rPr>
          <w:rFonts w:hint="eastAsia" w:ascii="宋体" w:hAnsi="宋体" w:cs="宋体"/>
          <w:bCs/>
          <w:color w:val="auto"/>
          <w:sz w:val="24"/>
          <w:szCs w:val="24"/>
          <w:highlight w:val="none"/>
        </w:rPr>
        <w:t>交易平台。有关投标文件提交的事项详见第一章投标须知。</w:t>
      </w:r>
    </w:p>
    <w:p w14:paraId="6C404411">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条款号：41.2.3             修改类型：修改</w:t>
      </w:r>
    </w:p>
    <w:p w14:paraId="08908D3B">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7CE75043">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0D5338A">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条款号：42.2                    修改类型：修改</w:t>
      </w:r>
    </w:p>
    <w:p w14:paraId="59CFF88E">
      <w:pPr>
        <w:pStyle w:val="5"/>
        <w:tabs>
          <w:tab w:val="left" w:pos="7380"/>
        </w:tabs>
        <w:snapToGrid w:val="0"/>
        <w:spacing w:after="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42.2评标委员会的组成：方式。</w:t>
      </w:r>
    </w:p>
    <w:p w14:paraId="3129F363">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6FDDBC31">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5CADB73D">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42.2评标委员会的组成：方式</w:t>
      </w:r>
      <w:r>
        <w:rPr>
          <w:rFonts w:hint="eastAsia" w:ascii="宋体" w:hAnsi="宋体" w:cs="宋体"/>
          <w:color w:val="auto"/>
          <w:sz w:val="24"/>
          <w:szCs w:val="24"/>
          <w:highlight w:val="none"/>
          <w:u w:val="single"/>
        </w:rPr>
        <w:t xml:space="preserve"> 一 </w:t>
      </w:r>
      <w:r>
        <w:rPr>
          <w:rFonts w:hint="eastAsia" w:ascii="宋体" w:hAnsi="宋体" w:cs="宋体"/>
          <w:color w:val="auto"/>
          <w:sz w:val="24"/>
          <w:szCs w:val="24"/>
          <w:highlight w:val="none"/>
        </w:rPr>
        <w:t>。</w:t>
      </w:r>
    </w:p>
    <w:p w14:paraId="30B43CB5">
      <w:pPr>
        <w:pBdr>
          <w:bottom w:val="single" w:color="auto" w:sz="6" w:space="1"/>
        </w:pBdr>
        <w:spacing w:line="360" w:lineRule="auto"/>
        <w:ind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562CE31E">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条款号：43.1                    修改类型：修改</w:t>
      </w:r>
    </w:p>
    <w:p w14:paraId="0AD6CBE7">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4A146D76">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color w:val="auto"/>
          <w:sz w:val="24"/>
          <w:szCs w:val="24"/>
          <w:highlight w:val="none"/>
        </w:rPr>
        <w:t>43.1</w:t>
      </w:r>
      <w:r>
        <w:rPr>
          <w:rFonts w:hint="eastAsia" w:ascii="宋体" w:hAnsi="宋体" w:cs="宋体"/>
          <w:bCs/>
          <w:color w:val="auto"/>
          <w:sz w:val="24"/>
          <w:szCs w:val="24"/>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DA4A828">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条款号：43.6                          修改类型：修改</w:t>
      </w:r>
    </w:p>
    <w:p w14:paraId="5FFFD542">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43.6资格审查合格的投标人少于3名的（当N个标段同时招标且不允许兼中时，资格审查合格的投标人少于N+2名），则本项目招标失败。</w:t>
      </w:r>
    </w:p>
    <w:p w14:paraId="04CD5BCE">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43.6</w:t>
      </w:r>
      <w:r>
        <w:rPr>
          <w:rFonts w:hint="eastAsia" w:ascii="宋体" w:hAnsi="宋体" w:cs="宋体"/>
          <w:color w:val="auto"/>
          <w:sz w:val="24"/>
          <w:szCs w:val="24"/>
          <w:highlight w:val="none"/>
          <w:u w:val="single"/>
        </w:rPr>
        <w:t>资格审查合格的投标人少于3名的，则本项目招标失败</w:t>
      </w:r>
      <w:r>
        <w:rPr>
          <w:rFonts w:hint="eastAsia" w:ascii="宋体" w:hAnsi="宋体" w:cs="宋体"/>
          <w:color w:val="auto"/>
          <w:sz w:val="24"/>
          <w:szCs w:val="24"/>
          <w:highlight w:val="none"/>
        </w:rPr>
        <w:t>。</w:t>
      </w:r>
    </w:p>
    <w:p w14:paraId="16E622E7">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条款号：44.1                    修改类型：修改</w:t>
      </w:r>
    </w:p>
    <w:p w14:paraId="5672C99F">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01A5BBBB">
      <w:pPr>
        <w:pBdr>
          <w:bottom w:val="single" w:color="auto" w:sz="6" w:space="1"/>
        </w:pBdr>
        <w:spacing w:line="360" w:lineRule="auto"/>
        <w:ind w:firstLine="540" w:firstLineChars="224"/>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3182F98">
      <w:pPr>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条款号：</w:t>
      </w:r>
      <w:r>
        <w:rPr>
          <w:rFonts w:hint="eastAsia" w:ascii="宋体" w:hAnsi="宋体" w:cs="宋体"/>
          <w:color w:val="auto"/>
          <w:sz w:val="24"/>
          <w:szCs w:val="24"/>
          <w:highlight w:val="none"/>
        </w:rPr>
        <w:t>45</w:t>
      </w:r>
      <w:r>
        <w:rPr>
          <w:rFonts w:hint="eastAsia" w:ascii="宋体" w:hAnsi="宋体" w:cs="宋体"/>
          <w:b/>
          <w:bCs/>
          <w:color w:val="auto"/>
          <w:sz w:val="24"/>
          <w:szCs w:val="24"/>
          <w:highlight w:val="none"/>
        </w:rPr>
        <w:t xml:space="preserve">                       修改类型：修改</w:t>
      </w:r>
    </w:p>
    <w:p w14:paraId="00D417A2">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原文：45．经济标评审和得分汇总</w:t>
      </w:r>
    </w:p>
    <w:p w14:paraId="7E711D8E">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409CF936">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3D305E27">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349CF080">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BD2F8E9">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0877FF85">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499B409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39E40381">
      <w:pPr>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5F8180C7">
      <w:pPr>
        <w:pStyle w:val="5"/>
        <w:tabs>
          <w:tab w:val="left" w:pos="7380"/>
        </w:tabs>
        <w:snapToGrid w:val="0"/>
        <w:spacing w:after="0" w:line="360" w:lineRule="auto"/>
        <w:ind w:firstLine="482" w:firstLineChars="200"/>
        <w:jc w:val="left"/>
        <w:rPr>
          <w:rFonts w:ascii="宋体" w:hAnsi="宋体" w:cs="宋体"/>
          <w:color w:val="auto"/>
          <w:sz w:val="24"/>
          <w:szCs w:val="24"/>
          <w:highlight w:val="none"/>
        </w:rPr>
      </w:pPr>
      <w:r>
        <w:rPr>
          <w:rFonts w:hint="eastAsia" w:asciiTheme="minorEastAsia" w:hAnsiTheme="minorEastAsia" w:eastAsiaTheme="minorEastAsia" w:cstheme="minorEastAsia"/>
          <w:b/>
          <w:bCs/>
          <w:color w:val="auto"/>
          <w:sz w:val="24"/>
          <w:szCs w:val="24"/>
          <w:highlight w:val="none"/>
        </w:rPr>
        <w:t>现文：</w:t>
      </w:r>
      <w:r>
        <w:rPr>
          <w:rFonts w:hint="eastAsia" w:ascii="宋体" w:hAnsi="宋体" w:cs="宋体"/>
          <w:color w:val="auto"/>
          <w:sz w:val="24"/>
          <w:szCs w:val="24"/>
          <w:highlight w:val="none"/>
        </w:rPr>
        <w:t>45．经济标评审和得分汇总</w:t>
      </w:r>
    </w:p>
    <w:p w14:paraId="4CE2975A">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1AE8CEE3">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01DA2D49">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24E3A78C">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将达到或超过技术标及格分数线（</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分）的投标报价由低至高进行排列，按以下公式计算评标参考价，计算公式如下：</w:t>
      </w:r>
    </w:p>
    <w:p w14:paraId="4978F715">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4636D341">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w:t>
      </w:r>
      <w:r>
        <w:rPr>
          <w:rFonts w:hint="eastAsia" w:ascii="宋体" w:hAnsi="宋体" w:cs="宋体"/>
          <w:color w:val="auto"/>
          <w:sz w:val="24"/>
          <w:szCs w:val="24"/>
          <w:highlight w:val="none"/>
          <w:lang w:val="en-US" w:eastAsia="zh-CN"/>
        </w:rPr>
        <w:t>80</w:t>
      </w:r>
      <w:r>
        <w:rPr>
          <w:rFonts w:hint="eastAsia" w:ascii="宋体" w:hAnsi="宋体" w:cs="宋体"/>
          <w:color w:val="auto"/>
          <w:sz w:val="24"/>
          <w:szCs w:val="24"/>
          <w:highlight w:val="none"/>
        </w:rPr>
        <w:t>分）的投标人最低报价与工程成本警示价两者中的较高值；</w:t>
      </w:r>
    </w:p>
    <w:p w14:paraId="49772FAF">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1B7B6A33">
      <w:pPr>
        <w:pStyle w:val="38"/>
        <w:pBdr>
          <w:bottom w:val="single" w:color="auto" w:sz="4" w:space="0"/>
        </w:pBdr>
        <w:spacing w:after="0" w:line="360" w:lineRule="auto"/>
        <w:ind w:left="0" w:leftChars="0" w:firstLine="480"/>
        <w:jc w:val="left"/>
        <w:rPr>
          <w:rFonts w:ascii="宋体" w:hAnsi="宋体" w:cs="宋体"/>
          <w:b/>
          <w:bCs/>
          <w:color w:val="auto"/>
          <w:sz w:val="24"/>
          <w:highlight w:val="none"/>
          <w:u w:val="single"/>
          <w:lang w:eastAsia="zh-CN"/>
        </w:rPr>
      </w:pPr>
      <w:r>
        <w:rPr>
          <w:rFonts w:hint="eastAsia" w:ascii="宋体" w:hAnsi="宋体" w:cs="宋体"/>
          <w:color w:val="auto"/>
          <w:sz w:val="24"/>
          <w:highlight w:val="none"/>
          <w:lang w:eastAsia="zh-CN"/>
        </w:rPr>
        <w:t>X:为等分点值，在开标前从[0,100]整数中随机抽取</w:t>
      </w:r>
    </w:p>
    <w:p w14:paraId="7F76AD93">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条款号：45.4                      修改类型：修改</w:t>
      </w:r>
    </w:p>
    <w:p w14:paraId="11BEE660">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CA657C7">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计算通过技术标有效性审查的投标人总得分。投标人总得分=技术得分（</w:t>
      </w:r>
      <w:r>
        <w:rPr>
          <w:rFonts w:hint="eastAsia" w:ascii="宋体" w:hAnsi="宋体" w:cs="宋体"/>
          <w:bCs/>
          <w:color w:val="auto"/>
          <w:sz w:val="24"/>
          <w:szCs w:val="24"/>
          <w:highlight w:val="none"/>
          <w:lang w:val="en-US" w:eastAsia="zh-CN"/>
        </w:rPr>
        <w:t>100</w:t>
      </w:r>
      <w:r>
        <w:rPr>
          <w:rFonts w:hint="eastAsia" w:ascii="宋体" w:hAnsi="宋体" w:cs="宋体"/>
          <w:bCs/>
          <w:color w:val="auto"/>
          <w:sz w:val="24"/>
          <w:szCs w:val="24"/>
          <w:highlight w:val="none"/>
        </w:rPr>
        <w:t>分）×</w:t>
      </w:r>
      <w:r>
        <w:rPr>
          <w:rFonts w:hint="eastAsia" w:ascii="宋体" w:hAnsi="宋体" w:cs="宋体"/>
          <w:bCs/>
          <w:color w:val="auto"/>
          <w:sz w:val="24"/>
          <w:szCs w:val="24"/>
          <w:highlight w:val="none"/>
          <w:lang w:val="en-US" w:eastAsia="zh-CN"/>
        </w:rPr>
        <w:t>技术</w:t>
      </w:r>
      <w:r>
        <w:rPr>
          <w:rFonts w:hint="eastAsia" w:ascii="宋体" w:hAnsi="宋体" w:cs="宋体"/>
          <w:bCs/>
          <w:color w:val="auto"/>
          <w:sz w:val="24"/>
          <w:szCs w:val="24"/>
          <w:highlight w:val="none"/>
        </w:rPr>
        <w:t>得分权重（</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0%）＋经济得分（100分）×经济得分权重（80%）。技术、经济得分权重按投标须知前附表的规定执行。总得分四舍五入保留两位小数。总分相同的，以技术得分高的排前；总分与技术得分均相同，以投标报价较低的排前；如仍存在相同情况，则对具有相同情况的投标人，按中标候选人数量规定，由评标委员会</w:t>
      </w:r>
      <w:r>
        <w:rPr>
          <w:rFonts w:hint="eastAsia" w:ascii="宋体" w:hAnsi="宋体" w:cs="宋体"/>
          <w:bCs/>
          <w:color w:val="auto"/>
          <w:sz w:val="24"/>
          <w:szCs w:val="24"/>
          <w:highlight w:val="none"/>
          <w:lang w:val="en-US" w:eastAsia="zh-CN"/>
        </w:rPr>
        <w:t>采用不记名投票</w:t>
      </w:r>
      <w:r>
        <w:rPr>
          <w:rFonts w:hint="eastAsia" w:ascii="宋体" w:hAnsi="宋体" w:cs="宋体"/>
          <w:bCs/>
          <w:color w:val="auto"/>
          <w:sz w:val="24"/>
          <w:szCs w:val="24"/>
          <w:highlight w:val="none"/>
        </w:rPr>
        <w:t>方式，确定中标候选人的排序。</w:t>
      </w:r>
    </w:p>
    <w:p w14:paraId="56BD9A56">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条款号：46.1                     修改类型：修改</w:t>
      </w:r>
    </w:p>
    <w:p w14:paraId="57BB0E65">
      <w:pPr>
        <w:widowControl/>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14:paraId="5C656DCE">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3DD611B">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条款号：附表一《资格审查表》          修改类型：修改</w:t>
      </w:r>
    </w:p>
    <w:p w14:paraId="1BFEE836">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6D4D32E8">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详见附表一《资格审查表》</w:t>
      </w:r>
    </w:p>
    <w:p w14:paraId="2C12AD5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条款号：附表二《技术标有效性审查表》          修改类型：修改</w:t>
      </w:r>
    </w:p>
    <w:p w14:paraId="6FDE4870">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2819826E">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详见附表二《技术标有效性审查表》</w:t>
      </w:r>
    </w:p>
    <w:p w14:paraId="59E25539">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条款号：附表三《经济标有效性审查表》          修改类型：修改</w:t>
      </w:r>
    </w:p>
    <w:p w14:paraId="2067A9BF">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38F63635">
      <w:pPr>
        <w:pBdr>
          <w:bottom w:val="single" w:color="auto" w:sz="6" w:space="1"/>
        </w:pBd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详见附表三《经济标有效性审查表》</w:t>
      </w:r>
    </w:p>
    <w:p w14:paraId="38BECF54">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条款号：附表四《技术标详细审查评分表》          修改类型：修改</w:t>
      </w:r>
    </w:p>
    <w:p w14:paraId="46091295">
      <w:pPr>
        <w:spacing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19DE8D3C">
      <w:pPr>
        <w:pBdr>
          <w:bottom w:val="single" w:color="auto" w:sz="6" w:space="1"/>
        </w:pBdr>
        <w:spacing w:line="360" w:lineRule="auto"/>
        <w:ind w:firstLine="602" w:firstLineChars="250"/>
        <w:rPr>
          <w:rFonts w:ascii="宋体" w:hAnsi="宋体" w:cs="宋体"/>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详见附表四《技术标详细审查评分表》</w:t>
      </w:r>
    </w:p>
    <w:p w14:paraId="16F968A5">
      <w:pPr>
        <w:spacing w:line="360" w:lineRule="auto"/>
        <w:ind w:firstLine="540" w:firstLineChars="224"/>
        <w:rPr>
          <w:rFonts w:ascii="宋体" w:hAnsi="宋体" w:cs="宋体"/>
          <w:b/>
          <w:color w:val="auto"/>
          <w:sz w:val="24"/>
          <w:szCs w:val="24"/>
          <w:highlight w:val="none"/>
        </w:rPr>
      </w:pPr>
      <w:r>
        <w:rPr>
          <w:rFonts w:hint="eastAsia" w:ascii="宋体" w:hAnsi="宋体" w:cs="宋体"/>
          <w:b/>
          <w:color w:val="auto"/>
          <w:sz w:val="24"/>
          <w:szCs w:val="24"/>
          <w:highlight w:val="none"/>
        </w:rPr>
        <w:t>条款号：附表五《经济标评分表》             修改类型：修改</w:t>
      </w:r>
    </w:p>
    <w:p w14:paraId="2555F94B">
      <w:pPr>
        <w:pBdr>
          <w:bottom w:val="single" w:color="auto" w:sz="6" w:space="1"/>
        </w:pBdr>
        <w:spacing w:line="360" w:lineRule="auto"/>
        <w:ind w:firstLine="540" w:firstLineChars="224"/>
        <w:rPr>
          <w:rFonts w:ascii="宋体" w:hAnsi="宋体" w:cs="宋体"/>
          <w:bCs/>
          <w:color w:val="auto"/>
          <w:sz w:val="24"/>
          <w:szCs w:val="24"/>
          <w:highlight w:val="none"/>
        </w:rPr>
      </w:pPr>
      <w:r>
        <w:rPr>
          <w:rFonts w:hint="eastAsia" w:ascii="宋体" w:hAnsi="宋体" w:cs="宋体"/>
          <w:b/>
          <w:color w:val="auto"/>
          <w:sz w:val="24"/>
          <w:szCs w:val="24"/>
          <w:highlight w:val="none"/>
        </w:rPr>
        <w:t>原文：</w:t>
      </w:r>
      <w:r>
        <w:rPr>
          <w:rFonts w:hint="eastAsia" w:ascii="宋体" w:hAnsi="宋体" w:cs="宋体"/>
          <w:bCs/>
          <w:color w:val="auto"/>
          <w:sz w:val="24"/>
          <w:szCs w:val="24"/>
          <w:highlight w:val="none"/>
        </w:rPr>
        <w:t>详见《广州市建设工程施工公开招标项目招标文件范本GZZB2018-3》</w:t>
      </w:r>
    </w:p>
    <w:p w14:paraId="2102135B">
      <w:pPr>
        <w:pBdr>
          <w:bottom w:val="single" w:color="auto" w:sz="6" w:space="1"/>
        </w:pBdr>
        <w:spacing w:line="360" w:lineRule="auto"/>
        <w:ind w:firstLine="602" w:firstLineChars="250"/>
        <w:rPr>
          <w:rFonts w:ascii="宋体" w:hAnsi="宋体" w:cs="宋体"/>
          <w:bCs/>
          <w:color w:val="auto"/>
          <w:sz w:val="24"/>
          <w:szCs w:val="24"/>
          <w:highlight w:val="none"/>
        </w:rPr>
      </w:pPr>
      <w:r>
        <w:rPr>
          <w:rFonts w:hint="eastAsia" w:ascii="宋体" w:hAnsi="宋体" w:cs="宋体"/>
          <w:b/>
          <w:color w:val="auto"/>
          <w:sz w:val="24"/>
          <w:szCs w:val="24"/>
          <w:highlight w:val="none"/>
        </w:rPr>
        <w:t>现文：</w:t>
      </w:r>
      <w:r>
        <w:rPr>
          <w:rFonts w:hint="eastAsia" w:ascii="宋体" w:hAnsi="宋体" w:cs="宋体"/>
          <w:bCs/>
          <w:color w:val="auto"/>
          <w:sz w:val="24"/>
          <w:szCs w:val="24"/>
          <w:highlight w:val="none"/>
        </w:rPr>
        <w:t>详见附表五《经济标评分表》</w:t>
      </w:r>
    </w:p>
    <w:p w14:paraId="6F3AC4BB">
      <w:pPr>
        <w:spacing w:line="360" w:lineRule="auto"/>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注：以上修改，仅限于本范本中有可供选择条款的情形。</w:t>
      </w:r>
    </w:p>
    <w:p w14:paraId="2245A2AF">
      <w:pPr>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（以下无正文）</w:t>
      </w:r>
    </w:p>
    <w:p w14:paraId="7E013B58">
      <w:pPr>
        <w:pStyle w:val="7"/>
        <w:ind w:left="0"/>
        <w:jc w:val="both"/>
        <w:rPr>
          <w:rFonts w:ascii="宋体" w:hAnsi="宋体" w:cs="宋体"/>
          <w:color w:val="auto"/>
          <w:highlight w:val="none"/>
        </w:rPr>
      </w:pPr>
      <w:r>
        <w:rPr>
          <w:rFonts w:hint="eastAsia" w:ascii="宋体" w:hAnsi="宋体" w:cs="宋体"/>
          <w:color w:val="auto"/>
          <w:highlight w:val="none"/>
        </w:rPr>
        <w:br w:type="page"/>
      </w:r>
      <w:bookmarkStart w:id="17" w:name="_Toc11460"/>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17"/>
    </w:p>
    <w:p w14:paraId="1F683198">
      <w:pPr>
        <w:pStyle w:val="8"/>
        <w:spacing w:before="156" w:after="156"/>
        <w:ind w:firstLine="540" w:firstLineChars="200"/>
        <w:rPr>
          <w:rFonts w:hAnsi="宋体" w:cs="宋体"/>
          <w:color w:val="auto"/>
          <w:highlight w:val="none"/>
        </w:rPr>
      </w:pPr>
      <w:bookmarkStart w:id="18" w:name="_Toc19940"/>
      <w:r>
        <w:rPr>
          <w:rFonts w:hint="eastAsia" w:hAnsi="宋体" w:cs="宋体"/>
          <w:color w:val="auto"/>
          <w:highlight w:val="none"/>
        </w:rPr>
        <w:t>（一）总则</w:t>
      </w:r>
      <w:bookmarkEnd w:id="18"/>
    </w:p>
    <w:p w14:paraId="5FE33D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 开标、评标及定标所依据的规则</w:t>
      </w:r>
    </w:p>
    <w:p w14:paraId="769D80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14:paraId="2DF8C3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14:paraId="6044685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14:paraId="02CDE7D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14:paraId="56AC04A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14:paraId="61AE79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14:paraId="4E17B3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35.7《财政部 工业和信息化部关于印发〈政府采购促进中小企业发展管理办法〉的通知》（财库〔2020〕46号）</w:t>
      </w:r>
    </w:p>
    <w:p w14:paraId="18F91D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35.8《广东省加强建设工程招标投标监督管理的若干规定》（粤发</w:t>
      </w:r>
      <w:r>
        <w:rPr>
          <w:rFonts w:hint="eastAsia" w:ascii="宋体" w:hAnsi="宋体" w:cs="宋体"/>
          <w:color w:val="auto"/>
          <w:sz w:val="24"/>
          <w:szCs w:val="24"/>
          <w:highlight w:val="none"/>
          <w:lang w:eastAsia="zh-CN"/>
        </w:rPr>
        <w:t>〔2004〕4号</w:t>
      </w:r>
      <w:r>
        <w:rPr>
          <w:rFonts w:hint="eastAsia" w:ascii="宋体" w:hAnsi="宋体" w:cs="宋体"/>
          <w:color w:val="auto"/>
          <w:sz w:val="24"/>
          <w:szCs w:val="24"/>
          <w:highlight w:val="none"/>
        </w:rPr>
        <w:t>）；</w:t>
      </w:r>
    </w:p>
    <w:p w14:paraId="5303FA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35.9《广东省政府采购促进中小企业发展实施细则（试行）》</w:t>
      </w:r>
    </w:p>
    <w:p w14:paraId="6740ED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35.10《广州市工程建设项目招标投标管理办法》（穗建规字〔2023〕12号）；</w:t>
      </w:r>
    </w:p>
    <w:p w14:paraId="4C42E5F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6C9051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35.12本项目招标文件。</w:t>
      </w:r>
    </w:p>
    <w:p w14:paraId="731E2E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36．开标</w:t>
      </w:r>
    </w:p>
    <w:p w14:paraId="1CECD2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64096F8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14:paraId="0DD6FC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8B1175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14:paraId="75AEF1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14:paraId="72A3DB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ED630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14:paraId="0228D66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14:paraId="6D74FB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36.5.4开标结束。</w:t>
      </w:r>
    </w:p>
    <w:p w14:paraId="7A98D34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524AD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14:paraId="338EF63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37．评标</w:t>
      </w:r>
    </w:p>
    <w:p w14:paraId="525F8D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14:paraId="57E45F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37.2评标委员会在开始评标前，应了解评标专家的职责及守则，认真阅读附件1《评标委员会成员声明》的内容并签名，签字后方可进行评标；</w:t>
      </w:r>
    </w:p>
    <w:p w14:paraId="343778B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70F8E74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37.3评标委员会的职责及守则：</w:t>
      </w:r>
    </w:p>
    <w:p w14:paraId="50AC26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37.3.1根据评标细则，对投标文件进行认真评审，完成评审报告；</w:t>
      </w:r>
    </w:p>
    <w:p w14:paraId="5A74DD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37.3.2向招标人报告评审意见，推荐合格的中标候选人。</w:t>
      </w:r>
    </w:p>
    <w:p w14:paraId="110FE835">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szCs w:val="24"/>
          <w:highlight w:val="none"/>
        </w:rPr>
        <w:t>37.3.3</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1C49212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37.3.4全体参与评标人员：</w:t>
      </w:r>
    </w:p>
    <w:p w14:paraId="49BBFA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37.3.4.1 必须遵守评标纪律、不得泄密；</w:t>
      </w:r>
    </w:p>
    <w:p w14:paraId="1A72B2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37.3.4.2 必须公正、不得循私；</w:t>
      </w:r>
    </w:p>
    <w:p w14:paraId="33BA6C6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37.3.4.3 必须科学、不得草率；</w:t>
      </w:r>
    </w:p>
    <w:p w14:paraId="1BB43C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37.3.4.4 必须客观、不得带有成见；</w:t>
      </w:r>
    </w:p>
    <w:p w14:paraId="09A17C6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37.3.4.5 必须平等、不得强加于人；</w:t>
      </w:r>
    </w:p>
    <w:p w14:paraId="63B5FA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37.3.4.6 必须严谨、不得随意马虎。</w:t>
      </w:r>
    </w:p>
    <w:p w14:paraId="769B9CF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7613D7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37.5评标结束后，评标委员会递交评标报告并依法推荐中标候选人。</w:t>
      </w:r>
    </w:p>
    <w:p w14:paraId="046AD7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38．投标文件的澄清</w:t>
      </w:r>
    </w:p>
    <w:p w14:paraId="6BBEA86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41B588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2087F4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14:paraId="0528F0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77D68D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59199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39．定标</w:t>
      </w:r>
    </w:p>
    <w:p w14:paraId="662893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14:paraId="11FAB7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14:paraId="79CBD2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17A379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39AED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36C3D966">
      <w:pPr>
        <w:pStyle w:val="8"/>
        <w:spacing w:before="156" w:after="156"/>
        <w:ind w:firstLine="480" w:firstLineChars="200"/>
        <w:rPr>
          <w:rFonts w:hAnsi="宋体" w:cs="宋体"/>
          <w:color w:val="auto"/>
          <w:sz w:val="24"/>
          <w:szCs w:val="24"/>
          <w:highlight w:val="none"/>
        </w:rPr>
      </w:pPr>
      <w:bookmarkStart w:id="19" w:name="_Toc18768"/>
      <w:r>
        <w:rPr>
          <w:rFonts w:hint="eastAsia" w:hAnsi="宋体" w:cs="宋体"/>
          <w:color w:val="auto"/>
          <w:sz w:val="24"/>
          <w:szCs w:val="24"/>
          <w:highlight w:val="none"/>
        </w:rPr>
        <w:t>（二）开标评标办法程序和细则</w:t>
      </w:r>
      <w:bookmarkEnd w:id="19"/>
    </w:p>
    <w:p w14:paraId="08AE7C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注：评标办法所述企业综合诚信评价分数即投标截止当日广州市住房和城乡建设局网站上公布的企业综合诚信评价60日诚信分。</w:t>
      </w:r>
    </w:p>
    <w:p w14:paraId="062EDDD3">
      <w:pPr>
        <w:pStyle w:val="8"/>
        <w:spacing w:before="156" w:after="156"/>
        <w:ind w:firstLine="540" w:firstLineChars="200"/>
        <w:rPr>
          <w:rFonts w:hAnsi="宋体" w:cs="宋体"/>
          <w:color w:val="auto"/>
          <w:highlight w:val="none"/>
        </w:rPr>
      </w:pPr>
      <w:bookmarkStart w:id="20" w:name="_Toc21525509"/>
      <w:bookmarkStart w:id="21" w:name="_Toc25301"/>
      <w:bookmarkStart w:id="22" w:name="_Toc2272564"/>
      <w:r>
        <w:rPr>
          <w:rFonts w:hint="eastAsia" w:hAnsi="宋体" w:cs="宋体"/>
          <w:color w:val="auto"/>
          <w:highlight w:val="none"/>
        </w:rPr>
        <w:t>可选办法七（适合综合评分法四，技术标与经济标同时开启）</w:t>
      </w:r>
      <w:bookmarkEnd w:id="20"/>
    </w:p>
    <w:p w14:paraId="303BBEF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40．开标和评标程序</w:t>
      </w:r>
    </w:p>
    <w:p w14:paraId="2ABB7F9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40.1技术标（含资格审查文件）与经济标投标文件同时公开开标；</w:t>
      </w:r>
    </w:p>
    <w:p w14:paraId="1FE15F3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40.2由评标委员会对所有已公开开标的投标人进行资格审查；</w:t>
      </w:r>
    </w:p>
    <w:p w14:paraId="0835C03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40.3技术标投标文件有效性审查；</w:t>
      </w:r>
    </w:p>
    <w:p w14:paraId="4EF0BEE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40.4技术标详细审查评分；</w:t>
      </w:r>
    </w:p>
    <w:p w14:paraId="3034A33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40.5经济标详细审查评分；</w:t>
      </w:r>
    </w:p>
    <w:p w14:paraId="5F0ED24F">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40.6评标委员会按照投标人总得分由高至低排序；</w:t>
      </w:r>
    </w:p>
    <w:p w14:paraId="08C5D7B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40.7经济标投标文件有效性审查；</w:t>
      </w:r>
    </w:p>
    <w:p w14:paraId="700F651A">
      <w:pPr>
        <w:snapToGrid w:val="0"/>
        <w:spacing w:line="360" w:lineRule="auto"/>
        <w:ind w:firstLine="480" w:firstLineChars="200"/>
        <w:rPr>
          <w:rFonts w:ascii="宋体" w:hAnsi="宋体" w:cs="宋体"/>
          <w:color w:val="auto"/>
          <w:szCs w:val="21"/>
          <w:highlight w:val="none"/>
        </w:rPr>
      </w:pPr>
      <w:r>
        <w:rPr>
          <w:rFonts w:hint="eastAsia" w:ascii="宋体" w:hAnsi="宋体" w:cs="宋体"/>
          <w:color w:val="auto"/>
          <w:sz w:val="24"/>
          <w:szCs w:val="24"/>
          <w:highlight w:val="none"/>
        </w:rPr>
        <w:t>40.8评标委员会按排序向招标人推荐中标候选人名单，并递交资格审查报告及评标报告。</w:t>
      </w:r>
    </w:p>
    <w:p w14:paraId="097BADA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41．开标细则</w:t>
      </w:r>
    </w:p>
    <w:p w14:paraId="05EEC24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41.1开标由招标人主持；</w:t>
      </w:r>
    </w:p>
    <w:p w14:paraId="2FCBF15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 细则</w:t>
      </w:r>
    </w:p>
    <w:p w14:paraId="0C2C290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14:paraId="23DB229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41.2.2开标前，首先由招标人随机抽取确定该工程计算评标参考价的等分点值X。</w:t>
      </w:r>
    </w:p>
    <w:p w14:paraId="2F12C88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14:paraId="606A8094">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41.2.4按36.5.1的规定完成解密后，公布下列内容，并予以记录，记录提交评标委员会评审： </w:t>
      </w:r>
    </w:p>
    <w:p w14:paraId="2AB9301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41.2.4.1开标时，公布：a、投标人名称；b、</w:t>
      </w:r>
      <w:r>
        <w:rPr>
          <w:rFonts w:hint="eastAsia" w:ascii="宋体" w:hAnsi="宋体" w:cs="宋体"/>
          <w:color w:val="auto"/>
          <w:sz w:val="24"/>
          <w:highlight w:val="none"/>
        </w:rPr>
        <w:t>投标文件</w:t>
      </w:r>
      <w:r>
        <w:rPr>
          <w:rFonts w:hint="eastAsia" w:ascii="宋体" w:hAnsi="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10B075C6">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41.3招标人对开标过程进行记录，并存档备查，投标人在技术标开标记录上签字。</w:t>
      </w:r>
    </w:p>
    <w:p w14:paraId="738FD10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41.4 招标人将上述符合要求的投标文件，送至评标委员会进行评审。</w:t>
      </w:r>
    </w:p>
    <w:p w14:paraId="4CF41973">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资格审查及评标细则</w:t>
      </w:r>
    </w:p>
    <w:p w14:paraId="057E77ED">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42.1资格审查及评标均由招标人依法组建的评标委员会负责。</w:t>
      </w:r>
    </w:p>
    <w:p w14:paraId="3E18F8F3">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42.2评标委员会的组成：方式。</w:t>
      </w:r>
    </w:p>
    <w:p w14:paraId="1E8B027A">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方式一：评标委员会为综合评标委员会，负责资格审查及评标工作。</w:t>
      </w:r>
    </w:p>
    <w:p w14:paraId="33D9D511">
      <w:pPr>
        <w:pStyle w:val="5"/>
        <w:tabs>
          <w:tab w:val="left" w:pos="7380"/>
        </w:tabs>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方式二：评标委员会由技术评审组和经济评审组组成。其中：资格审查及技术评审由技术评标组负责，经济评审由经济评审组负责。</w:t>
      </w:r>
    </w:p>
    <w:p w14:paraId="73EDC283">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43．投标人资格审查</w:t>
      </w:r>
    </w:p>
    <w:p w14:paraId="5A84246F">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8077ADF">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43.2汇总资格审查情况，编写资格审查报告。</w:t>
      </w:r>
    </w:p>
    <w:p w14:paraId="413404DA">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43.3资格审查不合格的投标文件不参加下一阶段的评标，不参与评标参考价的计算。</w:t>
      </w:r>
    </w:p>
    <w:p w14:paraId="6183926D">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71A9E274">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43.5资审合格后，投标人的资格发生变化而不满足投标人合格条件，在发出中标通知书前，资格问题仍未解决的，招标人将取消其中标资格。</w:t>
      </w:r>
    </w:p>
    <w:p w14:paraId="5FD1C281">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43.6资格审查合格的投标人少于3名的（当N个标段同时招标且不允许兼中时，资格审查合格的投标人少于N+2名），则本项目招标失败。</w:t>
      </w:r>
    </w:p>
    <w:p w14:paraId="71489D01">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44．技术标评审</w:t>
      </w:r>
    </w:p>
    <w:p w14:paraId="61F2520E">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D6A4025">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554D1F9">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45．经济标评审和得分汇总</w:t>
      </w:r>
    </w:p>
    <w:p w14:paraId="3DC0D9FB">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45.1若通过技术标有效性审查的投标人中所有投标报价均大于等于最高投标限价，则本项目招标失败，由招标人依法重新招标。</w:t>
      </w:r>
    </w:p>
    <w:p w14:paraId="4B55F5DE">
      <w:pPr>
        <w:pStyle w:val="5"/>
        <w:tabs>
          <w:tab w:val="left" w:pos="7380"/>
        </w:tabs>
        <w:snapToGrid w:val="0"/>
        <w:spacing w:after="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45.2按以下方法计算评标参考价：</w:t>
      </w:r>
    </w:p>
    <w:p w14:paraId="50094197">
      <w:pPr>
        <w:widowControl/>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区间抽取法</w:t>
      </w:r>
    </w:p>
    <w:p w14:paraId="7669F219">
      <w:pPr>
        <w:widowControl/>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FF9B60F">
      <w:pPr>
        <w:widowControl/>
        <w:snapToGrid w:val="0"/>
        <w:spacing w:line="360" w:lineRule="auto"/>
        <w:ind w:firstLine="480" w:firstLineChars="200"/>
        <w:jc w:val="left"/>
        <w:rPr>
          <w:rFonts w:ascii="宋体" w:hAnsi="宋体" w:cs="宋体"/>
          <w:color w:val="auto"/>
          <w:kern w:val="0"/>
          <w:sz w:val="24"/>
          <w:szCs w:val="24"/>
          <w:highlight w:val="none"/>
          <w:vertAlign w:val="subscript"/>
        </w:rPr>
      </w:pPr>
      <w:r>
        <w:rPr>
          <w:rFonts w:hint="eastAsia" w:ascii="宋体" w:hAnsi="宋体" w:cs="宋体"/>
          <w:color w:val="auto"/>
          <w:kern w:val="0"/>
          <w:sz w:val="24"/>
          <w:szCs w:val="24"/>
          <w:highlight w:val="none"/>
        </w:rPr>
        <w:t>评标参考价=（Q</w:t>
      </w:r>
      <w:r>
        <w:rPr>
          <w:rFonts w:hint="eastAsia" w:ascii="宋体" w:hAnsi="宋体" w:cs="宋体"/>
          <w:color w:val="auto"/>
          <w:kern w:val="0"/>
          <w:sz w:val="24"/>
          <w:szCs w:val="24"/>
          <w:highlight w:val="none"/>
          <w:vertAlign w:val="subscript"/>
        </w:rPr>
        <w:t>高</w:t>
      </w: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低</w:t>
      </w:r>
      <w:r>
        <w:rPr>
          <w:rFonts w:hint="eastAsia" w:ascii="宋体" w:hAnsi="宋体" w:cs="宋体"/>
          <w:color w:val="auto"/>
          <w:kern w:val="0"/>
          <w:sz w:val="24"/>
          <w:szCs w:val="24"/>
          <w:highlight w:val="none"/>
        </w:rPr>
        <w:t>）/100*Ｘ+Q</w:t>
      </w:r>
      <w:r>
        <w:rPr>
          <w:rFonts w:hint="eastAsia" w:ascii="宋体" w:hAnsi="宋体" w:cs="宋体"/>
          <w:color w:val="auto"/>
          <w:kern w:val="0"/>
          <w:sz w:val="24"/>
          <w:szCs w:val="24"/>
          <w:highlight w:val="none"/>
          <w:vertAlign w:val="subscript"/>
        </w:rPr>
        <w:t>低</w:t>
      </w:r>
    </w:p>
    <w:p w14:paraId="459829EF">
      <w:pPr>
        <w:widowControl/>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Q</w:t>
      </w:r>
      <w:r>
        <w:rPr>
          <w:rFonts w:hint="eastAsia" w:ascii="宋体" w:hAnsi="宋体" w:cs="宋体"/>
          <w:color w:val="auto"/>
          <w:sz w:val="24"/>
          <w:szCs w:val="24"/>
          <w:highlight w:val="none"/>
          <w:vertAlign w:val="subscript"/>
        </w:rPr>
        <w:t>低</w:t>
      </w:r>
      <w:r>
        <w:rPr>
          <w:rFonts w:hint="eastAsia" w:ascii="宋体" w:hAnsi="宋体" w:cs="宋体"/>
          <w:color w:val="auto"/>
          <w:sz w:val="24"/>
          <w:szCs w:val="24"/>
          <w:highlight w:val="none"/>
        </w:rPr>
        <w:t>：为达到或超过技术标及格分数线的投标人最低报价与工程成本警示价两者中的较高值；</w:t>
      </w:r>
    </w:p>
    <w:p w14:paraId="33F16828">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Q</w:t>
      </w:r>
      <w:r>
        <w:rPr>
          <w:rFonts w:hint="eastAsia" w:ascii="宋体" w:hAnsi="宋体" w:cs="宋体"/>
          <w:color w:val="auto"/>
          <w:kern w:val="0"/>
          <w:sz w:val="24"/>
          <w:szCs w:val="24"/>
          <w:highlight w:val="none"/>
          <w:vertAlign w:val="subscript"/>
        </w:rPr>
        <w:t>高</w:t>
      </w:r>
      <w:r>
        <w:rPr>
          <w:rFonts w:hint="eastAsia" w:ascii="宋体" w:hAnsi="宋体" w:cs="宋体"/>
          <w:color w:val="auto"/>
          <w:sz w:val="24"/>
          <w:szCs w:val="24"/>
          <w:highlight w:val="none"/>
        </w:rPr>
        <w:t>：为最高投标限价</w:t>
      </w:r>
    </w:p>
    <w:p w14:paraId="411BA3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X:为等分点值，在开标前从[0,100]整数中随机抽取</w:t>
      </w:r>
    </w:p>
    <w:p w14:paraId="4B41B1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s="宋体"/>
          <w:color w:val="auto"/>
          <w:sz w:val="24"/>
          <w:szCs w:val="24"/>
          <w:highlight w:val="none"/>
        </w:rPr>
        <w:t>当标价等于评标参考价时得100分，标价每高于评标参考价1%，扣1.5分，每低于评标参考价1%，扣1分，扣至0分为止，得出经济分，精确到小数点后两位。</w:t>
      </w:r>
    </w:p>
    <w:p w14:paraId="70B801A5">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1C91FFD">
      <w:pPr>
        <w:pStyle w:val="5"/>
        <w:tabs>
          <w:tab w:val="left" w:pos="7380"/>
        </w:tabs>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46.经济标的有效性审查</w:t>
      </w:r>
    </w:p>
    <w:p w14:paraId="2CAFB1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s="宋体"/>
          <w:color w:val="auto"/>
          <w:sz w:val="24"/>
          <w:highlight w:val="none"/>
        </w:rPr>
        <w:t>投标文件</w:t>
      </w:r>
      <w:r>
        <w:rPr>
          <w:rFonts w:hint="eastAsia" w:ascii="宋体" w:hAnsi="宋体" w:cs="宋体"/>
          <w:color w:val="auto"/>
          <w:sz w:val="24"/>
          <w:szCs w:val="24"/>
          <w:highlight w:val="none"/>
        </w:rPr>
        <w:t>，否则其投标文件将被否决。如评标委员会成员的评审意见不一致时，以评标委员会过半数成员的意见作为评标委员会对该情形的认定结论。</w:t>
      </w:r>
    </w:p>
    <w:p w14:paraId="601B94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46.2经济标的算术校核。评标委员会对进行经济标有效性审查的投标文件投标报价按照就低不就高的原则进行算术校核，具体标准如下：</w:t>
      </w:r>
    </w:p>
    <w:p w14:paraId="7F4A58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46.2.1如果数字表示的金额和用文字表示的金额不一致时，应以文字表示的金额为准；</w:t>
      </w:r>
    </w:p>
    <w:p w14:paraId="09C448F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46.2.2经算术复核的投标人报价与其投标报价不一致时，按就低不就高原则确定其最终报价；</w:t>
      </w:r>
    </w:p>
    <w:p w14:paraId="06E7B8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611A49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46.2.4当合价、金额累加错误时，按就低不就高原则，如果累加修正值小于原累加值，则按累加修正值；如果累加修正值大于原累加值，则按原累加值；</w:t>
      </w:r>
    </w:p>
    <w:p w14:paraId="549723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14:paraId="644BC18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7B108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4ED0F4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6BA0E4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D2E58E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54C4CE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49.若通过经济标有效性审查的投标人不足三家，应当依法重新招标。（当N个标段同时招标且不允许兼中时，若有效投标人不足N+2家，应当依法重新招标）</w:t>
      </w:r>
    </w:p>
    <w:bookmarkEnd w:id="21"/>
    <w:bookmarkEnd w:id="22"/>
    <w:p w14:paraId="287B291E">
      <w:pPr>
        <w:spacing w:line="360" w:lineRule="auto"/>
        <w:rPr>
          <w:rFonts w:ascii="宋体" w:hAnsi="宋体" w:cs="宋体"/>
          <w:color w:val="auto"/>
          <w:sz w:val="24"/>
          <w:szCs w:val="24"/>
          <w:highlight w:val="none"/>
        </w:rPr>
        <w:sect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p>
    <w:p w14:paraId="4AEAB36D">
      <w:pPr>
        <w:rPr>
          <w:rFonts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38DCC89F">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7E3076CD">
      <w:pPr>
        <w:spacing w:line="360" w:lineRule="auto"/>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50441F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17BEDAF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26BBB0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50FFBE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4A871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86D7D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C19E5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5DFD8682">
      <w:pPr>
        <w:spacing w:line="360" w:lineRule="auto"/>
        <w:ind w:firstLine="480" w:firstLineChars="200"/>
        <w:rPr>
          <w:rFonts w:ascii="宋体" w:hAnsi="宋体" w:cs="宋体"/>
          <w:color w:val="auto"/>
          <w:sz w:val="24"/>
          <w:szCs w:val="24"/>
          <w:highlight w:val="none"/>
        </w:rPr>
      </w:pPr>
    </w:p>
    <w:p w14:paraId="5ADD57F9">
      <w:pPr>
        <w:spacing w:line="360" w:lineRule="auto"/>
        <w:rPr>
          <w:rFonts w:ascii="宋体" w:hAnsi="宋体" w:cs="宋体"/>
          <w:b/>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5E846256">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14:paraId="1F2AA770">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646F1786">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14:paraId="1CF4F892">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3722"/>
        <w:gridCol w:w="3420"/>
        <w:gridCol w:w="720"/>
      </w:tblGrid>
      <w:tr w14:paraId="0E66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02FB469">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3722" w:type="dxa"/>
            <w:tcBorders>
              <w:top w:val="single" w:color="auto" w:sz="4" w:space="0"/>
              <w:left w:val="single" w:color="auto" w:sz="4" w:space="0"/>
              <w:bottom w:val="single" w:color="auto" w:sz="4" w:space="0"/>
              <w:right w:val="single" w:color="auto" w:sz="4" w:space="0"/>
            </w:tcBorders>
            <w:vAlign w:val="center"/>
          </w:tcPr>
          <w:p w14:paraId="1276AAF5">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7465ED05">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33CBCC10">
            <w:pPr>
              <w:keepNext w:val="0"/>
              <w:keepLines w:val="0"/>
              <w:suppressLineNumbers w:val="0"/>
              <w:spacing w:before="120" w:beforeAutospacing="0" w:after="6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审查结果</w:t>
            </w:r>
          </w:p>
        </w:tc>
      </w:tr>
      <w:tr w14:paraId="6D6F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7FACFFD1">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3722" w:type="dxa"/>
            <w:tcBorders>
              <w:top w:val="single" w:color="auto" w:sz="4" w:space="0"/>
              <w:left w:val="single" w:color="auto" w:sz="4" w:space="0"/>
              <w:bottom w:val="single" w:color="auto" w:sz="4" w:space="0"/>
              <w:right w:val="single" w:color="auto" w:sz="4" w:space="0"/>
            </w:tcBorders>
            <w:vAlign w:val="center"/>
          </w:tcPr>
          <w:p w14:paraId="3FF3F1B5">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3E7C3252">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122ABA21">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13FB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377889A7">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3722" w:type="dxa"/>
            <w:tcBorders>
              <w:top w:val="single" w:color="auto" w:sz="4" w:space="0"/>
              <w:left w:val="single" w:color="auto" w:sz="4" w:space="0"/>
              <w:bottom w:val="single" w:color="auto" w:sz="4" w:space="0"/>
              <w:right w:val="single" w:color="auto" w:sz="4" w:space="0"/>
            </w:tcBorders>
            <w:vAlign w:val="center"/>
          </w:tcPr>
          <w:p w14:paraId="718FA5D3">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06F9972A">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6242E34A">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5F5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452730DE">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3722" w:type="dxa"/>
            <w:tcBorders>
              <w:top w:val="single" w:color="auto" w:sz="4" w:space="0"/>
              <w:left w:val="single" w:color="auto" w:sz="4" w:space="0"/>
              <w:bottom w:val="single" w:color="auto" w:sz="4" w:space="0"/>
              <w:right w:val="single" w:color="auto" w:sz="4" w:space="0"/>
            </w:tcBorders>
            <w:vAlign w:val="center"/>
          </w:tcPr>
          <w:p w14:paraId="09ABAF3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66A5CB4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264D5010">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724B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7657D939">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3722" w:type="dxa"/>
            <w:tcBorders>
              <w:top w:val="single" w:color="auto" w:sz="4" w:space="0"/>
              <w:left w:val="single" w:color="auto" w:sz="4" w:space="0"/>
              <w:bottom w:val="single" w:color="auto" w:sz="4" w:space="0"/>
              <w:right w:val="single" w:color="auto" w:sz="4" w:space="0"/>
            </w:tcBorders>
            <w:vAlign w:val="center"/>
          </w:tcPr>
          <w:p w14:paraId="35B9ACF1">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w:t>
            </w:r>
            <w:r>
              <w:rPr>
                <w:rFonts w:hint="eastAsia" w:ascii="宋体" w:hAnsi="宋体" w:eastAsia="宋体" w:cs="宋体"/>
                <w:color w:val="auto"/>
                <w:szCs w:val="21"/>
                <w:highlight w:val="none"/>
              </w:rPr>
              <w:t>人拟担任本工程项目负责</w:t>
            </w:r>
            <w:r>
              <w:rPr>
                <w:rFonts w:hint="eastAsia" w:ascii="宋体" w:hAnsi="宋体" w:cs="宋体"/>
                <w:color w:val="auto"/>
                <w:szCs w:val="21"/>
                <w:highlight w:val="none"/>
              </w:rPr>
              <w:t>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6BB6B36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640A781F">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2128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76E71598">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3722" w:type="dxa"/>
            <w:tcBorders>
              <w:top w:val="single" w:color="auto" w:sz="4" w:space="0"/>
              <w:left w:val="single" w:color="auto" w:sz="4" w:space="0"/>
              <w:bottom w:val="single" w:color="auto" w:sz="4" w:space="0"/>
              <w:right w:val="single" w:color="auto" w:sz="4" w:space="0"/>
            </w:tcBorders>
            <w:vAlign w:val="center"/>
          </w:tcPr>
          <w:p w14:paraId="00470C8B">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6945EB2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66872B82">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1BCB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2FCA1652">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6</w:t>
            </w:r>
          </w:p>
        </w:tc>
        <w:tc>
          <w:tcPr>
            <w:tcW w:w="3722" w:type="dxa"/>
            <w:tcBorders>
              <w:top w:val="single" w:color="auto" w:sz="4" w:space="0"/>
              <w:left w:val="single" w:color="auto" w:sz="4" w:space="0"/>
              <w:bottom w:val="single" w:color="auto" w:sz="4" w:space="0"/>
              <w:right w:val="single" w:color="auto" w:sz="4" w:space="0"/>
            </w:tcBorders>
            <w:vAlign w:val="center"/>
          </w:tcPr>
          <w:p w14:paraId="36C5BBF8">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56BD3074">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拟委托技术负责人的职称证书扫描件</w:t>
            </w:r>
          </w:p>
        </w:tc>
        <w:tc>
          <w:tcPr>
            <w:tcW w:w="720" w:type="dxa"/>
            <w:tcBorders>
              <w:top w:val="single" w:color="auto" w:sz="4" w:space="0"/>
              <w:left w:val="single" w:color="auto" w:sz="4" w:space="0"/>
              <w:bottom w:val="single" w:color="auto" w:sz="4" w:space="0"/>
              <w:right w:val="single" w:color="auto" w:sz="4" w:space="0"/>
            </w:tcBorders>
            <w:vAlign w:val="center"/>
          </w:tcPr>
          <w:p w14:paraId="4DB8B40F">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1CA9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7AFC54E">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3722" w:type="dxa"/>
            <w:tcBorders>
              <w:top w:val="single" w:color="auto" w:sz="4" w:space="0"/>
              <w:left w:val="single" w:color="auto" w:sz="4" w:space="0"/>
              <w:bottom w:val="single" w:color="auto" w:sz="4" w:space="0"/>
              <w:right w:val="single" w:color="auto" w:sz="4" w:space="0"/>
            </w:tcBorders>
            <w:vAlign w:val="center"/>
          </w:tcPr>
          <w:p w14:paraId="162FF77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投标人拟担任本工程专职安全员须具有在有效期内的安全生产考核合格证（C类）或建筑施工企业专职安全生产管理人员安全生产考核合格证书（C3）</w:t>
            </w:r>
          </w:p>
        </w:tc>
        <w:tc>
          <w:tcPr>
            <w:tcW w:w="3420" w:type="dxa"/>
            <w:tcBorders>
              <w:top w:val="single" w:color="auto" w:sz="4" w:space="0"/>
              <w:left w:val="single" w:color="auto" w:sz="4" w:space="0"/>
              <w:bottom w:val="single" w:color="auto" w:sz="4" w:space="0"/>
              <w:right w:val="single" w:color="auto" w:sz="4" w:space="0"/>
            </w:tcBorders>
            <w:vAlign w:val="center"/>
          </w:tcPr>
          <w:p w14:paraId="4FAF3816">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专职安全员的安全生产考核合格证（C类）或建筑施工企业专职安全生产管理人员安全生产考核合格证书（C3）扫描件或电子证书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57B38B6F">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335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482098E0">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3722" w:type="dxa"/>
            <w:tcBorders>
              <w:top w:val="single" w:color="auto" w:sz="4" w:space="0"/>
              <w:left w:val="single" w:color="auto" w:sz="4" w:space="0"/>
              <w:bottom w:val="single" w:color="auto" w:sz="4" w:space="0"/>
              <w:right w:val="single" w:color="auto" w:sz="4" w:space="0"/>
            </w:tcBorders>
            <w:vAlign w:val="center"/>
          </w:tcPr>
          <w:p w14:paraId="06A4712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Style w:val="80"/>
                <w:rFonts w:hint="eastAsia" w:ascii="宋体" w:hAnsi="宋体" w:cs="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3E19895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Style w:val="80"/>
                <w:rFonts w:hint="eastAsia" w:ascii="宋体" w:hAnsi="宋体" w:cs="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674E3DB">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3717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0B03B54">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3722" w:type="dxa"/>
            <w:tcBorders>
              <w:top w:val="single" w:color="auto" w:sz="4" w:space="0"/>
              <w:left w:val="single" w:color="auto" w:sz="4" w:space="0"/>
              <w:bottom w:val="single" w:color="auto" w:sz="4" w:space="0"/>
              <w:right w:val="single" w:color="auto" w:sz="4" w:space="0"/>
            </w:tcBorders>
            <w:vAlign w:val="center"/>
          </w:tcPr>
          <w:p w14:paraId="44B464B9">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2D49F73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1AD01ECE">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7F9F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08F94C3D">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3722" w:type="dxa"/>
            <w:tcBorders>
              <w:top w:val="single" w:color="auto" w:sz="4" w:space="0"/>
              <w:left w:val="single" w:color="auto" w:sz="4" w:space="0"/>
              <w:bottom w:val="single" w:color="auto" w:sz="4" w:space="0"/>
              <w:right w:val="single" w:color="auto" w:sz="4" w:space="0"/>
            </w:tcBorders>
            <w:vAlign w:val="center"/>
          </w:tcPr>
          <w:p w14:paraId="3A3212EE">
            <w:pPr>
              <w:keepNext w:val="0"/>
              <w:keepLines w:val="0"/>
              <w:suppressLineNumbers w:val="0"/>
              <w:spacing w:before="120" w:beforeAutospacing="0" w:after="60" w:afterAutospacing="0"/>
              <w:ind w:left="0" w:right="0"/>
              <w:jc w:val="center"/>
              <w:rPr>
                <w:rFonts w:hint="default" w:ascii="宋体" w:hAnsi="宋体" w:eastAsia="宋体" w:cs="宋体"/>
                <w:color w:val="auto"/>
                <w:szCs w:val="21"/>
                <w:highlight w:val="none"/>
                <w:u w:val="single"/>
                <w:lang w:val="en-US" w:eastAsia="zh-CN"/>
              </w:rPr>
            </w:pPr>
            <w:r>
              <w:rPr>
                <w:rFonts w:hint="default" w:ascii="宋体" w:hAnsi="宋体" w:eastAsia="宋体" w:cs="宋体"/>
                <w:color w:val="auto"/>
                <w:szCs w:val="21"/>
                <w:highlight w:val="none"/>
                <w:u w:val="single"/>
                <w:lang w:val="en-US" w:eastAsia="zh-CN"/>
              </w:rPr>
              <w:t>本项目</w:t>
            </w:r>
            <w:r>
              <w:rPr>
                <w:rFonts w:hint="eastAsia" w:ascii="宋体" w:hAnsi="宋体" w:cs="宋体"/>
                <w:color w:val="auto"/>
                <w:szCs w:val="21"/>
                <w:highlight w:val="none"/>
                <w:u w:val="single"/>
                <w:lang w:val="en-US" w:eastAsia="zh-CN"/>
              </w:rPr>
              <w:t>不</w:t>
            </w:r>
            <w:r>
              <w:rPr>
                <w:rFonts w:hint="default" w:ascii="宋体" w:hAnsi="宋体" w:eastAsia="宋体" w:cs="宋体"/>
                <w:color w:val="auto"/>
                <w:szCs w:val="21"/>
                <w:highlight w:val="none"/>
                <w:u w:val="single"/>
                <w:lang w:val="en-US" w:eastAsia="zh-CN"/>
              </w:rPr>
              <w:t>允许联合体投标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7DD5053C">
            <w:pPr>
              <w:keepNext w:val="0"/>
              <w:keepLines w:val="0"/>
              <w:suppressLineNumbers w:val="0"/>
              <w:spacing w:before="120" w:beforeAutospacing="0" w:after="60" w:afterAutospacing="0"/>
              <w:ind w:left="0" w:right="0"/>
              <w:jc w:val="center"/>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lang w:val="en-US" w:eastAsia="zh-CN"/>
              </w:rPr>
              <w:t>/</w:t>
            </w:r>
          </w:p>
        </w:tc>
        <w:tc>
          <w:tcPr>
            <w:tcW w:w="720" w:type="dxa"/>
            <w:tcBorders>
              <w:top w:val="single" w:color="auto" w:sz="4" w:space="0"/>
              <w:left w:val="single" w:color="auto" w:sz="4" w:space="0"/>
              <w:bottom w:val="single" w:color="auto" w:sz="4" w:space="0"/>
              <w:right w:val="single" w:color="auto" w:sz="4" w:space="0"/>
            </w:tcBorders>
            <w:vAlign w:val="center"/>
          </w:tcPr>
          <w:p w14:paraId="7DE327B6">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76ED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558836BD">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3722" w:type="dxa"/>
            <w:tcBorders>
              <w:top w:val="single" w:color="auto" w:sz="4" w:space="0"/>
              <w:left w:val="single" w:color="auto" w:sz="4" w:space="0"/>
              <w:bottom w:val="single" w:color="auto" w:sz="4" w:space="0"/>
              <w:right w:val="single" w:color="auto" w:sz="4" w:space="0"/>
            </w:tcBorders>
            <w:vAlign w:val="center"/>
          </w:tcPr>
          <w:p w14:paraId="0E3D305D">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3525A70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center"/>
          </w:tcPr>
          <w:p w14:paraId="7E15A96E">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2F7D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6E7588F0">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12</w:t>
            </w:r>
          </w:p>
        </w:tc>
        <w:tc>
          <w:tcPr>
            <w:tcW w:w="3722" w:type="dxa"/>
            <w:tcBorders>
              <w:top w:val="single" w:color="auto" w:sz="4" w:space="0"/>
              <w:left w:val="single" w:color="auto" w:sz="4" w:space="0"/>
              <w:bottom w:val="single" w:color="auto" w:sz="4" w:space="0"/>
              <w:right w:val="single" w:color="auto" w:sz="4" w:space="0"/>
            </w:tcBorders>
            <w:vAlign w:val="center"/>
          </w:tcPr>
          <w:p w14:paraId="1F8F0112">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377F2B4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条内容进行评审）。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12B4669B">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r w14:paraId="5287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tcBorders>
              <w:top w:val="single" w:color="auto" w:sz="4" w:space="0"/>
              <w:left w:val="single" w:color="auto" w:sz="4" w:space="0"/>
              <w:bottom w:val="single" w:color="auto" w:sz="4" w:space="0"/>
              <w:right w:val="single" w:color="auto" w:sz="4" w:space="0"/>
            </w:tcBorders>
            <w:vAlign w:val="center"/>
          </w:tcPr>
          <w:p w14:paraId="529C9538">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13</w:t>
            </w:r>
          </w:p>
        </w:tc>
        <w:tc>
          <w:tcPr>
            <w:tcW w:w="3722" w:type="dxa"/>
            <w:tcBorders>
              <w:top w:val="single" w:color="auto" w:sz="4" w:space="0"/>
              <w:left w:val="single" w:color="auto" w:sz="4" w:space="0"/>
              <w:bottom w:val="single" w:color="auto" w:sz="4" w:space="0"/>
              <w:right w:val="single" w:color="auto" w:sz="4" w:space="0"/>
            </w:tcBorders>
            <w:vAlign w:val="center"/>
          </w:tcPr>
          <w:p w14:paraId="461C978C">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14:paraId="0AD4AACF">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投标人无需提供资料，按</w:t>
            </w:r>
            <w:r>
              <w:rPr>
                <w:rFonts w:hint="eastAsia" w:ascii="宋体" w:hAnsi="宋体" w:cs="宋体"/>
                <w:color w:val="auto"/>
                <w:szCs w:val="21"/>
                <w:highlight w:val="none"/>
                <w:lang w:val="en-US" w:eastAsia="zh-CN"/>
              </w:rPr>
              <w:t>投标截止时间</w:t>
            </w:r>
            <w:r>
              <w:rPr>
                <w:rFonts w:hint="eastAsia" w:ascii="宋体" w:hAnsi="宋体" w:cs="宋体"/>
                <w:color w:val="auto"/>
                <w:szCs w:val="21"/>
                <w:highlight w:val="none"/>
              </w:rPr>
              <w:t>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21634D13">
            <w:pPr>
              <w:keepNext w:val="0"/>
              <w:keepLines w:val="0"/>
              <w:suppressLineNumbers w:val="0"/>
              <w:spacing w:before="120" w:beforeAutospacing="0" w:after="60" w:afterAutospacing="0"/>
              <w:ind w:left="0" w:right="0"/>
              <w:jc w:val="center"/>
              <w:rPr>
                <w:rFonts w:hint="default" w:ascii="宋体" w:hAnsi="宋体" w:cs="宋体"/>
                <w:color w:val="auto"/>
                <w:szCs w:val="21"/>
                <w:highlight w:val="none"/>
              </w:rPr>
            </w:pPr>
          </w:p>
        </w:tc>
      </w:tr>
    </w:tbl>
    <w:p w14:paraId="6EDFA0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p>
    <w:p w14:paraId="04A551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14:paraId="1EEA37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715B315C">
      <w:pPr>
        <w:spacing w:line="360" w:lineRule="auto"/>
        <w:ind w:firstLine="420" w:firstLineChars="200"/>
        <w:rPr>
          <w:rFonts w:ascii="宋体" w:hAnsi="宋体" w:cs="宋体"/>
          <w:color w:val="auto"/>
          <w:highlight w:val="none"/>
        </w:rPr>
        <w:sectPr>
          <w:pgSz w:w="11906" w:h="16838"/>
          <w:pgMar w:top="1247" w:right="1418" w:bottom="1134" w:left="1418"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FDE86E5">
      <w:pPr>
        <w:rPr>
          <w:rFonts w:ascii="宋体" w:hAnsi="宋体" w:cs="宋体"/>
          <w:color w:val="auto"/>
          <w:szCs w:val="21"/>
          <w:highlight w:val="none"/>
        </w:rPr>
      </w:pPr>
      <w:r>
        <w:rPr>
          <w:rFonts w:hint="eastAsia" w:ascii="宋体" w:hAnsi="宋体" w:cs="宋体"/>
          <w:color w:val="auto"/>
          <w:szCs w:val="21"/>
          <w:highlight w:val="none"/>
        </w:rPr>
        <w:t>附表二</w:t>
      </w:r>
    </w:p>
    <w:p w14:paraId="59BD3235">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52468EF6">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4189"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697"/>
        <w:gridCol w:w="1630"/>
        <w:gridCol w:w="1630"/>
        <w:gridCol w:w="1630"/>
      </w:tblGrid>
      <w:tr w14:paraId="4A8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6BF8536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8697" w:type="dxa"/>
            <w:tcBorders>
              <w:top w:val="single" w:color="auto" w:sz="4" w:space="0"/>
              <w:left w:val="single" w:color="auto" w:sz="4" w:space="0"/>
              <w:bottom w:val="single" w:color="auto" w:sz="4" w:space="0"/>
              <w:right w:val="single" w:color="auto" w:sz="4" w:space="0"/>
              <w:tl2br w:val="single" w:color="auto" w:sz="4" w:space="0"/>
            </w:tcBorders>
          </w:tcPr>
          <w:p w14:paraId="3214714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投标人</w:t>
            </w:r>
          </w:p>
          <w:p w14:paraId="245A65E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p w14:paraId="7796EA1D">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630" w:type="dxa"/>
            <w:tcBorders>
              <w:top w:val="single" w:color="auto" w:sz="4" w:space="0"/>
              <w:left w:val="single" w:color="auto" w:sz="4" w:space="0"/>
              <w:bottom w:val="single" w:color="auto" w:sz="4" w:space="0"/>
              <w:right w:val="single" w:color="auto" w:sz="4" w:space="0"/>
            </w:tcBorders>
          </w:tcPr>
          <w:p w14:paraId="63546BF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6E3153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22BAD28">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020F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34926687">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p>
        </w:tc>
        <w:tc>
          <w:tcPr>
            <w:tcW w:w="8697" w:type="dxa"/>
            <w:tcBorders>
              <w:top w:val="single" w:color="auto" w:sz="4" w:space="0"/>
              <w:left w:val="single" w:color="auto" w:sz="4" w:space="0"/>
              <w:bottom w:val="single" w:color="auto" w:sz="4" w:space="0"/>
              <w:right w:val="single" w:color="auto" w:sz="4" w:space="0"/>
            </w:tcBorders>
            <w:vAlign w:val="center"/>
          </w:tcPr>
          <w:p w14:paraId="5BAAA0D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《广州建设工程施工招标投标书》中投标总工期不能满足完成投标项目工期的；</w:t>
            </w:r>
          </w:p>
        </w:tc>
        <w:tc>
          <w:tcPr>
            <w:tcW w:w="1630" w:type="dxa"/>
            <w:tcBorders>
              <w:top w:val="single" w:color="auto" w:sz="4" w:space="0"/>
              <w:left w:val="single" w:color="auto" w:sz="4" w:space="0"/>
              <w:bottom w:val="single" w:color="auto" w:sz="4" w:space="0"/>
              <w:right w:val="single" w:color="auto" w:sz="4" w:space="0"/>
            </w:tcBorders>
          </w:tcPr>
          <w:p w14:paraId="67C3905A">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62FD08D">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32340BA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2B5C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1359148B">
            <w:pPr>
              <w:keepNext w:val="0"/>
              <w:keepLines w:val="0"/>
              <w:suppressLineNumbers w:val="0"/>
              <w:adjustRightInd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rPr>
              <w:t>2</w:t>
            </w:r>
          </w:p>
        </w:tc>
        <w:tc>
          <w:tcPr>
            <w:tcW w:w="8697" w:type="dxa"/>
            <w:tcBorders>
              <w:top w:val="single" w:color="auto" w:sz="4" w:space="0"/>
              <w:left w:val="single" w:color="auto" w:sz="4" w:space="0"/>
              <w:bottom w:val="single" w:color="auto" w:sz="4" w:space="0"/>
              <w:right w:val="single" w:color="auto" w:sz="4" w:space="0"/>
            </w:tcBorders>
            <w:vAlign w:val="center"/>
          </w:tcPr>
          <w:p w14:paraId="4C8262C7">
            <w:pPr>
              <w:keepNext w:val="0"/>
              <w:keepLines w:val="0"/>
              <w:suppressLineNumbers w:val="0"/>
              <w:adjustRightInd w:val="0"/>
              <w:spacing w:before="0" w:beforeAutospacing="0" w:after="0" w:afterAutospacing="0"/>
              <w:ind w:left="0" w:right="0"/>
              <w:rPr>
                <w:rFonts w:hint="default" w:ascii="宋体" w:hAnsi="宋体" w:cs="宋体"/>
                <w:strike/>
                <w:color w:val="auto"/>
                <w:szCs w:val="21"/>
                <w:highlight w:val="none"/>
              </w:rPr>
            </w:pPr>
            <w:r>
              <w:rPr>
                <w:rFonts w:hint="eastAsia" w:ascii="宋体" w:hAnsi="宋体" w:cs="宋体"/>
                <w:color w:val="auto"/>
                <w:szCs w:val="21"/>
                <w:highlight w:val="none"/>
              </w:rPr>
              <w:t>《广州建设工程施工招标投标书》中工程质量标准不符合招标文件要求的；</w:t>
            </w:r>
          </w:p>
        </w:tc>
        <w:tc>
          <w:tcPr>
            <w:tcW w:w="1630" w:type="dxa"/>
            <w:tcBorders>
              <w:top w:val="single" w:color="auto" w:sz="4" w:space="0"/>
              <w:left w:val="single" w:color="auto" w:sz="4" w:space="0"/>
              <w:bottom w:val="single" w:color="auto" w:sz="4" w:space="0"/>
              <w:right w:val="single" w:color="auto" w:sz="4" w:space="0"/>
            </w:tcBorders>
          </w:tcPr>
          <w:p w14:paraId="43C69B0A">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3475F0A">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07828FA">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46A0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404FF64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p>
        </w:tc>
        <w:tc>
          <w:tcPr>
            <w:tcW w:w="8697" w:type="dxa"/>
            <w:tcBorders>
              <w:top w:val="single" w:color="auto" w:sz="4" w:space="0"/>
              <w:left w:val="single" w:color="auto" w:sz="4" w:space="0"/>
              <w:bottom w:val="single" w:color="auto" w:sz="4" w:space="0"/>
              <w:right w:val="single" w:color="auto" w:sz="4" w:space="0"/>
            </w:tcBorders>
            <w:vAlign w:val="center"/>
          </w:tcPr>
          <w:p w14:paraId="14B291A7">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1630" w:type="dxa"/>
            <w:tcBorders>
              <w:top w:val="single" w:color="auto" w:sz="4" w:space="0"/>
              <w:left w:val="single" w:color="auto" w:sz="4" w:space="0"/>
              <w:bottom w:val="single" w:color="auto" w:sz="4" w:space="0"/>
              <w:right w:val="single" w:color="auto" w:sz="4" w:space="0"/>
            </w:tcBorders>
          </w:tcPr>
          <w:p w14:paraId="64D4128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C007E6E">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38E494E">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49A8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230F883E">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p>
        </w:tc>
        <w:tc>
          <w:tcPr>
            <w:tcW w:w="8697" w:type="dxa"/>
            <w:tcBorders>
              <w:top w:val="single" w:color="auto" w:sz="4" w:space="0"/>
              <w:left w:val="single" w:color="auto" w:sz="4" w:space="0"/>
              <w:bottom w:val="single" w:color="auto" w:sz="4" w:space="0"/>
              <w:right w:val="single" w:color="auto" w:sz="4" w:space="0"/>
            </w:tcBorders>
            <w:vAlign w:val="center"/>
          </w:tcPr>
          <w:p w14:paraId="454F8266">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b w:val="0"/>
                <w:bCs w:val="0"/>
                <w:color w:val="auto"/>
                <w:szCs w:val="21"/>
                <w:highlight w:val="none"/>
                <w:u w:val="none"/>
              </w:rPr>
              <w:t>（技术标格式二、格式三</w:t>
            </w:r>
            <w:bookmarkStart w:id="23" w:name="OLE_LINK1"/>
            <w:r>
              <w:rPr>
                <w:rFonts w:hint="eastAsia" w:ascii="宋体" w:hAnsi="宋体" w:cs="宋体"/>
                <w:b w:val="0"/>
                <w:bCs w:val="0"/>
                <w:color w:val="auto"/>
                <w:szCs w:val="21"/>
                <w:highlight w:val="none"/>
                <w:u w:val="none"/>
              </w:rPr>
              <w:t>、格式</w:t>
            </w:r>
            <w:r>
              <w:rPr>
                <w:rFonts w:hint="eastAsia" w:ascii="宋体" w:hAnsi="宋体" w:cs="宋体"/>
                <w:b w:val="0"/>
                <w:bCs w:val="0"/>
                <w:color w:val="auto"/>
                <w:szCs w:val="21"/>
                <w:highlight w:val="none"/>
                <w:u w:val="none"/>
                <w:lang w:val="en-US" w:eastAsia="zh-CN"/>
              </w:rPr>
              <w:t>九</w:t>
            </w:r>
            <w:bookmarkEnd w:id="23"/>
            <w:r>
              <w:rPr>
                <w:rFonts w:hint="eastAsia" w:ascii="宋体" w:hAnsi="宋体" w:cs="宋体"/>
                <w:b w:val="0"/>
                <w:bCs w:val="0"/>
                <w:color w:val="auto"/>
                <w:szCs w:val="21"/>
                <w:highlight w:val="none"/>
                <w:u w:val="none"/>
              </w:rPr>
              <w:t>、格式</w:t>
            </w:r>
            <w:r>
              <w:rPr>
                <w:rFonts w:hint="eastAsia" w:ascii="宋体" w:hAnsi="宋体" w:cs="宋体"/>
                <w:b w:val="0"/>
                <w:bCs w:val="0"/>
                <w:color w:val="auto"/>
                <w:szCs w:val="21"/>
                <w:highlight w:val="none"/>
                <w:u w:val="none"/>
                <w:lang w:val="en-US" w:eastAsia="zh-CN"/>
              </w:rPr>
              <w:t>十一</w:t>
            </w:r>
            <w:r>
              <w:rPr>
                <w:rFonts w:hint="eastAsia" w:ascii="宋体" w:hAnsi="宋体" w:cs="宋体"/>
                <w:b w:val="0"/>
                <w:bCs w:val="0"/>
                <w:color w:val="auto"/>
                <w:szCs w:val="21"/>
                <w:highlight w:val="none"/>
                <w:u w:val="none"/>
              </w:rPr>
              <w:t>）</w:t>
            </w:r>
            <w:r>
              <w:rPr>
                <w:rFonts w:hint="eastAsia" w:ascii="宋体" w:hAnsi="宋体" w:cs="宋体"/>
                <w:color w:val="auto"/>
                <w:szCs w:val="21"/>
                <w:highlight w:val="none"/>
              </w:rPr>
              <w:t>填写，或主要内容不全，或关键字迹模糊、无法辨认的；</w:t>
            </w:r>
          </w:p>
        </w:tc>
        <w:tc>
          <w:tcPr>
            <w:tcW w:w="1630" w:type="dxa"/>
            <w:tcBorders>
              <w:top w:val="single" w:color="auto" w:sz="4" w:space="0"/>
              <w:left w:val="single" w:color="auto" w:sz="4" w:space="0"/>
              <w:bottom w:val="single" w:color="auto" w:sz="4" w:space="0"/>
              <w:right w:val="single" w:color="auto" w:sz="4" w:space="0"/>
            </w:tcBorders>
          </w:tcPr>
          <w:p w14:paraId="222E91C8">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65575A3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1F41E4E4">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1CBC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2" w:type="dxa"/>
            <w:tcBorders>
              <w:top w:val="single" w:color="auto" w:sz="4" w:space="0"/>
              <w:left w:val="single" w:color="auto" w:sz="4" w:space="0"/>
              <w:bottom w:val="single" w:color="auto" w:sz="4" w:space="0"/>
              <w:right w:val="single" w:color="auto" w:sz="4" w:space="0"/>
            </w:tcBorders>
            <w:vAlign w:val="center"/>
          </w:tcPr>
          <w:p w14:paraId="65223CA1">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w:t>
            </w:r>
          </w:p>
        </w:tc>
        <w:tc>
          <w:tcPr>
            <w:tcW w:w="8697" w:type="dxa"/>
            <w:tcBorders>
              <w:top w:val="single" w:color="auto" w:sz="4" w:space="0"/>
              <w:left w:val="single" w:color="auto" w:sz="4" w:space="0"/>
              <w:bottom w:val="single" w:color="auto" w:sz="4" w:space="0"/>
              <w:right w:val="single" w:color="auto" w:sz="4" w:space="0"/>
            </w:tcBorders>
            <w:vAlign w:val="center"/>
          </w:tcPr>
          <w:p w14:paraId="77CF9497">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30" w:type="dxa"/>
            <w:tcBorders>
              <w:top w:val="single" w:color="auto" w:sz="4" w:space="0"/>
              <w:left w:val="single" w:color="auto" w:sz="4" w:space="0"/>
              <w:bottom w:val="single" w:color="auto" w:sz="4" w:space="0"/>
              <w:right w:val="single" w:color="auto" w:sz="4" w:space="0"/>
            </w:tcBorders>
          </w:tcPr>
          <w:p w14:paraId="0A72ECD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59FFADC6">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14:paraId="13972E1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shd w:val="pct10" w:color="auto" w:fill="FFFFFF"/>
              </w:rPr>
            </w:pPr>
          </w:p>
        </w:tc>
      </w:tr>
      <w:tr w14:paraId="6099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2" w:type="dxa"/>
            <w:tcBorders>
              <w:top w:val="single" w:color="auto" w:sz="4" w:space="0"/>
              <w:left w:val="single" w:color="auto" w:sz="4" w:space="0"/>
              <w:bottom w:val="single" w:color="auto" w:sz="4" w:space="0"/>
              <w:right w:val="single" w:color="auto" w:sz="4" w:space="0"/>
            </w:tcBorders>
            <w:vAlign w:val="center"/>
          </w:tcPr>
          <w:p w14:paraId="4ADA408F">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w:t>
            </w:r>
          </w:p>
        </w:tc>
        <w:tc>
          <w:tcPr>
            <w:tcW w:w="8697" w:type="dxa"/>
            <w:tcBorders>
              <w:top w:val="single" w:color="auto" w:sz="4" w:space="0"/>
              <w:left w:val="single" w:color="auto" w:sz="4" w:space="0"/>
              <w:bottom w:val="single" w:color="auto" w:sz="4" w:space="0"/>
              <w:right w:val="single" w:color="auto" w:sz="4" w:space="0"/>
            </w:tcBorders>
            <w:vAlign w:val="center"/>
          </w:tcPr>
          <w:p w14:paraId="7570F023">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无《参与编制技术标投标文件人员名单》的</w:t>
            </w:r>
            <w:r>
              <w:rPr>
                <w:rFonts w:hint="eastAsia" w:ascii="宋体" w:hAnsi="宋体" w:cs="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14:paraId="7B893434">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7E99A015">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06CB088C">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r w14:paraId="1E27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2" w:type="dxa"/>
            <w:tcBorders>
              <w:top w:val="single" w:color="auto" w:sz="4" w:space="0"/>
              <w:left w:val="single" w:color="auto" w:sz="4" w:space="0"/>
              <w:bottom w:val="single" w:color="auto" w:sz="4" w:space="0"/>
              <w:right w:val="single" w:color="auto" w:sz="4" w:space="0"/>
            </w:tcBorders>
            <w:vAlign w:val="center"/>
          </w:tcPr>
          <w:p w14:paraId="567C9FDB">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7</w:t>
            </w:r>
          </w:p>
        </w:tc>
        <w:tc>
          <w:tcPr>
            <w:tcW w:w="8697" w:type="dxa"/>
            <w:tcBorders>
              <w:top w:val="single" w:color="auto" w:sz="4" w:space="0"/>
              <w:left w:val="single" w:color="auto" w:sz="4" w:space="0"/>
              <w:bottom w:val="single" w:color="auto" w:sz="4" w:space="0"/>
              <w:right w:val="single" w:color="auto" w:sz="4" w:space="0"/>
            </w:tcBorders>
            <w:vAlign w:val="center"/>
          </w:tcPr>
          <w:p w14:paraId="280364F3">
            <w:pPr>
              <w:keepNext w:val="0"/>
              <w:keepLines w:val="0"/>
              <w:suppressLineNumbers w:val="0"/>
              <w:adjustRightInd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投标人与本项目其他投标人加密打包投标文件电脑机器特征码一致的(以交易平台评标系统的检索信息为准)</w:t>
            </w:r>
            <w:r>
              <w:rPr>
                <w:rFonts w:hint="eastAsia" w:ascii="宋体" w:hAnsi="宋体" w:cs="宋体"/>
                <w:color w:val="auto"/>
                <w:szCs w:val="21"/>
                <w:highlight w:val="none"/>
                <w:lang w:eastAsia="zh-CN"/>
              </w:rPr>
              <w:t>。</w:t>
            </w:r>
          </w:p>
        </w:tc>
        <w:tc>
          <w:tcPr>
            <w:tcW w:w="1630" w:type="dxa"/>
            <w:tcBorders>
              <w:top w:val="single" w:color="auto" w:sz="4" w:space="0"/>
              <w:left w:val="single" w:color="auto" w:sz="4" w:space="0"/>
              <w:bottom w:val="single" w:color="auto" w:sz="4" w:space="0"/>
              <w:right w:val="single" w:color="auto" w:sz="4" w:space="0"/>
            </w:tcBorders>
          </w:tcPr>
          <w:p w14:paraId="31ECEA63">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2D44D1F0">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c>
          <w:tcPr>
            <w:tcW w:w="1630" w:type="dxa"/>
            <w:tcBorders>
              <w:top w:val="single" w:color="auto" w:sz="4" w:space="0"/>
              <w:left w:val="single" w:color="auto" w:sz="4" w:space="0"/>
              <w:bottom w:val="single" w:color="auto" w:sz="4" w:space="0"/>
              <w:right w:val="single" w:color="auto" w:sz="4" w:space="0"/>
            </w:tcBorders>
          </w:tcPr>
          <w:p w14:paraId="401B1CD7">
            <w:pPr>
              <w:keepNext w:val="0"/>
              <w:keepLines w:val="0"/>
              <w:suppressLineNumbers w:val="0"/>
              <w:adjustRightInd w:val="0"/>
              <w:spacing w:before="0" w:beforeAutospacing="0" w:after="0" w:afterAutospacing="0"/>
              <w:ind w:left="0" w:right="0"/>
              <w:rPr>
                <w:rFonts w:hint="default" w:ascii="宋体" w:hAnsi="宋体" w:cs="宋体"/>
                <w:color w:val="auto"/>
                <w:szCs w:val="21"/>
                <w:highlight w:val="none"/>
              </w:rPr>
            </w:pPr>
          </w:p>
        </w:tc>
      </w:tr>
    </w:tbl>
    <w:p w14:paraId="27E8E9A5">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AFFC5D4">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2C1854A">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3.凡出现以上任何一项情形，结论均为无效，否则就为有效。</w:t>
      </w:r>
    </w:p>
    <w:p w14:paraId="2DC378E7">
      <w:pPr>
        <w:ind w:firstLine="420" w:firstLineChars="200"/>
        <w:rPr>
          <w:rFonts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532C8E9D">
      <w:pPr>
        <w:rPr>
          <w:rFonts w:ascii="宋体" w:hAnsi="宋体" w:cs="宋体"/>
          <w:color w:val="auto"/>
          <w:szCs w:val="21"/>
          <w:highlight w:val="none"/>
        </w:rPr>
      </w:pPr>
      <w:r>
        <w:rPr>
          <w:rFonts w:hint="eastAsia" w:ascii="宋体" w:hAnsi="宋体" w:cs="宋体"/>
          <w:color w:val="auto"/>
          <w:szCs w:val="21"/>
          <w:highlight w:val="none"/>
        </w:rPr>
        <w:t>评委签名：</w:t>
      </w:r>
      <w:r>
        <w:rPr>
          <w:rFonts w:hint="eastAsia" w:ascii="宋体" w:hAnsi="宋体" w:cs="宋体"/>
          <w:color w:val="auto"/>
          <w:highlight w:val="none"/>
        </w:rPr>
        <w:br w:type="page"/>
      </w:r>
      <w:r>
        <w:rPr>
          <w:rFonts w:hint="eastAsia" w:ascii="宋体" w:hAnsi="宋体" w:cs="宋体"/>
          <w:color w:val="auto"/>
          <w:szCs w:val="21"/>
          <w:highlight w:val="none"/>
        </w:rPr>
        <w:t>附表三</w:t>
      </w:r>
    </w:p>
    <w:p w14:paraId="2785BD08">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1D95342B">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1316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53"/>
        <w:gridCol w:w="1187"/>
        <w:gridCol w:w="1397"/>
        <w:gridCol w:w="1397"/>
      </w:tblGrid>
      <w:tr w14:paraId="246F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532" w:type="dxa"/>
            <w:tcBorders>
              <w:top w:val="single" w:color="auto" w:sz="4" w:space="0"/>
              <w:left w:val="single" w:color="auto" w:sz="4" w:space="0"/>
              <w:bottom w:val="single" w:color="auto" w:sz="4" w:space="0"/>
              <w:right w:val="single" w:color="auto" w:sz="4" w:space="0"/>
            </w:tcBorders>
            <w:vAlign w:val="center"/>
          </w:tcPr>
          <w:p w14:paraId="2B03859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8653" w:type="dxa"/>
            <w:tcBorders>
              <w:top w:val="single" w:color="auto" w:sz="4" w:space="0"/>
              <w:left w:val="single" w:color="auto" w:sz="4" w:space="0"/>
              <w:bottom w:val="single" w:color="auto" w:sz="4" w:space="0"/>
              <w:right w:val="single" w:color="auto" w:sz="4" w:space="0"/>
              <w:tl2br w:val="single" w:color="auto" w:sz="4" w:space="0"/>
            </w:tcBorders>
          </w:tcPr>
          <w:p w14:paraId="64A567F3">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 xml:space="preserve">               投标人</w:t>
            </w:r>
          </w:p>
          <w:p w14:paraId="7DD254F4">
            <w:pPr>
              <w:keepNext w:val="0"/>
              <w:keepLines w:val="0"/>
              <w:suppressLineNumbers w:val="0"/>
              <w:spacing w:before="0" w:beforeAutospacing="0" w:after="0" w:afterAutospacing="0"/>
              <w:ind w:left="0" w:right="0"/>
              <w:rPr>
                <w:rFonts w:hint="default" w:ascii="宋体" w:hAnsi="宋体" w:cs="宋体"/>
                <w:color w:val="auto"/>
                <w:szCs w:val="21"/>
                <w:highlight w:val="none"/>
              </w:rPr>
            </w:pPr>
          </w:p>
          <w:p w14:paraId="6C1E323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评审内容</w:t>
            </w:r>
          </w:p>
        </w:tc>
        <w:tc>
          <w:tcPr>
            <w:tcW w:w="1187" w:type="dxa"/>
            <w:tcBorders>
              <w:top w:val="single" w:color="auto" w:sz="4" w:space="0"/>
              <w:left w:val="single" w:color="auto" w:sz="4" w:space="0"/>
              <w:bottom w:val="single" w:color="auto" w:sz="4" w:space="0"/>
              <w:right w:val="single" w:color="auto" w:sz="4" w:space="0"/>
            </w:tcBorders>
          </w:tcPr>
          <w:p w14:paraId="5096B74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0CE0BD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536EA0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7215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4ABFEC7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p>
        </w:tc>
        <w:tc>
          <w:tcPr>
            <w:tcW w:w="8653" w:type="dxa"/>
            <w:tcBorders>
              <w:top w:val="single" w:color="auto" w:sz="4" w:space="0"/>
              <w:left w:val="single" w:color="auto" w:sz="4" w:space="0"/>
              <w:bottom w:val="single" w:color="auto" w:sz="4" w:space="0"/>
              <w:right w:val="single" w:color="auto" w:sz="4" w:space="0"/>
            </w:tcBorders>
            <w:vAlign w:val="center"/>
          </w:tcPr>
          <w:p w14:paraId="3D85206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187" w:type="dxa"/>
            <w:tcBorders>
              <w:top w:val="single" w:color="auto" w:sz="4" w:space="0"/>
              <w:left w:val="single" w:color="auto" w:sz="4" w:space="0"/>
              <w:bottom w:val="single" w:color="auto" w:sz="4" w:space="0"/>
              <w:right w:val="single" w:color="auto" w:sz="4" w:space="0"/>
            </w:tcBorders>
          </w:tcPr>
          <w:p w14:paraId="70AAAEB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151B7F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CC9C8C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B3C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CF3096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w:t>
            </w:r>
          </w:p>
        </w:tc>
        <w:tc>
          <w:tcPr>
            <w:tcW w:w="8653" w:type="dxa"/>
            <w:tcBorders>
              <w:top w:val="single" w:color="auto" w:sz="4" w:space="0"/>
              <w:left w:val="single" w:color="auto" w:sz="4" w:space="0"/>
              <w:bottom w:val="single" w:color="auto" w:sz="4" w:space="0"/>
              <w:right w:val="single" w:color="auto" w:sz="4" w:space="0"/>
            </w:tcBorders>
            <w:vAlign w:val="center"/>
          </w:tcPr>
          <w:p w14:paraId="1265753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187" w:type="dxa"/>
            <w:tcBorders>
              <w:top w:val="single" w:color="auto" w:sz="4" w:space="0"/>
              <w:left w:val="single" w:color="auto" w:sz="4" w:space="0"/>
              <w:bottom w:val="single" w:color="auto" w:sz="4" w:space="0"/>
              <w:right w:val="single" w:color="auto" w:sz="4" w:space="0"/>
            </w:tcBorders>
          </w:tcPr>
          <w:p w14:paraId="6512F10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B7A8E1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2F45B2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2C8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76472D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p>
        </w:tc>
        <w:tc>
          <w:tcPr>
            <w:tcW w:w="8653" w:type="dxa"/>
            <w:tcBorders>
              <w:top w:val="single" w:color="auto" w:sz="4" w:space="0"/>
              <w:left w:val="single" w:color="auto" w:sz="4" w:space="0"/>
              <w:bottom w:val="single" w:color="auto" w:sz="4" w:space="0"/>
              <w:right w:val="single" w:color="auto" w:sz="4" w:space="0"/>
            </w:tcBorders>
            <w:vAlign w:val="center"/>
          </w:tcPr>
          <w:p w14:paraId="6DF94E1B">
            <w:pPr>
              <w:keepNext w:val="0"/>
              <w:keepLines w:val="0"/>
              <w:suppressLineNumbers w:val="0"/>
              <w:autoSpaceDE w:val="0"/>
              <w:autoSpaceDN w:val="0"/>
              <w:adjustRightInd w:val="0"/>
              <w:spacing w:before="0" w:beforeAutospacing="0" w:after="0" w:afterAutospacing="0"/>
              <w:ind w:left="-2" w:leftChars="-1" w:right="0"/>
              <w:jc w:val="left"/>
              <w:rPr>
                <w:rFonts w:hint="default" w:ascii="宋体" w:hAnsi="宋体" w:cs="宋体"/>
                <w:color w:val="auto"/>
                <w:szCs w:val="21"/>
                <w:highlight w:val="none"/>
              </w:rPr>
            </w:pPr>
            <w:r>
              <w:rPr>
                <w:rFonts w:hint="eastAsia" w:ascii="宋体" w:hAnsi="宋体" w:cs="宋体"/>
                <w:color w:val="auto"/>
                <w:szCs w:val="21"/>
                <w:highlight w:val="none"/>
              </w:rPr>
              <w:t>投标报价低于成本的；</w:t>
            </w:r>
          </w:p>
        </w:tc>
        <w:tc>
          <w:tcPr>
            <w:tcW w:w="1187" w:type="dxa"/>
            <w:tcBorders>
              <w:top w:val="single" w:color="auto" w:sz="4" w:space="0"/>
              <w:left w:val="single" w:color="auto" w:sz="4" w:space="0"/>
              <w:bottom w:val="single" w:color="auto" w:sz="4" w:space="0"/>
              <w:right w:val="single" w:color="auto" w:sz="4" w:space="0"/>
            </w:tcBorders>
          </w:tcPr>
          <w:p w14:paraId="368135B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F88372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716D6E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6C2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6B4D1F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p>
        </w:tc>
        <w:tc>
          <w:tcPr>
            <w:tcW w:w="8653" w:type="dxa"/>
            <w:tcBorders>
              <w:top w:val="single" w:color="auto" w:sz="4" w:space="0"/>
              <w:left w:val="single" w:color="auto" w:sz="4" w:space="0"/>
              <w:bottom w:val="single" w:color="auto" w:sz="4" w:space="0"/>
              <w:right w:val="single" w:color="auto" w:sz="4" w:space="0"/>
            </w:tcBorders>
            <w:vAlign w:val="center"/>
          </w:tcPr>
          <w:p w14:paraId="53F2478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none"/>
              </w:rPr>
              <w:t>（经济标格式三、格式四）</w:t>
            </w:r>
            <w:r>
              <w:rPr>
                <w:rFonts w:hint="eastAsia" w:ascii="宋体" w:hAnsi="宋体" w:cs="宋体"/>
                <w:color w:val="auto"/>
                <w:szCs w:val="21"/>
                <w:highlight w:val="none"/>
              </w:rPr>
              <w:t>填写，或主要内容不全，或关键字迹模糊、无法辨认的；</w:t>
            </w:r>
          </w:p>
        </w:tc>
        <w:tc>
          <w:tcPr>
            <w:tcW w:w="1187" w:type="dxa"/>
            <w:tcBorders>
              <w:top w:val="single" w:color="auto" w:sz="4" w:space="0"/>
              <w:left w:val="single" w:color="auto" w:sz="4" w:space="0"/>
              <w:bottom w:val="single" w:color="auto" w:sz="4" w:space="0"/>
              <w:right w:val="single" w:color="auto" w:sz="4" w:space="0"/>
            </w:tcBorders>
          </w:tcPr>
          <w:p w14:paraId="0640DA6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30F16B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F280FB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7D7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B9BBDA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5</w:t>
            </w:r>
          </w:p>
        </w:tc>
        <w:tc>
          <w:tcPr>
            <w:tcW w:w="8653" w:type="dxa"/>
            <w:tcBorders>
              <w:top w:val="single" w:color="auto" w:sz="4" w:space="0"/>
              <w:left w:val="single" w:color="auto" w:sz="4" w:space="0"/>
              <w:bottom w:val="single" w:color="auto" w:sz="4" w:space="0"/>
              <w:right w:val="single" w:color="auto" w:sz="4" w:space="0"/>
            </w:tcBorders>
            <w:vAlign w:val="center"/>
          </w:tcPr>
          <w:p w14:paraId="74DF3470">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187" w:type="dxa"/>
            <w:tcBorders>
              <w:top w:val="single" w:color="auto" w:sz="4" w:space="0"/>
              <w:left w:val="single" w:color="auto" w:sz="4" w:space="0"/>
              <w:bottom w:val="single" w:color="auto" w:sz="4" w:space="0"/>
              <w:right w:val="single" w:color="auto" w:sz="4" w:space="0"/>
            </w:tcBorders>
          </w:tcPr>
          <w:p w14:paraId="0234DFE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5BF153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4D4561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267F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67EEA37A">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6</w:t>
            </w:r>
          </w:p>
        </w:tc>
        <w:tc>
          <w:tcPr>
            <w:tcW w:w="8653" w:type="dxa"/>
            <w:tcBorders>
              <w:top w:val="single" w:color="auto" w:sz="4" w:space="0"/>
              <w:left w:val="single" w:color="auto" w:sz="4" w:space="0"/>
              <w:bottom w:val="single" w:color="auto" w:sz="4" w:space="0"/>
              <w:right w:val="single" w:color="auto" w:sz="4" w:space="0"/>
            </w:tcBorders>
            <w:vAlign w:val="center"/>
          </w:tcPr>
          <w:p w14:paraId="0A6475BE">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187" w:type="dxa"/>
            <w:tcBorders>
              <w:top w:val="single" w:color="auto" w:sz="4" w:space="0"/>
              <w:left w:val="single" w:color="auto" w:sz="4" w:space="0"/>
              <w:bottom w:val="single" w:color="auto" w:sz="4" w:space="0"/>
              <w:right w:val="single" w:color="auto" w:sz="4" w:space="0"/>
            </w:tcBorders>
          </w:tcPr>
          <w:p w14:paraId="14E1E52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E2108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582D04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079D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12E1BE3F">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7</w:t>
            </w:r>
          </w:p>
        </w:tc>
        <w:tc>
          <w:tcPr>
            <w:tcW w:w="8653" w:type="dxa"/>
            <w:tcBorders>
              <w:top w:val="single" w:color="auto" w:sz="4" w:space="0"/>
              <w:left w:val="single" w:color="auto" w:sz="4" w:space="0"/>
              <w:bottom w:val="single" w:color="auto" w:sz="4" w:space="0"/>
              <w:right w:val="single" w:color="auto" w:sz="4" w:space="0"/>
            </w:tcBorders>
            <w:vAlign w:val="center"/>
          </w:tcPr>
          <w:p w14:paraId="2EB2F82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无《对投标文件编制的承诺》</w:t>
            </w:r>
            <w:r>
              <w:rPr>
                <w:rFonts w:hint="eastAsia" w:ascii="宋体" w:hAnsi="宋体" w:cs="宋体"/>
                <w:color w:val="auto"/>
                <w:szCs w:val="21"/>
                <w:highlight w:val="none"/>
                <w:lang w:eastAsia="zh-CN"/>
              </w:rPr>
              <w:t>；</w:t>
            </w:r>
          </w:p>
        </w:tc>
        <w:tc>
          <w:tcPr>
            <w:tcW w:w="1187" w:type="dxa"/>
            <w:tcBorders>
              <w:top w:val="single" w:color="auto" w:sz="4" w:space="0"/>
              <w:left w:val="single" w:color="auto" w:sz="4" w:space="0"/>
              <w:bottom w:val="single" w:color="auto" w:sz="4" w:space="0"/>
              <w:right w:val="single" w:color="auto" w:sz="4" w:space="0"/>
            </w:tcBorders>
          </w:tcPr>
          <w:p w14:paraId="6426068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393709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4862B6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3658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E9CAD79">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8</w:t>
            </w:r>
          </w:p>
        </w:tc>
        <w:tc>
          <w:tcPr>
            <w:tcW w:w="8653" w:type="dxa"/>
            <w:tcBorders>
              <w:top w:val="single" w:color="auto" w:sz="4" w:space="0"/>
              <w:left w:val="single" w:color="auto" w:sz="4" w:space="0"/>
              <w:bottom w:val="single" w:color="auto" w:sz="4" w:space="0"/>
              <w:right w:val="single" w:color="auto" w:sz="4" w:space="0"/>
            </w:tcBorders>
            <w:vAlign w:val="center"/>
          </w:tcPr>
          <w:p w14:paraId="4F9C4AF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投标人与本项目其他投标人的投标文件工程量清单编制机器硬件信息一致的（以交易平台评标系统的检索信息为准）</w:t>
            </w:r>
            <w:r>
              <w:rPr>
                <w:rFonts w:hint="eastAsia" w:ascii="宋体" w:hAnsi="宋体" w:cs="宋体"/>
                <w:color w:val="auto"/>
                <w:szCs w:val="21"/>
                <w:highlight w:val="none"/>
                <w:lang w:eastAsia="zh-CN"/>
              </w:rPr>
              <w:t>。</w:t>
            </w:r>
          </w:p>
        </w:tc>
        <w:tc>
          <w:tcPr>
            <w:tcW w:w="1187" w:type="dxa"/>
            <w:tcBorders>
              <w:top w:val="single" w:color="auto" w:sz="4" w:space="0"/>
              <w:left w:val="single" w:color="auto" w:sz="4" w:space="0"/>
              <w:bottom w:val="single" w:color="auto" w:sz="4" w:space="0"/>
              <w:right w:val="single" w:color="auto" w:sz="4" w:space="0"/>
            </w:tcBorders>
          </w:tcPr>
          <w:p w14:paraId="3CB96E5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E94F13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C29B31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14:paraId="6B689AE2">
      <w:pPr>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14:paraId="1185BDF6">
      <w:pPr>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14:paraId="6968F02E">
      <w:pPr>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5A5F96E6">
      <w:pPr>
        <w:pStyle w:val="5"/>
        <w:ind w:firstLine="458"/>
        <w:rPr>
          <w:rFonts w:ascii="宋体" w:hAnsi="宋体" w:cs="宋体"/>
          <w:color w:val="auto"/>
          <w:szCs w:val="21"/>
          <w:highlight w:val="none"/>
        </w:rPr>
      </w:pPr>
      <w:r>
        <w:rPr>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C1C8C1F">
      <w:pPr>
        <w:pStyle w:val="5"/>
        <w:ind w:firstLine="458"/>
        <w:rPr>
          <w:rFonts w:ascii="宋体" w:hAnsi="宋体" w:cs="宋体"/>
          <w:color w:val="auto"/>
          <w:szCs w:val="21"/>
          <w:highlight w:val="none"/>
        </w:rPr>
        <w:sect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s="宋体"/>
          <w:color w:val="auto"/>
          <w:szCs w:val="21"/>
          <w:highlight w:val="none"/>
        </w:rPr>
        <w:t>评委签名：</w:t>
      </w:r>
    </w:p>
    <w:p w14:paraId="6BB17A17">
      <w:pPr>
        <w:rPr>
          <w:color w:val="auto"/>
          <w:szCs w:val="21"/>
          <w:highlight w:val="none"/>
        </w:rPr>
      </w:pPr>
      <w:r>
        <w:rPr>
          <w:rFonts w:hint="eastAsia"/>
          <w:color w:val="auto"/>
          <w:szCs w:val="21"/>
          <w:highlight w:val="none"/>
        </w:rPr>
        <w:t>附表四</w:t>
      </w:r>
    </w:p>
    <w:p w14:paraId="7A178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技术标详细审查评分表</w:t>
      </w:r>
    </w:p>
    <w:tbl>
      <w:tblPr>
        <w:tblStyle w:val="39"/>
        <w:tblW w:w="14548" w:type="dxa"/>
        <w:tblInd w:w="0" w:type="dxa"/>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Layout w:type="fixed"/>
        <w:tblCellMar>
          <w:top w:w="0" w:type="dxa"/>
          <w:left w:w="0" w:type="dxa"/>
          <w:bottom w:w="0" w:type="dxa"/>
          <w:right w:w="0" w:type="dxa"/>
        </w:tblCellMar>
      </w:tblPr>
      <w:tblGrid>
        <w:gridCol w:w="780"/>
        <w:gridCol w:w="1080"/>
        <w:gridCol w:w="1083"/>
        <w:gridCol w:w="709"/>
        <w:gridCol w:w="10896"/>
      </w:tblGrid>
      <w:tr w14:paraId="5D0C374E">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556" w:hRule="atLeast"/>
          <w:tblHeader/>
        </w:trPr>
        <w:tc>
          <w:tcPr>
            <w:tcW w:w="780" w:type="dxa"/>
            <w:tcBorders>
              <w:tl2br w:val="nil"/>
              <w:tr2bl w:val="nil"/>
            </w:tcBorders>
            <w:shd w:val="clear" w:color="auto" w:fill="auto"/>
            <w:tcMar>
              <w:top w:w="15" w:type="dxa"/>
              <w:left w:w="108" w:type="dxa"/>
              <w:bottom w:w="0" w:type="dxa"/>
              <w:right w:w="108" w:type="dxa"/>
            </w:tcMar>
            <w:vAlign w:val="center"/>
          </w:tcPr>
          <w:p w14:paraId="0059D70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序号</w:t>
            </w:r>
          </w:p>
        </w:tc>
        <w:tc>
          <w:tcPr>
            <w:tcW w:w="1080" w:type="dxa"/>
            <w:tcBorders>
              <w:tl2br w:val="nil"/>
              <w:tr2bl w:val="nil"/>
            </w:tcBorders>
            <w:shd w:val="clear" w:color="auto" w:fill="auto"/>
            <w:tcMar>
              <w:top w:w="15" w:type="dxa"/>
              <w:left w:w="108" w:type="dxa"/>
              <w:bottom w:w="0" w:type="dxa"/>
              <w:right w:w="108" w:type="dxa"/>
            </w:tcMar>
            <w:vAlign w:val="center"/>
          </w:tcPr>
          <w:p w14:paraId="4C25762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评分项目</w:t>
            </w:r>
          </w:p>
        </w:tc>
        <w:tc>
          <w:tcPr>
            <w:tcW w:w="1083" w:type="dxa"/>
            <w:tcBorders>
              <w:tl2br w:val="nil"/>
              <w:tr2bl w:val="nil"/>
            </w:tcBorders>
            <w:shd w:val="clear" w:color="auto" w:fill="auto"/>
            <w:tcMar>
              <w:top w:w="15" w:type="dxa"/>
              <w:left w:w="108" w:type="dxa"/>
              <w:bottom w:w="0" w:type="dxa"/>
              <w:right w:w="108" w:type="dxa"/>
            </w:tcMar>
            <w:vAlign w:val="center"/>
          </w:tcPr>
          <w:p w14:paraId="14D35338">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评分内容</w:t>
            </w:r>
          </w:p>
        </w:tc>
        <w:tc>
          <w:tcPr>
            <w:tcW w:w="709" w:type="dxa"/>
            <w:tcBorders>
              <w:tl2br w:val="nil"/>
              <w:tr2bl w:val="nil"/>
            </w:tcBorders>
            <w:shd w:val="clear" w:color="auto" w:fill="auto"/>
            <w:tcMar>
              <w:top w:w="15" w:type="dxa"/>
              <w:left w:w="108" w:type="dxa"/>
              <w:bottom w:w="0" w:type="dxa"/>
              <w:right w:w="108" w:type="dxa"/>
            </w:tcMar>
            <w:vAlign w:val="center"/>
          </w:tcPr>
          <w:p w14:paraId="4F5ED479">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分值</w:t>
            </w:r>
          </w:p>
        </w:tc>
        <w:tc>
          <w:tcPr>
            <w:tcW w:w="10896" w:type="dxa"/>
            <w:tcBorders>
              <w:tl2br w:val="nil"/>
              <w:tr2bl w:val="nil"/>
            </w:tcBorders>
            <w:shd w:val="clear" w:color="auto" w:fill="auto"/>
            <w:tcMar>
              <w:top w:w="15" w:type="dxa"/>
              <w:left w:w="108" w:type="dxa"/>
              <w:bottom w:w="0" w:type="dxa"/>
              <w:right w:w="108" w:type="dxa"/>
            </w:tcMar>
            <w:vAlign w:val="center"/>
          </w:tcPr>
          <w:p w14:paraId="72360241">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36"/>
                <w:szCs w:val="36"/>
                <w:highlight w:val="none"/>
              </w:rPr>
            </w:pPr>
            <w:r>
              <w:rPr>
                <w:rFonts w:hint="eastAsia" w:ascii="宋体" w:hAnsi="宋体" w:cs="宋体"/>
                <w:b/>
                <w:bCs/>
                <w:color w:val="auto"/>
                <w:kern w:val="24"/>
                <w:sz w:val="20"/>
                <w:szCs w:val="20"/>
                <w:highlight w:val="none"/>
              </w:rPr>
              <w:t>评审标准</w:t>
            </w:r>
          </w:p>
        </w:tc>
      </w:tr>
      <w:tr w14:paraId="08AD8ABA">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480" w:hRule="atLeast"/>
        </w:trPr>
        <w:tc>
          <w:tcPr>
            <w:tcW w:w="780" w:type="dxa"/>
            <w:vMerge w:val="restart"/>
            <w:tcBorders>
              <w:tl2br w:val="nil"/>
              <w:tr2bl w:val="nil"/>
            </w:tcBorders>
            <w:shd w:val="clear" w:color="auto" w:fill="auto"/>
            <w:tcMar>
              <w:top w:w="15" w:type="dxa"/>
              <w:left w:w="108" w:type="dxa"/>
              <w:bottom w:w="0" w:type="dxa"/>
              <w:right w:w="108" w:type="dxa"/>
            </w:tcMar>
            <w:vAlign w:val="center"/>
          </w:tcPr>
          <w:p w14:paraId="21207256">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一</w:t>
            </w:r>
          </w:p>
        </w:tc>
        <w:tc>
          <w:tcPr>
            <w:tcW w:w="1080" w:type="dxa"/>
            <w:vMerge w:val="restart"/>
            <w:tcBorders>
              <w:tl2br w:val="nil"/>
              <w:tr2bl w:val="nil"/>
            </w:tcBorders>
            <w:shd w:val="clear" w:color="auto" w:fill="auto"/>
            <w:tcMar>
              <w:top w:w="15" w:type="dxa"/>
              <w:left w:w="108" w:type="dxa"/>
              <w:bottom w:w="0" w:type="dxa"/>
              <w:right w:w="108" w:type="dxa"/>
            </w:tcMar>
            <w:vAlign w:val="center"/>
          </w:tcPr>
          <w:p w14:paraId="3554DF85">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企业资信（</w:t>
            </w:r>
            <w:r>
              <w:rPr>
                <w:rFonts w:hint="eastAsia" w:ascii="宋体" w:hAnsi="宋体" w:cs="宋体"/>
                <w:color w:val="auto"/>
                <w:kern w:val="24"/>
                <w:sz w:val="20"/>
                <w:szCs w:val="20"/>
                <w:highlight w:val="none"/>
                <w:lang w:val="en-US" w:eastAsia="zh-CN"/>
              </w:rPr>
              <w:t>30</w:t>
            </w:r>
            <w:r>
              <w:rPr>
                <w:rFonts w:hint="eastAsia" w:ascii="宋体" w:hAnsi="宋体" w:cs="宋体"/>
                <w:color w:val="auto"/>
                <w:kern w:val="24"/>
                <w:sz w:val="20"/>
                <w:szCs w:val="20"/>
                <w:highlight w:val="none"/>
              </w:rPr>
              <w:t>分）</w:t>
            </w:r>
          </w:p>
        </w:tc>
        <w:tc>
          <w:tcPr>
            <w:tcW w:w="1083" w:type="dxa"/>
            <w:tcBorders>
              <w:tl2br w:val="nil"/>
              <w:tr2bl w:val="nil"/>
            </w:tcBorders>
            <w:shd w:val="clear" w:color="auto" w:fill="auto"/>
            <w:tcMar>
              <w:top w:w="15" w:type="dxa"/>
              <w:left w:w="108" w:type="dxa"/>
              <w:bottom w:w="0" w:type="dxa"/>
              <w:right w:w="108" w:type="dxa"/>
            </w:tcMar>
            <w:vAlign w:val="center"/>
          </w:tcPr>
          <w:p w14:paraId="181B6B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企业业绩</w:t>
            </w:r>
          </w:p>
        </w:tc>
        <w:tc>
          <w:tcPr>
            <w:tcW w:w="709" w:type="dxa"/>
            <w:tcBorders>
              <w:tl2br w:val="nil"/>
              <w:tr2bl w:val="nil"/>
            </w:tcBorders>
            <w:shd w:val="clear" w:color="auto" w:fill="auto"/>
            <w:tcMar>
              <w:top w:w="15" w:type="dxa"/>
              <w:left w:w="108" w:type="dxa"/>
              <w:bottom w:w="0" w:type="dxa"/>
              <w:right w:w="108" w:type="dxa"/>
            </w:tcMar>
            <w:vAlign w:val="center"/>
          </w:tcPr>
          <w:p w14:paraId="34BED76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15</w:t>
            </w:r>
          </w:p>
        </w:tc>
        <w:tc>
          <w:tcPr>
            <w:tcW w:w="10896" w:type="dxa"/>
            <w:tcBorders>
              <w:tl2br w:val="nil"/>
              <w:tr2bl w:val="nil"/>
            </w:tcBorders>
            <w:shd w:val="clear" w:color="auto" w:fill="auto"/>
            <w:tcMar>
              <w:top w:w="15" w:type="dxa"/>
              <w:left w:w="108" w:type="dxa"/>
              <w:bottom w:w="0" w:type="dxa"/>
              <w:right w:w="108" w:type="dxa"/>
            </w:tcMar>
            <w:vAlign w:val="center"/>
          </w:tcPr>
          <w:p w14:paraId="420D7E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投标人自202</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年1月1日至今，完成过质量合格的中标金额大于或等于</w:t>
            </w:r>
            <w:r>
              <w:rPr>
                <w:rFonts w:hint="eastAsia" w:ascii="宋体" w:hAnsi="宋体" w:eastAsia="宋体" w:cs="宋体"/>
                <w:color w:val="auto"/>
                <w:kern w:val="24"/>
                <w:sz w:val="20"/>
                <w:szCs w:val="20"/>
                <w:highlight w:val="none"/>
                <w:lang w:val="en-US" w:eastAsia="zh-CN"/>
              </w:rPr>
              <w:t>3</w:t>
            </w:r>
            <w:r>
              <w:rPr>
                <w:rFonts w:hint="eastAsia" w:ascii="宋体" w:hAnsi="宋体" w:eastAsia="宋体" w:cs="宋体"/>
                <w:color w:val="auto"/>
                <w:kern w:val="24"/>
                <w:sz w:val="20"/>
                <w:szCs w:val="20"/>
                <w:highlight w:val="none"/>
              </w:rPr>
              <w:t>00万元的10KV</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或以上</w:t>
            </w:r>
            <w:r>
              <w:rPr>
                <w:rFonts w:hint="eastAsia" w:ascii="宋体" w:hAnsi="宋体" w:eastAsia="宋体" w:cs="宋体"/>
                <w:color w:val="auto"/>
                <w:kern w:val="24"/>
                <w:sz w:val="20"/>
                <w:szCs w:val="20"/>
                <w:highlight w:val="none"/>
                <w:lang w:eastAsia="zh-CN"/>
              </w:rPr>
              <w:t>）</w:t>
            </w:r>
            <w:r>
              <w:rPr>
                <w:rFonts w:hint="eastAsia" w:ascii="宋体" w:hAnsi="宋体" w:eastAsia="宋体" w:cs="宋体"/>
                <w:color w:val="auto"/>
                <w:kern w:val="24"/>
                <w:sz w:val="20"/>
                <w:szCs w:val="20"/>
                <w:highlight w:val="none"/>
              </w:rPr>
              <w:t>电力工程施工业绩，每项得</w:t>
            </w:r>
            <w:r>
              <w:rPr>
                <w:rFonts w:hint="eastAsia" w:ascii="宋体" w:hAnsi="宋体" w:cs="宋体"/>
                <w:color w:val="auto"/>
                <w:kern w:val="24"/>
                <w:sz w:val="20"/>
                <w:szCs w:val="20"/>
                <w:highlight w:val="none"/>
                <w:lang w:val="en-US" w:eastAsia="zh-CN"/>
              </w:rPr>
              <w:t>1.5</w:t>
            </w:r>
            <w:r>
              <w:rPr>
                <w:rFonts w:hint="eastAsia" w:ascii="宋体" w:hAnsi="宋体" w:eastAsia="宋体" w:cs="宋体"/>
                <w:color w:val="auto"/>
                <w:kern w:val="24"/>
                <w:sz w:val="20"/>
                <w:szCs w:val="20"/>
                <w:highlight w:val="none"/>
              </w:rPr>
              <w:t>分，最高得</w:t>
            </w:r>
            <w:r>
              <w:rPr>
                <w:rFonts w:hint="eastAsia" w:ascii="宋体" w:hAnsi="宋体" w:eastAsia="宋体" w:cs="宋体"/>
                <w:color w:val="auto"/>
                <w:kern w:val="24"/>
                <w:sz w:val="20"/>
                <w:szCs w:val="20"/>
                <w:highlight w:val="none"/>
                <w:lang w:val="en-US" w:eastAsia="zh-CN"/>
              </w:rPr>
              <w:t>15</w:t>
            </w:r>
            <w:r>
              <w:rPr>
                <w:rFonts w:hint="eastAsia" w:ascii="宋体" w:hAnsi="宋体" w:eastAsia="宋体" w:cs="宋体"/>
                <w:color w:val="auto"/>
                <w:kern w:val="24"/>
                <w:sz w:val="20"/>
                <w:szCs w:val="20"/>
                <w:highlight w:val="none"/>
              </w:rPr>
              <w:t>分。</w:t>
            </w:r>
          </w:p>
        </w:tc>
      </w:tr>
      <w:tr w14:paraId="585ABBB4">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480" w:hRule="atLeast"/>
        </w:trPr>
        <w:tc>
          <w:tcPr>
            <w:tcW w:w="780" w:type="dxa"/>
            <w:vMerge w:val="continue"/>
            <w:tcBorders>
              <w:tl2br w:val="nil"/>
              <w:tr2bl w:val="nil"/>
            </w:tcBorders>
            <w:shd w:val="clear" w:color="auto" w:fill="auto"/>
            <w:tcMar>
              <w:top w:w="15" w:type="dxa"/>
              <w:left w:w="108" w:type="dxa"/>
              <w:bottom w:w="0" w:type="dxa"/>
              <w:right w:w="108" w:type="dxa"/>
            </w:tcMar>
            <w:vAlign w:val="center"/>
          </w:tcPr>
          <w:p w14:paraId="072E170C">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80" w:type="dxa"/>
            <w:vMerge w:val="continue"/>
            <w:tcBorders>
              <w:tl2br w:val="nil"/>
              <w:tr2bl w:val="nil"/>
            </w:tcBorders>
            <w:shd w:val="clear" w:color="auto" w:fill="auto"/>
            <w:tcMar>
              <w:top w:w="15" w:type="dxa"/>
              <w:left w:w="108" w:type="dxa"/>
              <w:bottom w:w="0" w:type="dxa"/>
              <w:right w:w="108" w:type="dxa"/>
            </w:tcMar>
            <w:vAlign w:val="center"/>
          </w:tcPr>
          <w:p w14:paraId="6E4C6021">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83" w:type="dxa"/>
            <w:tcBorders>
              <w:tl2br w:val="nil"/>
              <w:tr2bl w:val="nil"/>
            </w:tcBorders>
            <w:shd w:val="clear" w:color="auto" w:fill="auto"/>
            <w:tcMar>
              <w:top w:w="15" w:type="dxa"/>
              <w:left w:w="108" w:type="dxa"/>
              <w:bottom w:w="0" w:type="dxa"/>
              <w:right w:w="108" w:type="dxa"/>
            </w:tcMar>
            <w:vAlign w:val="center"/>
          </w:tcPr>
          <w:p w14:paraId="67B41E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工程奖项</w:t>
            </w:r>
          </w:p>
        </w:tc>
        <w:tc>
          <w:tcPr>
            <w:tcW w:w="709" w:type="dxa"/>
            <w:tcBorders>
              <w:tl2br w:val="nil"/>
              <w:tr2bl w:val="nil"/>
            </w:tcBorders>
            <w:shd w:val="clear" w:color="auto" w:fill="auto"/>
            <w:tcMar>
              <w:top w:w="15" w:type="dxa"/>
              <w:left w:w="108" w:type="dxa"/>
              <w:bottom w:w="0" w:type="dxa"/>
              <w:right w:w="108" w:type="dxa"/>
            </w:tcMar>
            <w:vAlign w:val="center"/>
          </w:tcPr>
          <w:p w14:paraId="53E1BE80">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12</w:t>
            </w:r>
          </w:p>
        </w:tc>
        <w:tc>
          <w:tcPr>
            <w:tcW w:w="10896" w:type="dxa"/>
            <w:tcBorders>
              <w:tl2br w:val="nil"/>
              <w:tr2bl w:val="nil"/>
            </w:tcBorders>
            <w:shd w:val="clear" w:color="auto" w:fill="auto"/>
            <w:tcMar>
              <w:top w:w="15" w:type="dxa"/>
              <w:left w:w="108" w:type="dxa"/>
              <w:bottom w:w="0" w:type="dxa"/>
              <w:right w:w="108" w:type="dxa"/>
            </w:tcMar>
            <w:vAlign w:val="center"/>
          </w:tcPr>
          <w:p w14:paraId="41DEE2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投标人自202</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年1月1日至投标截止时间止，承接工程项目获得过工程质量奖项情况：</w:t>
            </w:r>
          </w:p>
          <w:p w14:paraId="2A806A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rPr>
              <w:t>（1）国家级工程质量奖项的，</w:t>
            </w:r>
            <w:r>
              <w:rPr>
                <w:rFonts w:hint="eastAsia" w:ascii="宋体" w:hAnsi="宋体" w:cs="宋体"/>
                <w:color w:val="auto"/>
                <w:kern w:val="24"/>
                <w:sz w:val="20"/>
                <w:szCs w:val="20"/>
                <w:highlight w:val="none"/>
                <w:lang w:val="en-US" w:eastAsia="zh-CN"/>
              </w:rPr>
              <w:t>每项</w:t>
            </w:r>
            <w:r>
              <w:rPr>
                <w:rFonts w:hint="eastAsia" w:ascii="宋体" w:hAnsi="宋体" w:eastAsia="宋体" w:cs="宋体"/>
                <w:color w:val="auto"/>
                <w:kern w:val="24"/>
                <w:sz w:val="20"/>
                <w:szCs w:val="20"/>
                <w:highlight w:val="none"/>
                <w:lang w:val="en-US" w:eastAsia="zh-CN"/>
              </w:rPr>
              <w:t>得</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rPr>
              <w:t>分；（2）省级工程质量奖项的，</w:t>
            </w:r>
            <w:r>
              <w:rPr>
                <w:rFonts w:hint="eastAsia" w:ascii="宋体" w:hAnsi="宋体" w:cs="宋体"/>
                <w:color w:val="auto"/>
                <w:kern w:val="24"/>
                <w:sz w:val="20"/>
                <w:szCs w:val="20"/>
                <w:highlight w:val="none"/>
                <w:lang w:val="en-US" w:eastAsia="zh-CN"/>
              </w:rPr>
              <w:t>每项</w:t>
            </w:r>
            <w:r>
              <w:rPr>
                <w:rFonts w:hint="eastAsia" w:ascii="宋体" w:hAnsi="宋体" w:eastAsia="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1</w:t>
            </w:r>
            <w:r>
              <w:rPr>
                <w:rFonts w:hint="eastAsia" w:ascii="宋体" w:hAnsi="宋体" w:eastAsia="宋体" w:cs="宋体"/>
                <w:color w:val="auto"/>
                <w:kern w:val="24"/>
                <w:sz w:val="20"/>
                <w:szCs w:val="20"/>
                <w:highlight w:val="none"/>
              </w:rPr>
              <w:t>分；（3）市级（含副省级）工程质量奖项的，</w:t>
            </w:r>
            <w:r>
              <w:rPr>
                <w:rFonts w:hint="eastAsia" w:ascii="宋体" w:hAnsi="宋体" w:cs="宋体"/>
                <w:color w:val="auto"/>
                <w:kern w:val="24"/>
                <w:sz w:val="20"/>
                <w:szCs w:val="20"/>
                <w:highlight w:val="none"/>
                <w:lang w:val="en-US" w:eastAsia="zh-CN"/>
              </w:rPr>
              <w:t>每项</w:t>
            </w:r>
            <w:r>
              <w:rPr>
                <w:rFonts w:hint="eastAsia" w:ascii="宋体" w:hAnsi="宋体" w:eastAsia="宋体" w:cs="宋体"/>
                <w:color w:val="auto"/>
                <w:kern w:val="24"/>
                <w:sz w:val="20"/>
                <w:szCs w:val="20"/>
                <w:highlight w:val="none"/>
              </w:rPr>
              <w:t>得</w:t>
            </w:r>
            <w:r>
              <w:rPr>
                <w:rFonts w:hint="eastAsia" w:ascii="宋体" w:hAnsi="宋体" w:cs="宋体"/>
                <w:color w:val="auto"/>
                <w:kern w:val="24"/>
                <w:sz w:val="20"/>
                <w:szCs w:val="20"/>
                <w:highlight w:val="none"/>
                <w:lang w:val="en-US" w:eastAsia="zh-CN"/>
              </w:rPr>
              <w:t>0.5</w:t>
            </w:r>
            <w:r>
              <w:rPr>
                <w:rFonts w:hint="eastAsia" w:ascii="宋体" w:hAnsi="宋体" w:eastAsia="宋体" w:cs="宋体"/>
                <w:color w:val="auto"/>
                <w:kern w:val="24"/>
                <w:sz w:val="20"/>
                <w:szCs w:val="20"/>
                <w:highlight w:val="none"/>
              </w:rPr>
              <w:t>分。本项最多得</w:t>
            </w:r>
            <w:r>
              <w:rPr>
                <w:rFonts w:hint="eastAsia" w:ascii="宋体" w:hAnsi="宋体" w:cs="宋体"/>
                <w:color w:val="auto"/>
                <w:kern w:val="24"/>
                <w:sz w:val="20"/>
                <w:szCs w:val="20"/>
                <w:highlight w:val="none"/>
                <w:lang w:val="en-US" w:eastAsia="zh-CN"/>
              </w:rPr>
              <w:t>12</w:t>
            </w:r>
            <w:r>
              <w:rPr>
                <w:rFonts w:hint="eastAsia" w:ascii="宋体" w:hAnsi="宋体" w:eastAsia="宋体" w:cs="宋体"/>
                <w:color w:val="auto"/>
                <w:kern w:val="24"/>
                <w:sz w:val="20"/>
                <w:szCs w:val="20"/>
                <w:highlight w:val="none"/>
              </w:rPr>
              <w:t>分</w:t>
            </w:r>
            <w:r>
              <w:rPr>
                <w:rFonts w:hint="eastAsia" w:ascii="宋体" w:hAnsi="宋体" w:cs="宋体"/>
                <w:color w:val="auto"/>
                <w:kern w:val="24"/>
                <w:sz w:val="20"/>
                <w:szCs w:val="20"/>
                <w:highlight w:val="none"/>
                <w:lang w:val="en-US" w:eastAsia="zh-CN"/>
              </w:rPr>
              <w:t>。</w:t>
            </w:r>
          </w:p>
        </w:tc>
      </w:tr>
      <w:tr w14:paraId="35603B9A">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480" w:hRule="atLeast"/>
        </w:trPr>
        <w:tc>
          <w:tcPr>
            <w:tcW w:w="780" w:type="dxa"/>
            <w:vMerge w:val="continue"/>
            <w:tcBorders>
              <w:tl2br w:val="nil"/>
              <w:tr2bl w:val="nil"/>
            </w:tcBorders>
            <w:shd w:val="clear" w:color="auto" w:fill="auto"/>
            <w:tcMar>
              <w:top w:w="15" w:type="dxa"/>
              <w:left w:w="108" w:type="dxa"/>
              <w:bottom w:w="0" w:type="dxa"/>
              <w:right w:w="108" w:type="dxa"/>
            </w:tcMar>
            <w:vAlign w:val="center"/>
          </w:tcPr>
          <w:p w14:paraId="319EAB9E">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80" w:type="dxa"/>
            <w:vMerge w:val="continue"/>
            <w:tcBorders>
              <w:tl2br w:val="nil"/>
              <w:tr2bl w:val="nil"/>
            </w:tcBorders>
            <w:shd w:val="clear" w:color="auto" w:fill="auto"/>
            <w:tcMar>
              <w:top w:w="15" w:type="dxa"/>
              <w:left w:w="108" w:type="dxa"/>
              <w:bottom w:w="0" w:type="dxa"/>
              <w:right w:w="108" w:type="dxa"/>
            </w:tcMar>
            <w:vAlign w:val="center"/>
          </w:tcPr>
          <w:p w14:paraId="4F7F113D">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83" w:type="dxa"/>
            <w:vMerge w:val="restart"/>
            <w:tcBorders>
              <w:tl2br w:val="nil"/>
              <w:tr2bl w:val="nil"/>
            </w:tcBorders>
            <w:shd w:val="clear" w:color="auto" w:fill="auto"/>
            <w:tcMar>
              <w:top w:w="15" w:type="dxa"/>
              <w:left w:w="108" w:type="dxa"/>
              <w:bottom w:w="0" w:type="dxa"/>
              <w:right w:w="108" w:type="dxa"/>
            </w:tcMar>
            <w:vAlign w:val="center"/>
          </w:tcPr>
          <w:p w14:paraId="41DC48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rPr>
            </w:pPr>
            <w:r>
              <w:rPr>
                <w:rFonts w:hint="eastAsia" w:ascii="宋体" w:hAnsi="宋体" w:eastAsia="宋体" w:cs="宋体"/>
                <w:color w:val="auto"/>
                <w:kern w:val="24"/>
                <w:sz w:val="20"/>
                <w:szCs w:val="20"/>
                <w:highlight w:val="none"/>
              </w:rPr>
              <w:t>第三方评价</w:t>
            </w:r>
          </w:p>
        </w:tc>
        <w:tc>
          <w:tcPr>
            <w:tcW w:w="709" w:type="dxa"/>
            <w:tcBorders>
              <w:tl2br w:val="nil"/>
              <w:tr2bl w:val="nil"/>
            </w:tcBorders>
            <w:shd w:val="clear" w:color="auto" w:fill="auto"/>
            <w:tcMar>
              <w:top w:w="15" w:type="dxa"/>
              <w:left w:w="108" w:type="dxa"/>
              <w:bottom w:w="0" w:type="dxa"/>
              <w:right w:w="108" w:type="dxa"/>
            </w:tcMar>
            <w:vAlign w:val="center"/>
          </w:tcPr>
          <w:p w14:paraId="766F61E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color w:val="auto"/>
                <w:kern w:val="24"/>
                <w:sz w:val="20"/>
                <w:szCs w:val="20"/>
                <w:highlight w:val="none"/>
                <w:lang w:val="en-US" w:eastAsia="zh-CN" w:bidi="ar-SA"/>
              </w:rPr>
            </w:pPr>
            <w:r>
              <w:rPr>
                <w:rFonts w:hint="eastAsia" w:ascii="宋体" w:hAnsi="宋体" w:cs="宋体"/>
                <w:color w:val="auto"/>
                <w:kern w:val="24"/>
                <w:sz w:val="20"/>
                <w:szCs w:val="20"/>
                <w:highlight w:val="none"/>
                <w:lang w:val="en-US" w:eastAsia="zh-CN"/>
              </w:rPr>
              <w:t>3</w:t>
            </w:r>
          </w:p>
        </w:tc>
        <w:tc>
          <w:tcPr>
            <w:tcW w:w="10896" w:type="dxa"/>
            <w:tcBorders>
              <w:tl2br w:val="nil"/>
              <w:tr2bl w:val="nil"/>
            </w:tcBorders>
            <w:shd w:val="clear" w:color="auto" w:fill="auto"/>
            <w:tcMar>
              <w:top w:w="15" w:type="dxa"/>
              <w:left w:w="108" w:type="dxa"/>
              <w:bottom w:w="0" w:type="dxa"/>
              <w:right w:w="108" w:type="dxa"/>
            </w:tcMar>
            <w:vAlign w:val="center"/>
          </w:tcPr>
          <w:p w14:paraId="4272A265">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24"/>
                <w:sz w:val="20"/>
                <w:szCs w:val="20"/>
                <w:highlight w:val="none"/>
                <w:lang w:val="en-US" w:eastAsia="zh-CN" w:bidi="ar-SA"/>
              </w:rPr>
            </w:pPr>
            <w:r>
              <w:rPr>
                <w:rFonts w:hint="eastAsia" w:ascii="宋体" w:hAnsi="宋体" w:eastAsia="宋体" w:cs="宋体"/>
                <w:color w:val="auto"/>
                <w:kern w:val="24"/>
                <w:sz w:val="20"/>
                <w:szCs w:val="20"/>
                <w:highlight w:val="none"/>
                <w:lang w:val="en-US" w:eastAsia="zh-CN"/>
              </w:rPr>
              <w:t>投标人具有在有效期内的质量管理体系认证证书、职业健康安全管理体系认证证书、环境管理体系认证证书的，每项得1分，最高得</w:t>
            </w:r>
            <w:r>
              <w:rPr>
                <w:rFonts w:hint="eastAsia" w:ascii="宋体" w:hAnsi="宋体" w:cs="宋体"/>
                <w:color w:val="auto"/>
                <w:kern w:val="24"/>
                <w:sz w:val="20"/>
                <w:szCs w:val="20"/>
                <w:highlight w:val="none"/>
                <w:lang w:val="en-US" w:eastAsia="zh-CN"/>
              </w:rPr>
              <w:t>3</w:t>
            </w:r>
            <w:r>
              <w:rPr>
                <w:rFonts w:hint="eastAsia" w:ascii="宋体" w:hAnsi="宋体" w:eastAsia="宋体" w:cs="宋体"/>
                <w:color w:val="auto"/>
                <w:kern w:val="24"/>
                <w:sz w:val="20"/>
                <w:szCs w:val="20"/>
                <w:highlight w:val="none"/>
                <w:lang w:val="en-US" w:eastAsia="zh-CN"/>
              </w:rPr>
              <w:t>分。</w:t>
            </w:r>
          </w:p>
        </w:tc>
      </w:tr>
      <w:tr w14:paraId="08E3D383">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310" w:hRule="atLeast"/>
        </w:trPr>
        <w:tc>
          <w:tcPr>
            <w:tcW w:w="780" w:type="dxa"/>
            <w:vMerge w:val="restart"/>
            <w:tcBorders>
              <w:tl2br w:val="nil"/>
              <w:tr2bl w:val="nil"/>
            </w:tcBorders>
            <w:vAlign w:val="center"/>
          </w:tcPr>
          <w:p w14:paraId="0B35DBA1">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二</w:t>
            </w:r>
          </w:p>
        </w:tc>
        <w:tc>
          <w:tcPr>
            <w:tcW w:w="1080" w:type="dxa"/>
            <w:vMerge w:val="restart"/>
            <w:tcBorders>
              <w:tl2br w:val="nil"/>
              <w:tr2bl w:val="nil"/>
            </w:tcBorders>
            <w:vAlign w:val="center"/>
          </w:tcPr>
          <w:p w14:paraId="32179E80">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项目管理机构能力</w:t>
            </w:r>
          </w:p>
          <w:p w14:paraId="6A375BAF">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cs="宋体"/>
                <w:color w:val="auto"/>
                <w:kern w:val="24"/>
                <w:sz w:val="20"/>
                <w:szCs w:val="20"/>
                <w:highlight w:val="none"/>
              </w:rPr>
              <w:t>（</w:t>
            </w:r>
            <w:r>
              <w:rPr>
                <w:rFonts w:hint="eastAsia" w:ascii="宋体" w:hAnsi="宋体" w:cs="宋体"/>
                <w:color w:val="auto"/>
                <w:kern w:val="24"/>
                <w:sz w:val="20"/>
                <w:szCs w:val="20"/>
                <w:highlight w:val="none"/>
                <w:lang w:val="en-US" w:eastAsia="zh-CN"/>
              </w:rPr>
              <w:t>30</w:t>
            </w:r>
            <w:r>
              <w:rPr>
                <w:rFonts w:hint="eastAsia" w:ascii="宋体" w:hAnsi="宋体" w:cs="宋体"/>
                <w:color w:val="auto"/>
                <w:kern w:val="24"/>
                <w:sz w:val="20"/>
                <w:szCs w:val="20"/>
                <w:highlight w:val="none"/>
              </w:rPr>
              <w:t>分）</w:t>
            </w:r>
          </w:p>
        </w:tc>
        <w:tc>
          <w:tcPr>
            <w:tcW w:w="1083" w:type="dxa"/>
            <w:tcBorders>
              <w:tl2br w:val="nil"/>
              <w:tr2bl w:val="nil"/>
            </w:tcBorders>
            <w:vAlign w:val="center"/>
          </w:tcPr>
          <w:p w14:paraId="1F2D66FD">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eastAsia="宋体" w:cs="宋体"/>
                <w:color w:val="auto"/>
                <w:kern w:val="24"/>
                <w:sz w:val="20"/>
                <w:szCs w:val="20"/>
                <w:highlight w:val="none"/>
                <w:lang w:val="en-US" w:eastAsia="zh-CN"/>
              </w:rPr>
              <w:t>项目负责人</w:t>
            </w:r>
          </w:p>
        </w:tc>
        <w:tc>
          <w:tcPr>
            <w:tcW w:w="709" w:type="dxa"/>
            <w:tcBorders>
              <w:tl2br w:val="nil"/>
              <w:tr2bl w:val="nil"/>
            </w:tcBorders>
            <w:vAlign w:val="center"/>
          </w:tcPr>
          <w:p w14:paraId="59DBD08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9</w:t>
            </w:r>
          </w:p>
        </w:tc>
        <w:tc>
          <w:tcPr>
            <w:tcW w:w="10896" w:type="dxa"/>
            <w:tcBorders>
              <w:tl2br w:val="nil"/>
              <w:tr2bl w:val="nil"/>
            </w:tcBorders>
            <w:shd w:val="clear" w:color="auto" w:fill="auto"/>
            <w:tcMar>
              <w:top w:w="15" w:type="dxa"/>
              <w:left w:w="108" w:type="dxa"/>
              <w:bottom w:w="0" w:type="dxa"/>
              <w:right w:w="108" w:type="dxa"/>
            </w:tcMar>
            <w:vAlign w:val="center"/>
          </w:tcPr>
          <w:p w14:paraId="434533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（1）具有机电或电气或电力相关专业高级(或以上)技术职称的，得5分；具有机电或电气或电力相关专业中级技术职称的，得3分；其余不得分。</w:t>
            </w:r>
          </w:p>
          <w:p w14:paraId="13B7D957">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（2）</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lang w:val="en-US" w:eastAsia="zh-CN"/>
              </w:rPr>
              <w:t>02</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lang w:val="en-US" w:eastAsia="zh-CN"/>
              </w:rPr>
              <w:t>年1月1日至今，担任项目负责人完成过质量合格的中标金额大于或等于300万元的10KV（或以上）电力工程施工业绩的，</w:t>
            </w:r>
            <w:r>
              <w:rPr>
                <w:rFonts w:hint="eastAsia" w:ascii="宋体" w:hAnsi="宋体" w:cs="宋体"/>
                <w:color w:val="auto"/>
                <w:kern w:val="24"/>
                <w:sz w:val="20"/>
                <w:szCs w:val="20"/>
                <w:highlight w:val="none"/>
                <w:lang w:val="en-US" w:eastAsia="zh-CN"/>
              </w:rPr>
              <w:t>每项</w:t>
            </w:r>
            <w:r>
              <w:rPr>
                <w:rFonts w:hint="eastAsia" w:ascii="宋体" w:hAnsi="宋体" w:eastAsia="宋体" w:cs="宋体"/>
                <w:color w:val="auto"/>
                <w:kern w:val="24"/>
                <w:sz w:val="20"/>
                <w:szCs w:val="20"/>
                <w:highlight w:val="none"/>
                <w:lang w:val="en-US" w:eastAsia="zh-CN"/>
              </w:rPr>
              <w:t>得</w:t>
            </w:r>
            <w:r>
              <w:rPr>
                <w:rFonts w:hint="eastAsia" w:ascii="宋体" w:hAnsi="宋体" w:cs="宋体"/>
                <w:color w:val="auto"/>
                <w:kern w:val="24"/>
                <w:sz w:val="20"/>
                <w:szCs w:val="20"/>
                <w:highlight w:val="none"/>
                <w:lang w:val="en-US" w:eastAsia="zh-CN"/>
              </w:rPr>
              <w:t>2</w:t>
            </w:r>
            <w:r>
              <w:rPr>
                <w:rFonts w:hint="eastAsia" w:ascii="宋体" w:hAnsi="宋体" w:eastAsia="宋体" w:cs="宋体"/>
                <w:color w:val="auto"/>
                <w:kern w:val="24"/>
                <w:sz w:val="20"/>
                <w:szCs w:val="20"/>
                <w:highlight w:val="none"/>
                <w:lang w:val="en-US" w:eastAsia="zh-CN"/>
              </w:rPr>
              <w:t>分</w:t>
            </w:r>
            <w:r>
              <w:rPr>
                <w:rFonts w:hint="eastAsia" w:ascii="宋体" w:hAnsi="宋体" w:eastAsia="宋体" w:cs="宋体"/>
                <w:color w:val="auto"/>
                <w:kern w:val="24"/>
                <w:sz w:val="20"/>
                <w:szCs w:val="20"/>
                <w:highlight w:val="none"/>
              </w:rPr>
              <w:t>，最高得</w:t>
            </w:r>
            <w:r>
              <w:rPr>
                <w:rFonts w:hint="eastAsia" w:ascii="宋体" w:hAnsi="宋体" w:cs="宋体"/>
                <w:color w:val="auto"/>
                <w:kern w:val="24"/>
                <w:sz w:val="20"/>
                <w:szCs w:val="20"/>
                <w:highlight w:val="none"/>
                <w:lang w:val="en-US" w:eastAsia="zh-CN"/>
              </w:rPr>
              <w:t>4</w:t>
            </w:r>
            <w:r>
              <w:rPr>
                <w:rFonts w:hint="eastAsia" w:ascii="宋体" w:hAnsi="宋体" w:eastAsia="宋体" w:cs="宋体"/>
                <w:color w:val="auto"/>
                <w:kern w:val="24"/>
                <w:sz w:val="20"/>
                <w:szCs w:val="20"/>
                <w:highlight w:val="none"/>
              </w:rPr>
              <w:t>分</w:t>
            </w:r>
            <w:r>
              <w:rPr>
                <w:rFonts w:hint="eastAsia" w:ascii="宋体" w:hAnsi="宋体" w:eastAsia="宋体" w:cs="宋体"/>
                <w:color w:val="auto"/>
                <w:kern w:val="24"/>
                <w:sz w:val="20"/>
                <w:szCs w:val="20"/>
                <w:highlight w:val="none"/>
                <w:lang w:val="en-US" w:eastAsia="zh-CN"/>
              </w:rPr>
              <w:t>。</w:t>
            </w:r>
          </w:p>
        </w:tc>
      </w:tr>
      <w:tr w14:paraId="48987E18">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310" w:hRule="atLeast"/>
        </w:trPr>
        <w:tc>
          <w:tcPr>
            <w:tcW w:w="780" w:type="dxa"/>
            <w:vMerge w:val="continue"/>
            <w:tcBorders>
              <w:tl2br w:val="nil"/>
              <w:tr2bl w:val="nil"/>
            </w:tcBorders>
            <w:vAlign w:val="center"/>
          </w:tcPr>
          <w:p w14:paraId="0645E03E">
            <w:pPr>
              <w:keepNext w:val="0"/>
              <w:keepLines w:val="0"/>
              <w:widowControl/>
              <w:suppressLineNumbers w:val="0"/>
              <w:spacing w:before="0" w:beforeAutospacing="0" w:after="0" w:afterAutospacing="0"/>
              <w:ind w:left="0" w:right="0"/>
              <w:jc w:val="center"/>
              <w:rPr>
                <w:rFonts w:hint="default"/>
                <w:color w:val="auto"/>
                <w:highlight w:val="none"/>
              </w:rPr>
            </w:pPr>
          </w:p>
        </w:tc>
        <w:tc>
          <w:tcPr>
            <w:tcW w:w="1080" w:type="dxa"/>
            <w:vMerge w:val="continue"/>
            <w:tcBorders>
              <w:tl2br w:val="nil"/>
              <w:tr2bl w:val="nil"/>
            </w:tcBorders>
            <w:vAlign w:val="center"/>
          </w:tcPr>
          <w:p w14:paraId="36704C25">
            <w:pPr>
              <w:keepNext w:val="0"/>
              <w:keepLines w:val="0"/>
              <w:widowControl/>
              <w:suppressLineNumbers w:val="0"/>
              <w:spacing w:before="0" w:beforeAutospacing="0" w:after="0" w:afterAutospacing="0"/>
              <w:ind w:left="0" w:right="0"/>
              <w:jc w:val="center"/>
              <w:rPr>
                <w:rFonts w:hint="default"/>
                <w:color w:val="auto"/>
                <w:highlight w:val="none"/>
              </w:rPr>
            </w:pPr>
          </w:p>
        </w:tc>
        <w:tc>
          <w:tcPr>
            <w:tcW w:w="1083" w:type="dxa"/>
            <w:tcBorders>
              <w:tl2br w:val="nil"/>
              <w:tr2bl w:val="nil"/>
            </w:tcBorders>
            <w:vAlign w:val="center"/>
          </w:tcPr>
          <w:p w14:paraId="187D925B">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lang w:val="en-US"/>
              </w:rPr>
            </w:pPr>
            <w:r>
              <w:rPr>
                <w:rFonts w:hint="eastAsia" w:ascii="宋体" w:hAnsi="宋体" w:eastAsia="宋体" w:cs="宋体"/>
                <w:color w:val="auto"/>
                <w:kern w:val="24"/>
                <w:sz w:val="20"/>
                <w:szCs w:val="20"/>
                <w:highlight w:val="none"/>
                <w:lang w:val="en-US" w:eastAsia="zh-CN"/>
              </w:rPr>
              <w:t>质量负责人</w:t>
            </w:r>
          </w:p>
        </w:tc>
        <w:tc>
          <w:tcPr>
            <w:tcW w:w="709" w:type="dxa"/>
            <w:tcBorders>
              <w:tl2br w:val="nil"/>
              <w:tr2bl w:val="nil"/>
            </w:tcBorders>
            <w:vAlign w:val="center"/>
          </w:tcPr>
          <w:p w14:paraId="501C22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5</w:t>
            </w:r>
          </w:p>
        </w:tc>
        <w:tc>
          <w:tcPr>
            <w:tcW w:w="10896" w:type="dxa"/>
            <w:tcBorders>
              <w:tl2br w:val="nil"/>
              <w:tr2bl w:val="nil"/>
            </w:tcBorders>
            <w:shd w:val="clear" w:color="auto" w:fill="auto"/>
            <w:tcMar>
              <w:top w:w="15" w:type="dxa"/>
              <w:left w:w="108" w:type="dxa"/>
              <w:bottom w:w="0" w:type="dxa"/>
              <w:right w:w="108" w:type="dxa"/>
            </w:tcMar>
            <w:vAlign w:val="center"/>
          </w:tcPr>
          <w:p w14:paraId="0E0F084F">
            <w:pPr>
              <w:keepNext w:val="0"/>
              <w:keepLines w:val="0"/>
              <w:widowControl/>
              <w:suppressLineNumbers w:val="0"/>
              <w:spacing w:before="0" w:beforeAutospacing="0" w:after="0" w:afterAutospacing="0"/>
              <w:ind w:left="0" w:right="0"/>
              <w:jc w:val="left"/>
              <w:rPr>
                <w:rFonts w:hint="default" w:ascii="宋体" w:hAnsi="宋体" w:cs="宋体"/>
                <w:color w:val="auto"/>
                <w:kern w:val="0"/>
                <w:sz w:val="36"/>
                <w:szCs w:val="36"/>
                <w:highlight w:val="none"/>
              </w:rPr>
            </w:pPr>
            <w:r>
              <w:rPr>
                <w:rFonts w:hint="eastAsia" w:ascii="宋体" w:hAnsi="宋体" w:eastAsia="宋体" w:cs="宋体"/>
                <w:color w:val="auto"/>
                <w:kern w:val="24"/>
                <w:sz w:val="20"/>
                <w:szCs w:val="20"/>
                <w:highlight w:val="none"/>
                <w:lang w:val="en-US" w:eastAsia="zh-CN"/>
              </w:rPr>
              <w:t>具有机电或电气或电力相关专业高级(或以上)技术职称的，得5分；具有机电或电气或电力相关专业中级技术职称的，得3分；其余不得分。</w:t>
            </w:r>
          </w:p>
        </w:tc>
      </w:tr>
      <w:tr w14:paraId="3BA5346C">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310" w:hRule="atLeast"/>
        </w:trPr>
        <w:tc>
          <w:tcPr>
            <w:tcW w:w="780" w:type="dxa"/>
            <w:vMerge w:val="continue"/>
            <w:tcBorders>
              <w:tl2br w:val="nil"/>
              <w:tr2bl w:val="nil"/>
            </w:tcBorders>
            <w:vAlign w:val="center"/>
          </w:tcPr>
          <w:p w14:paraId="684C3682">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p>
        </w:tc>
        <w:tc>
          <w:tcPr>
            <w:tcW w:w="1080" w:type="dxa"/>
            <w:vMerge w:val="continue"/>
            <w:tcBorders>
              <w:tl2br w:val="nil"/>
              <w:tr2bl w:val="nil"/>
            </w:tcBorders>
            <w:vAlign w:val="center"/>
          </w:tcPr>
          <w:p w14:paraId="27F2EA8A">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p>
        </w:tc>
        <w:tc>
          <w:tcPr>
            <w:tcW w:w="1083" w:type="dxa"/>
            <w:tcBorders>
              <w:tl2br w:val="nil"/>
              <w:tr2bl w:val="nil"/>
            </w:tcBorders>
            <w:vAlign w:val="center"/>
          </w:tcPr>
          <w:p w14:paraId="5CE20BDE">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eastAsia="宋体" w:cs="宋体"/>
                <w:color w:val="auto"/>
                <w:kern w:val="24"/>
                <w:sz w:val="20"/>
                <w:szCs w:val="20"/>
                <w:highlight w:val="none"/>
                <w:lang w:val="en-US" w:eastAsia="zh-CN"/>
              </w:rPr>
              <w:t>造价负责人</w:t>
            </w:r>
          </w:p>
        </w:tc>
        <w:tc>
          <w:tcPr>
            <w:tcW w:w="709" w:type="dxa"/>
            <w:tcBorders>
              <w:tl2br w:val="nil"/>
              <w:tr2bl w:val="nil"/>
            </w:tcBorders>
            <w:vAlign w:val="center"/>
          </w:tcPr>
          <w:p w14:paraId="10D542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8</w:t>
            </w:r>
          </w:p>
        </w:tc>
        <w:tc>
          <w:tcPr>
            <w:tcW w:w="10896" w:type="dxa"/>
            <w:tcBorders>
              <w:tl2br w:val="nil"/>
              <w:tr2bl w:val="nil"/>
            </w:tcBorders>
            <w:shd w:val="clear" w:color="auto" w:fill="auto"/>
            <w:tcMar>
              <w:top w:w="15" w:type="dxa"/>
              <w:left w:w="108" w:type="dxa"/>
              <w:bottom w:w="0" w:type="dxa"/>
              <w:right w:w="108" w:type="dxa"/>
            </w:tcMar>
            <w:vAlign w:val="center"/>
          </w:tcPr>
          <w:p w14:paraId="33AA33E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（1）具有一级注册造价工程师资格证书，并在本单位注册的，得</w:t>
            </w:r>
            <w:r>
              <w:rPr>
                <w:rFonts w:hint="eastAsia" w:ascii="宋体" w:hAnsi="宋体" w:cs="宋体"/>
                <w:color w:val="auto"/>
                <w:kern w:val="24"/>
                <w:sz w:val="20"/>
                <w:szCs w:val="20"/>
                <w:highlight w:val="none"/>
                <w:lang w:val="en-US" w:eastAsia="zh-CN"/>
              </w:rPr>
              <w:t>3</w:t>
            </w:r>
            <w:r>
              <w:rPr>
                <w:rFonts w:hint="eastAsia" w:ascii="宋体" w:hAnsi="宋体" w:eastAsia="宋体" w:cs="宋体"/>
                <w:color w:val="auto"/>
                <w:kern w:val="24"/>
                <w:sz w:val="20"/>
                <w:szCs w:val="20"/>
                <w:highlight w:val="none"/>
                <w:lang w:val="en-US" w:eastAsia="zh-CN"/>
              </w:rPr>
              <w:t>分；其余不得分。</w:t>
            </w:r>
          </w:p>
          <w:p w14:paraId="2B0DE667">
            <w:pPr>
              <w:keepNext w:val="0"/>
              <w:keepLines w:val="0"/>
              <w:widowControl/>
              <w:suppressLineNumbers w:val="0"/>
              <w:spacing w:before="0" w:beforeAutospacing="0" w:after="0" w:afterAutospacing="0"/>
              <w:ind w:left="0" w:right="0"/>
              <w:jc w:val="left"/>
              <w:rPr>
                <w:rFonts w:hint="default" w:ascii="宋体" w:hAnsi="宋体" w:cs="宋体"/>
                <w:color w:val="auto"/>
                <w:kern w:val="0"/>
                <w:sz w:val="36"/>
                <w:szCs w:val="36"/>
                <w:highlight w:val="none"/>
              </w:rPr>
            </w:pPr>
            <w:r>
              <w:rPr>
                <w:rFonts w:hint="eastAsia" w:ascii="宋体" w:hAnsi="宋体" w:eastAsia="宋体" w:cs="宋体"/>
                <w:color w:val="auto"/>
                <w:kern w:val="24"/>
                <w:sz w:val="20"/>
                <w:szCs w:val="20"/>
                <w:highlight w:val="none"/>
                <w:lang w:val="en-US" w:eastAsia="zh-CN"/>
              </w:rPr>
              <w:t>（2）具有工程造价类专业</w:t>
            </w:r>
            <w:r>
              <w:rPr>
                <w:rFonts w:hint="eastAsia" w:ascii="宋体" w:hAnsi="宋体" w:cs="宋体"/>
                <w:color w:val="auto"/>
                <w:kern w:val="24"/>
                <w:sz w:val="20"/>
                <w:szCs w:val="20"/>
                <w:highlight w:val="none"/>
                <w:lang w:val="en-US" w:eastAsia="zh-CN"/>
              </w:rPr>
              <w:t>高</w:t>
            </w:r>
            <w:r>
              <w:rPr>
                <w:rFonts w:hint="eastAsia" w:ascii="宋体" w:hAnsi="宋体" w:eastAsia="宋体" w:cs="宋体"/>
                <w:color w:val="auto"/>
                <w:kern w:val="24"/>
                <w:sz w:val="20"/>
                <w:szCs w:val="20"/>
                <w:highlight w:val="none"/>
                <w:lang w:val="en-US" w:eastAsia="zh-CN"/>
              </w:rPr>
              <w:t>级（或以上）职称，得</w:t>
            </w:r>
            <w:r>
              <w:rPr>
                <w:rFonts w:hint="eastAsia" w:ascii="宋体" w:hAnsi="宋体" w:cs="宋体"/>
                <w:color w:val="auto"/>
                <w:kern w:val="24"/>
                <w:sz w:val="20"/>
                <w:szCs w:val="20"/>
                <w:highlight w:val="none"/>
                <w:lang w:val="en-US" w:eastAsia="zh-CN"/>
              </w:rPr>
              <w:t>5</w:t>
            </w:r>
            <w:r>
              <w:rPr>
                <w:rFonts w:hint="eastAsia" w:ascii="宋体" w:hAnsi="宋体" w:eastAsia="宋体" w:cs="宋体"/>
                <w:color w:val="auto"/>
                <w:kern w:val="24"/>
                <w:sz w:val="20"/>
                <w:szCs w:val="20"/>
                <w:highlight w:val="none"/>
                <w:lang w:val="en-US" w:eastAsia="zh-CN"/>
              </w:rPr>
              <w:t>分</w:t>
            </w:r>
            <w:r>
              <w:rPr>
                <w:rFonts w:hint="eastAsia" w:ascii="宋体" w:hAnsi="宋体" w:cs="宋体"/>
                <w:color w:val="auto"/>
                <w:kern w:val="24"/>
                <w:sz w:val="20"/>
                <w:szCs w:val="20"/>
                <w:highlight w:val="none"/>
                <w:lang w:val="en-US" w:eastAsia="zh-CN"/>
              </w:rPr>
              <w:t>；</w:t>
            </w:r>
            <w:r>
              <w:rPr>
                <w:rFonts w:hint="eastAsia" w:ascii="宋体" w:hAnsi="宋体" w:eastAsia="宋体" w:cs="宋体"/>
                <w:color w:val="auto"/>
                <w:kern w:val="24"/>
                <w:sz w:val="20"/>
                <w:szCs w:val="20"/>
                <w:highlight w:val="none"/>
                <w:lang w:val="en-US" w:eastAsia="zh-CN"/>
              </w:rPr>
              <w:t>具有工程造价类专业中级职称，得3分；其余不得分。</w:t>
            </w:r>
          </w:p>
        </w:tc>
      </w:tr>
      <w:tr w14:paraId="5073F65F">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310" w:hRule="atLeast"/>
        </w:trPr>
        <w:tc>
          <w:tcPr>
            <w:tcW w:w="780" w:type="dxa"/>
            <w:vMerge w:val="continue"/>
            <w:tcBorders>
              <w:tl2br w:val="nil"/>
              <w:tr2bl w:val="nil"/>
            </w:tcBorders>
            <w:vAlign w:val="center"/>
          </w:tcPr>
          <w:p w14:paraId="5AE0994F">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p>
        </w:tc>
        <w:tc>
          <w:tcPr>
            <w:tcW w:w="1080" w:type="dxa"/>
            <w:vMerge w:val="continue"/>
            <w:tcBorders>
              <w:tl2br w:val="nil"/>
              <w:tr2bl w:val="nil"/>
            </w:tcBorders>
            <w:vAlign w:val="center"/>
          </w:tcPr>
          <w:p w14:paraId="33E0E5B2">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p>
        </w:tc>
        <w:tc>
          <w:tcPr>
            <w:tcW w:w="1083" w:type="dxa"/>
            <w:tcBorders>
              <w:tl2br w:val="nil"/>
              <w:tr2bl w:val="nil"/>
            </w:tcBorders>
            <w:vAlign w:val="center"/>
          </w:tcPr>
          <w:p w14:paraId="5277589E">
            <w:pPr>
              <w:keepNext w:val="0"/>
              <w:keepLines w:val="0"/>
              <w:widowControl/>
              <w:suppressLineNumbers w:val="0"/>
              <w:spacing w:before="0" w:beforeAutospacing="0" w:after="0" w:afterAutospacing="0"/>
              <w:ind w:left="0" w:right="0"/>
              <w:jc w:val="center"/>
              <w:rPr>
                <w:rFonts w:hint="default" w:ascii="宋体" w:hAnsi="宋体" w:cs="宋体"/>
                <w:color w:val="auto"/>
                <w:kern w:val="0"/>
                <w:sz w:val="36"/>
                <w:szCs w:val="36"/>
                <w:highlight w:val="none"/>
              </w:rPr>
            </w:pPr>
            <w:r>
              <w:rPr>
                <w:rFonts w:hint="eastAsia" w:ascii="宋体" w:hAnsi="宋体" w:eastAsia="宋体" w:cs="宋体"/>
                <w:color w:val="auto"/>
                <w:kern w:val="24"/>
                <w:sz w:val="20"/>
                <w:szCs w:val="20"/>
                <w:highlight w:val="none"/>
                <w:lang w:val="en-US" w:eastAsia="zh-CN"/>
              </w:rPr>
              <w:t>安全负责人</w:t>
            </w:r>
          </w:p>
        </w:tc>
        <w:tc>
          <w:tcPr>
            <w:tcW w:w="709" w:type="dxa"/>
            <w:tcBorders>
              <w:tl2br w:val="nil"/>
              <w:tr2bl w:val="nil"/>
            </w:tcBorders>
            <w:vAlign w:val="center"/>
          </w:tcPr>
          <w:p w14:paraId="128689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8</w:t>
            </w:r>
          </w:p>
        </w:tc>
        <w:tc>
          <w:tcPr>
            <w:tcW w:w="10896" w:type="dxa"/>
            <w:tcBorders>
              <w:tl2br w:val="nil"/>
              <w:tr2bl w:val="nil"/>
            </w:tcBorders>
            <w:shd w:val="clear" w:color="auto" w:fill="auto"/>
            <w:tcMar>
              <w:top w:w="15" w:type="dxa"/>
              <w:left w:w="108" w:type="dxa"/>
              <w:bottom w:w="0" w:type="dxa"/>
              <w:right w:w="108" w:type="dxa"/>
            </w:tcMar>
            <w:vAlign w:val="center"/>
          </w:tcPr>
          <w:p w14:paraId="2DFA1F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24"/>
                <w:sz w:val="20"/>
                <w:szCs w:val="20"/>
                <w:highlight w:val="none"/>
                <w:lang w:val="en-US" w:eastAsia="zh-CN"/>
              </w:rPr>
            </w:pPr>
            <w:r>
              <w:rPr>
                <w:rFonts w:hint="eastAsia" w:ascii="宋体" w:hAnsi="宋体" w:eastAsia="宋体" w:cs="宋体"/>
                <w:color w:val="auto"/>
                <w:kern w:val="24"/>
                <w:sz w:val="20"/>
                <w:szCs w:val="20"/>
                <w:highlight w:val="none"/>
                <w:lang w:val="en-US" w:eastAsia="zh-CN"/>
              </w:rPr>
              <w:t>（1）具有注册安全工程师（建筑施工安全）注册证书，得</w:t>
            </w:r>
            <w:r>
              <w:rPr>
                <w:rFonts w:hint="eastAsia" w:ascii="宋体" w:hAnsi="宋体" w:cs="宋体"/>
                <w:color w:val="auto"/>
                <w:kern w:val="24"/>
                <w:sz w:val="20"/>
                <w:szCs w:val="20"/>
                <w:highlight w:val="none"/>
                <w:lang w:val="en-US" w:eastAsia="zh-CN"/>
              </w:rPr>
              <w:t>3</w:t>
            </w:r>
            <w:r>
              <w:rPr>
                <w:rFonts w:hint="eastAsia" w:ascii="宋体" w:hAnsi="宋体" w:eastAsia="宋体" w:cs="宋体"/>
                <w:color w:val="auto"/>
                <w:kern w:val="24"/>
                <w:sz w:val="20"/>
                <w:szCs w:val="20"/>
                <w:highlight w:val="none"/>
                <w:lang w:val="en-US" w:eastAsia="zh-CN"/>
              </w:rPr>
              <w:t>分；其余不得分。</w:t>
            </w:r>
          </w:p>
          <w:p w14:paraId="33358CDA">
            <w:pPr>
              <w:keepNext w:val="0"/>
              <w:keepLines w:val="0"/>
              <w:widowControl/>
              <w:suppressLineNumbers w:val="0"/>
              <w:spacing w:before="0" w:beforeAutospacing="0" w:after="0" w:afterAutospacing="0"/>
              <w:ind w:left="0" w:right="0"/>
              <w:jc w:val="both"/>
              <w:rPr>
                <w:rFonts w:hint="default" w:ascii="宋体" w:hAnsi="宋体" w:cs="宋体"/>
                <w:color w:val="auto"/>
                <w:kern w:val="0"/>
                <w:sz w:val="36"/>
                <w:szCs w:val="36"/>
                <w:highlight w:val="none"/>
              </w:rPr>
            </w:pPr>
            <w:r>
              <w:rPr>
                <w:rFonts w:hint="eastAsia" w:ascii="宋体" w:hAnsi="宋体" w:eastAsia="宋体" w:cs="宋体"/>
                <w:color w:val="auto"/>
                <w:kern w:val="24"/>
                <w:sz w:val="20"/>
                <w:szCs w:val="20"/>
                <w:highlight w:val="none"/>
                <w:lang w:val="en-US" w:eastAsia="zh-CN"/>
              </w:rPr>
              <w:t>（2）具有建筑工程类专业高级（或以上）职称的，得5分；具有建筑工程类专业中级职称的，得3分；其余不得分。</w:t>
            </w:r>
          </w:p>
        </w:tc>
      </w:tr>
      <w:tr w14:paraId="3326080A">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803" w:hRule="atLeast"/>
        </w:trPr>
        <w:tc>
          <w:tcPr>
            <w:tcW w:w="780" w:type="dxa"/>
            <w:vMerge w:val="restart"/>
            <w:tcBorders>
              <w:tl2br w:val="nil"/>
              <w:tr2bl w:val="nil"/>
            </w:tcBorders>
            <w:vAlign w:val="center"/>
          </w:tcPr>
          <w:p w14:paraId="58BE0177">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三</w:t>
            </w:r>
          </w:p>
        </w:tc>
        <w:tc>
          <w:tcPr>
            <w:tcW w:w="1080" w:type="dxa"/>
            <w:vMerge w:val="restart"/>
            <w:tcBorders>
              <w:tl2br w:val="nil"/>
              <w:tr2bl w:val="nil"/>
            </w:tcBorders>
            <w:vAlign w:val="center"/>
          </w:tcPr>
          <w:p w14:paraId="6C1EBA48">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施工组织设计</w:t>
            </w:r>
          </w:p>
          <w:p w14:paraId="732FF74A">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w:t>
            </w:r>
            <w:r>
              <w:rPr>
                <w:rFonts w:hint="eastAsia" w:ascii="宋体" w:hAnsi="宋体" w:cs="宋体"/>
                <w:color w:val="auto"/>
                <w:kern w:val="24"/>
                <w:sz w:val="20"/>
                <w:szCs w:val="20"/>
                <w:highlight w:val="none"/>
                <w:lang w:val="en-US" w:eastAsia="zh-CN"/>
              </w:rPr>
              <w:t>40</w:t>
            </w:r>
            <w:r>
              <w:rPr>
                <w:rFonts w:hint="eastAsia" w:ascii="宋体" w:hAnsi="宋体" w:cs="宋体"/>
                <w:color w:val="auto"/>
                <w:kern w:val="24"/>
                <w:sz w:val="20"/>
                <w:szCs w:val="20"/>
                <w:highlight w:val="none"/>
              </w:rPr>
              <w:t>分）</w:t>
            </w:r>
          </w:p>
        </w:tc>
        <w:tc>
          <w:tcPr>
            <w:tcW w:w="1083" w:type="dxa"/>
            <w:tcBorders>
              <w:tl2br w:val="nil"/>
              <w:tr2bl w:val="nil"/>
            </w:tcBorders>
            <w:vAlign w:val="center"/>
          </w:tcPr>
          <w:p w14:paraId="7266B1DC">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质量控制措施</w:t>
            </w:r>
          </w:p>
        </w:tc>
        <w:tc>
          <w:tcPr>
            <w:tcW w:w="709" w:type="dxa"/>
            <w:tcBorders>
              <w:tl2br w:val="nil"/>
              <w:tr2bl w:val="nil"/>
            </w:tcBorders>
            <w:vAlign w:val="center"/>
          </w:tcPr>
          <w:p w14:paraId="7ADA7F74">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14</w:t>
            </w:r>
          </w:p>
        </w:tc>
        <w:tc>
          <w:tcPr>
            <w:tcW w:w="10896" w:type="dxa"/>
            <w:tcBorders>
              <w:tl2br w:val="nil"/>
              <w:tr2bl w:val="nil"/>
            </w:tcBorders>
            <w:shd w:val="clear" w:color="auto" w:fill="auto"/>
            <w:tcMar>
              <w:top w:w="15" w:type="dxa"/>
              <w:left w:w="108" w:type="dxa"/>
              <w:bottom w:w="0" w:type="dxa"/>
              <w:right w:w="108" w:type="dxa"/>
            </w:tcMar>
            <w:vAlign w:val="center"/>
          </w:tcPr>
          <w:p w14:paraId="2A2DD3BF">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针对本项目提出的工程质量标准，根据投标人编制的</w:t>
            </w:r>
            <w:r>
              <w:rPr>
                <w:rFonts w:hint="eastAsia" w:ascii="宋体" w:hAnsi="宋体" w:cs="宋体"/>
                <w:color w:val="auto"/>
                <w:kern w:val="24"/>
                <w:sz w:val="20"/>
                <w:szCs w:val="20"/>
                <w:highlight w:val="none"/>
              </w:rPr>
              <w:t>质量</w:t>
            </w:r>
            <w:r>
              <w:rPr>
                <w:rFonts w:hint="eastAsia" w:ascii="宋体" w:hAnsi="宋体" w:cs="宋体"/>
                <w:color w:val="auto"/>
                <w:kern w:val="24"/>
                <w:sz w:val="20"/>
                <w:szCs w:val="20"/>
                <w:highlight w:val="none"/>
                <w:lang w:val="en-US" w:eastAsia="zh-CN"/>
              </w:rPr>
              <w:t>控制</w:t>
            </w:r>
            <w:r>
              <w:rPr>
                <w:rFonts w:hint="eastAsia" w:ascii="宋体" w:hAnsi="宋体" w:cs="宋体"/>
                <w:color w:val="auto"/>
                <w:kern w:val="24"/>
                <w:sz w:val="20"/>
                <w:szCs w:val="20"/>
                <w:highlight w:val="none"/>
              </w:rPr>
              <w:t>措施</w:t>
            </w:r>
            <w:r>
              <w:rPr>
                <w:rFonts w:hint="eastAsia" w:ascii="宋体" w:hAnsi="宋体" w:cs="宋体"/>
                <w:color w:val="auto"/>
                <w:kern w:val="24"/>
                <w:sz w:val="20"/>
                <w:szCs w:val="20"/>
                <w:highlight w:val="none"/>
                <w:lang w:val="en-US" w:eastAsia="zh-CN"/>
              </w:rPr>
              <w:t>进行评审：</w:t>
            </w:r>
          </w:p>
          <w:p w14:paraId="272D9E85">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14</w:t>
            </w:r>
            <w:r>
              <w:rPr>
                <w:rFonts w:hint="eastAsia" w:ascii="宋体" w:hAnsi="宋体" w:cs="宋体"/>
                <w:color w:val="auto"/>
                <w:kern w:val="24"/>
                <w:sz w:val="20"/>
                <w:szCs w:val="20"/>
                <w:highlight w:val="none"/>
              </w:rPr>
              <w:t>分；</w:t>
            </w:r>
          </w:p>
          <w:p w14:paraId="1E92974B">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10</w:t>
            </w:r>
            <w:r>
              <w:rPr>
                <w:rFonts w:hint="eastAsia" w:ascii="宋体" w:hAnsi="宋体" w:cs="宋体"/>
                <w:color w:val="auto"/>
                <w:kern w:val="24"/>
                <w:sz w:val="20"/>
                <w:szCs w:val="20"/>
                <w:highlight w:val="none"/>
              </w:rPr>
              <w:t>分；</w:t>
            </w:r>
          </w:p>
          <w:p w14:paraId="1E69FA77">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、可靠性、实用性和可操作性一般，得</w:t>
            </w:r>
            <w:r>
              <w:rPr>
                <w:rFonts w:hint="eastAsia" w:ascii="宋体" w:hAnsi="宋体" w:cs="宋体"/>
                <w:color w:val="auto"/>
                <w:kern w:val="24"/>
                <w:sz w:val="20"/>
                <w:szCs w:val="20"/>
                <w:highlight w:val="none"/>
                <w:lang w:val="en-US" w:eastAsia="zh-CN"/>
              </w:rPr>
              <w:t>6</w:t>
            </w:r>
            <w:r>
              <w:rPr>
                <w:rFonts w:hint="eastAsia" w:ascii="宋体" w:hAnsi="宋体" w:cs="宋体"/>
                <w:color w:val="auto"/>
                <w:kern w:val="24"/>
                <w:sz w:val="20"/>
                <w:szCs w:val="20"/>
                <w:highlight w:val="none"/>
              </w:rPr>
              <w:t>分；</w:t>
            </w:r>
          </w:p>
          <w:p w14:paraId="3BEA2B99">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14:paraId="3A36534C">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803" w:hRule="atLeast"/>
        </w:trPr>
        <w:tc>
          <w:tcPr>
            <w:tcW w:w="780" w:type="dxa"/>
            <w:vMerge w:val="continue"/>
            <w:tcBorders>
              <w:tl2br w:val="nil"/>
              <w:tr2bl w:val="nil"/>
            </w:tcBorders>
            <w:vAlign w:val="center"/>
          </w:tcPr>
          <w:p w14:paraId="7DE3A5F6">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lang w:val="en-US" w:eastAsia="zh-CN"/>
              </w:rPr>
            </w:pPr>
          </w:p>
        </w:tc>
        <w:tc>
          <w:tcPr>
            <w:tcW w:w="1080" w:type="dxa"/>
            <w:vMerge w:val="continue"/>
            <w:tcBorders>
              <w:tl2br w:val="nil"/>
              <w:tr2bl w:val="nil"/>
            </w:tcBorders>
            <w:vAlign w:val="center"/>
          </w:tcPr>
          <w:p w14:paraId="00BD39FB">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83" w:type="dxa"/>
            <w:tcBorders>
              <w:tl2br w:val="nil"/>
              <w:tr2bl w:val="nil"/>
            </w:tcBorders>
            <w:vAlign w:val="center"/>
          </w:tcPr>
          <w:p w14:paraId="23FBA8AD">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施工总进度计划和计划管理</w:t>
            </w:r>
          </w:p>
        </w:tc>
        <w:tc>
          <w:tcPr>
            <w:tcW w:w="709" w:type="dxa"/>
            <w:tcBorders>
              <w:tl2br w:val="nil"/>
              <w:tr2bl w:val="nil"/>
            </w:tcBorders>
            <w:vAlign w:val="center"/>
          </w:tcPr>
          <w:p w14:paraId="6AB96665">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13</w:t>
            </w:r>
          </w:p>
        </w:tc>
        <w:tc>
          <w:tcPr>
            <w:tcW w:w="10896" w:type="dxa"/>
            <w:tcBorders>
              <w:tl2br w:val="nil"/>
              <w:tr2bl w:val="nil"/>
            </w:tcBorders>
            <w:shd w:val="clear" w:color="auto" w:fill="auto"/>
            <w:tcMar>
              <w:top w:w="15" w:type="dxa"/>
              <w:left w:w="108" w:type="dxa"/>
              <w:bottom w:w="0" w:type="dxa"/>
              <w:right w:w="108" w:type="dxa"/>
            </w:tcMar>
            <w:vAlign w:val="center"/>
          </w:tcPr>
          <w:p w14:paraId="642037A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针对本项目提出的工期要求，根据投标人编制的保障项目按期完工的施工进度计划、</w:t>
            </w:r>
            <w:r>
              <w:rPr>
                <w:rFonts w:hint="eastAsia" w:ascii="宋体" w:hAnsi="宋体" w:cs="宋体"/>
                <w:color w:val="auto"/>
                <w:kern w:val="24"/>
                <w:sz w:val="20"/>
                <w:szCs w:val="20"/>
                <w:highlight w:val="none"/>
              </w:rPr>
              <w:t>进度计划管理</w:t>
            </w:r>
            <w:r>
              <w:rPr>
                <w:rFonts w:hint="eastAsia" w:ascii="宋体" w:hAnsi="宋体" w:cs="宋体"/>
                <w:color w:val="auto"/>
                <w:kern w:val="24"/>
                <w:sz w:val="20"/>
                <w:szCs w:val="20"/>
                <w:highlight w:val="none"/>
                <w:lang w:eastAsia="zh-CN"/>
              </w:rPr>
              <w:t>、</w:t>
            </w:r>
            <w:r>
              <w:rPr>
                <w:rFonts w:hint="eastAsia" w:ascii="宋体" w:hAnsi="宋体" w:cs="宋体"/>
                <w:color w:val="auto"/>
                <w:kern w:val="24"/>
                <w:sz w:val="20"/>
                <w:szCs w:val="20"/>
                <w:highlight w:val="none"/>
                <w:lang w:val="en-US" w:eastAsia="zh-CN"/>
              </w:rPr>
              <w:t>施工进度保障措施进行评审：</w:t>
            </w:r>
          </w:p>
          <w:p w14:paraId="28CB31B5">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13</w:t>
            </w:r>
            <w:r>
              <w:rPr>
                <w:rFonts w:hint="eastAsia" w:ascii="宋体" w:hAnsi="宋体" w:cs="宋体"/>
                <w:color w:val="auto"/>
                <w:kern w:val="24"/>
                <w:sz w:val="20"/>
                <w:szCs w:val="20"/>
                <w:highlight w:val="none"/>
              </w:rPr>
              <w:t>分；</w:t>
            </w:r>
          </w:p>
          <w:p w14:paraId="205FE40B">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、可靠性、实用性和可操作性，得</w:t>
            </w:r>
            <w:r>
              <w:rPr>
                <w:rFonts w:hint="eastAsia" w:ascii="宋体" w:hAnsi="宋体" w:cs="宋体"/>
                <w:color w:val="auto"/>
                <w:kern w:val="24"/>
                <w:sz w:val="20"/>
                <w:szCs w:val="20"/>
                <w:highlight w:val="none"/>
                <w:lang w:val="en-US" w:eastAsia="zh-CN"/>
              </w:rPr>
              <w:t>9</w:t>
            </w:r>
            <w:r>
              <w:rPr>
                <w:rFonts w:hint="eastAsia" w:ascii="宋体" w:hAnsi="宋体" w:cs="宋体"/>
                <w:color w:val="auto"/>
                <w:kern w:val="24"/>
                <w:sz w:val="20"/>
                <w:szCs w:val="20"/>
                <w:highlight w:val="none"/>
              </w:rPr>
              <w:t>分；</w:t>
            </w:r>
          </w:p>
          <w:p w14:paraId="2CA1E697">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eastAsia="zh-CN"/>
              </w:rPr>
              <w:t>针对性</w:t>
            </w:r>
            <w:r>
              <w:rPr>
                <w:rFonts w:hint="eastAsia" w:ascii="宋体" w:hAnsi="宋体" w:cs="宋体"/>
                <w:color w:val="auto"/>
                <w:kern w:val="24"/>
                <w:sz w:val="20"/>
                <w:szCs w:val="20"/>
                <w:highlight w:val="none"/>
              </w:rPr>
              <w:t>、可靠性、实用性和可操作性一般，得</w:t>
            </w:r>
            <w:r>
              <w:rPr>
                <w:rFonts w:hint="eastAsia" w:ascii="宋体" w:hAnsi="宋体" w:cs="宋体"/>
                <w:color w:val="auto"/>
                <w:kern w:val="24"/>
                <w:sz w:val="20"/>
                <w:szCs w:val="20"/>
                <w:highlight w:val="none"/>
                <w:lang w:val="en-US" w:eastAsia="zh-CN"/>
              </w:rPr>
              <w:t>5</w:t>
            </w:r>
            <w:r>
              <w:rPr>
                <w:rFonts w:hint="eastAsia" w:ascii="宋体" w:hAnsi="宋体" w:cs="宋体"/>
                <w:color w:val="auto"/>
                <w:kern w:val="24"/>
                <w:sz w:val="20"/>
                <w:szCs w:val="20"/>
                <w:highlight w:val="none"/>
              </w:rPr>
              <w:t>分；</w:t>
            </w:r>
          </w:p>
          <w:p w14:paraId="5D2F9440">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14:paraId="30A7F479">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803" w:hRule="atLeast"/>
        </w:trPr>
        <w:tc>
          <w:tcPr>
            <w:tcW w:w="780" w:type="dxa"/>
            <w:vMerge w:val="continue"/>
            <w:tcBorders>
              <w:tl2br w:val="nil"/>
              <w:tr2bl w:val="nil"/>
            </w:tcBorders>
            <w:vAlign w:val="center"/>
          </w:tcPr>
          <w:p w14:paraId="1011D00F">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lang w:val="en-US" w:eastAsia="zh-CN"/>
              </w:rPr>
            </w:pPr>
          </w:p>
        </w:tc>
        <w:tc>
          <w:tcPr>
            <w:tcW w:w="1080" w:type="dxa"/>
            <w:vMerge w:val="continue"/>
            <w:tcBorders>
              <w:tl2br w:val="nil"/>
              <w:tr2bl w:val="nil"/>
            </w:tcBorders>
            <w:vAlign w:val="center"/>
          </w:tcPr>
          <w:p w14:paraId="67B4882E">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p>
        </w:tc>
        <w:tc>
          <w:tcPr>
            <w:tcW w:w="1083" w:type="dxa"/>
            <w:tcBorders>
              <w:tl2br w:val="nil"/>
              <w:tr2bl w:val="nil"/>
            </w:tcBorders>
            <w:vAlign w:val="center"/>
          </w:tcPr>
          <w:p w14:paraId="66D2FE87">
            <w:pPr>
              <w:keepNext w:val="0"/>
              <w:keepLines w:val="0"/>
              <w:widowControl/>
              <w:suppressLineNumbers w:val="0"/>
              <w:spacing w:before="0" w:beforeAutospacing="0" w:after="0" w:afterAutospacing="0"/>
              <w:ind w:left="0" w:right="0"/>
              <w:jc w:val="center"/>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安全文明、绿色施工措施</w:t>
            </w:r>
          </w:p>
        </w:tc>
        <w:tc>
          <w:tcPr>
            <w:tcW w:w="709" w:type="dxa"/>
            <w:tcBorders>
              <w:tl2br w:val="nil"/>
              <w:tr2bl w:val="nil"/>
            </w:tcBorders>
            <w:vAlign w:val="center"/>
          </w:tcPr>
          <w:p w14:paraId="0E0B4EC9">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eastAsia="zh-CN"/>
              </w:rPr>
            </w:pPr>
            <w:r>
              <w:rPr>
                <w:rFonts w:hint="eastAsia" w:ascii="宋体" w:hAnsi="宋体" w:cs="宋体"/>
                <w:color w:val="auto"/>
                <w:kern w:val="24"/>
                <w:sz w:val="20"/>
                <w:szCs w:val="20"/>
                <w:highlight w:val="none"/>
                <w:lang w:val="en-US" w:eastAsia="zh-CN"/>
              </w:rPr>
              <w:t>13</w:t>
            </w:r>
          </w:p>
        </w:tc>
        <w:tc>
          <w:tcPr>
            <w:tcW w:w="10896" w:type="dxa"/>
            <w:tcBorders>
              <w:tl2br w:val="nil"/>
              <w:tr2bl w:val="nil"/>
            </w:tcBorders>
            <w:shd w:val="clear" w:color="auto" w:fill="auto"/>
            <w:tcMar>
              <w:top w:w="15" w:type="dxa"/>
              <w:left w:w="108" w:type="dxa"/>
              <w:bottom w:w="0" w:type="dxa"/>
              <w:right w:w="108" w:type="dxa"/>
            </w:tcMar>
            <w:vAlign w:val="center"/>
          </w:tcPr>
          <w:p w14:paraId="63A80A16">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lang w:val="en-US" w:eastAsia="zh-CN"/>
              </w:rPr>
              <w:t>针对本项目提出的安全文明施工目标标准，</w:t>
            </w:r>
            <w:r>
              <w:rPr>
                <w:rFonts w:hint="eastAsia" w:ascii="宋体" w:hAnsi="宋体" w:cs="宋体"/>
                <w:color w:val="auto"/>
                <w:kern w:val="24"/>
                <w:sz w:val="20"/>
                <w:szCs w:val="20"/>
                <w:highlight w:val="none"/>
              </w:rPr>
              <w:t>根据投标人编制的安全文明、绿色施工措施进行评审：</w:t>
            </w:r>
          </w:p>
          <w:p w14:paraId="79319641">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【优】方案措施专业性强，内容完整、详细，具有很好的</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性、可靠性、实用性和可操作性，得</w:t>
            </w:r>
            <w:r>
              <w:rPr>
                <w:rFonts w:hint="eastAsia" w:ascii="宋体" w:hAnsi="宋体" w:cs="宋体"/>
                <w:color w:val="auto"/>
                <w:kern w:val="24"/>
                <w:sz w:val="20"/>
                <w:szCs w:val="20"/>
                <w:highlight w:val="none"/>
                <w:lang w:val="en-US" w:eastAsia="zh-CN"/>
              </w:rPr>
              <w:t>13</w:t>
            </w:r>
            <w:r>
              <w:rPr>
                <w:rFonts w:hint="eastAsia" w:ascii="宋体" w:hAnsi="宋体" w:cs="宋体"/>
                <w:color w:val="auto"/>
                <w:kern w:val="24"/>
                <w:sz w:val="20"/>
                <w:szCs w:val="20"/>
                <w:highlight w:val="none"/>
              </w:rPr>
              <w:t>分；</w:t>
            </w:r>
          </w:p>
          <w:p w14:paraId="5C71BA6E">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【良】方案措施专业性较强，内容较完整，具有</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性、可靠性、实用性和可操作性，得</w:t>
            </w:r>
            <w:r>
              <w:rPr>
                <w:rFonts w:hint="eastAsia" w:ascii="宋体" w:hAnsi="宋体" w:cs="宋体"/>
                <w:color w:val="auto"/>
                <w:kern w:val="24"/>
                <w:sz w:val="20"/>
                <w:szCs w:val="20"/>
                <w:highlight w:val="none"/>
                <w:lang w:val="en-US" w:eastAsia="zh-CN"/>
              </w:rPr>
              <w:t>9</w:t>
            </w:r>
            <w:r>
              <w:rPr>
                <w:rFonts w:hint="eastAsia" w:ascii="宋体" w:hAnsi="宋体" w:cs="宋体"/>
                <w:color w:val="auto"/>
                <w:kern w:val="24"/>
                <w:sz w:val="20"/>
                <w:szCs w:val="20"/>
                <w:highlight w:val="none"/>
              </w:rPr>
              <w:t>分；</w:t>
            </w:r>
          </w:p>
          <w:p w14:paraId="4D892C9A">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【中】方案措施专业性一般，内容不够完整，</w:t>
            </w:r>
            <w:r>
              <w:rPr>
                <w:rFonts w:hint="eastAsia" w:ascii="宋体" w:hAnsi="宋体" w:cs="宋体"/>
                <w:color w:val="auto"/>
                <w:kern w:val="24"/>
                <w:sz w:val="20"/>
                <w:szCs w:val="20"/>
                <w:highlight w:val="none"/>
                <w:lang w:val="en-US" w:eastAsia="zh-CN"/>
              </w:rPr>
              <w:t>针对</w:t>
            </w:r>
            <w:r>
              <w:rPr>
                <w:rFonts w:hint="eastAsia" w:ascii="宋体" w:hAnsi="宋体" w:cs="宋体"/>
                <w:color w:val="auto"/>
                <w:kern w:val="24"/>
                <w:sz w:val="20"/>
                <w:szCs w:val="20"/>
                <w:highlight w:val="none"/>
              </w:rPr>
              <w:t>性、可靠性、实用性和可操作性一般，得</w:t>
            </w:r>
            <w:r>
              <w:rPr>
                <w:rFonts w:hint="eastAsia" w:ascii="宋体" w:hAnsi="宋体" w:cs="宋体"/>
                <w:color w:val="auto"/>
                <w:kern w:val="24"/>
                <w:sz w:val="20"/>
                <w:szCs w:val="20"/>
                <w:highlight w:val="none"/>
                <w:lang w:val="en-US" w:eastAsia="zh-CN"/>
              </w:rPr>
              <w:t>5</w:t>
            </w:r>
            <w:r>
              <w:rPr>
                <w:rFonts w:hint="eastAsia" w:ascii="宋体" w:hAnsi="宋体" w:cs="宋体"/>
                <w:color w:val="auto"/>
                <w:kern w:val="24"/>
                <w:sz w:val="20"/>
                <w:szCs w:val="20"/>
                <w:highlight w:val="none"/>
              </w:rPr>
              <w:t>分；</w:t>
            </w:r>
          </w:p>
          <w:p w14:paraId="4396D672">
            <w:pPr>
              <w:keepNext w:val="0"/>
              <w:keepLines w:val="0"/>
              <w:widowControl/>
              <w:suppressLineNumbers w:val="0"/>
              <w:spacing w:before="0" w:beforeAutospacing="0" w:after="0" w:afterAutospacing="0"/>
              <w:ind w:left="0" w:right="0"/>
              <w:jc w:val="left"/>
              <w:rPr>
                <w:rFonts w:hint="eastAsia" w:ascii="宋体" w:hAnsi="宋体" w:cs="宋体"/>
                <w:color w:val="auto"/>
                <w:kern w:val="24"/>
                <w:sz w:val="20"/>
                <w:szCs w:val="20"/>
                <w:highlight w:val="none"/>
              </w:rPr>
            </w:pPr>
            <w:r>
              <w:rPr>
                <w:rFonts w:hint="eastAsia" w:ascii="宋体" w:hAnsi="宋体" w:cs="宋体"/>
                <w:color w:val="auto"/>
                <w:kern w:val="24"/>
                <w:sz w:val="20"/>
                <w:szCs w:val="20"/>
                <w:highlight w:val="none"/>
              </w:rPr>
              <w:t>【差】未提供或其他不得分。</w:t>
            </w:r>
          </w:p>
        </w:tc>
      </w:tr>
      <w:tr w14:paraId="6F914990">
        <w:tblPrEx>
          <w:tblBorders>
            <w:top w:val="single" w:color="080000" w:sz="8" w:space="0"/>
            <w:left w:val="single" w:color="080000" w:sz="8" w:space="0"/>
            <w:bottom w:val="single" w:color="080000" w:sz="8" w:space="0"/>
            <w:right w:val="single" w:color="080000" w:sz="8" w:space="0"/>
            <w:insideH w:val="single" w:color="080000" w:sz="8" w:space="0"/>
            <w:insideV w:val="single" w:color="080000" w:sz="8" w:space="0"/>
          </w:tblBorders>
          <w:tblCellMar>
            <w:top w:w="0" w:type="dxa"/>
            <w:left w:w="0" w:type="dxa"/>
            <w:bottom w:w="0" w:type="dxa"/>
            <w:right w:w="0" w:type="dxa"/>
          </w:tblCellMar>
        </w:tblPrEx>
        <w:trPr>
          <w:trHeight w:val="486" w:hRule="atLeast"/>
        </w:trPr>
        <w:tc>
          <w:tcPr>
            <w:tcW w:w="2943" w:type="dxa"/>
            <w:gridSpan w:val="3"/>
            <w:tcBorders>
              <w:tl2br w:val="nil"/>
              <w:tr2bl w:val="nil"/>
            </w:tcBorders>
            <w:vAlign w:val="center"/>
          </w:tcPr>
          <w:p w14:paraId="78833AAD">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rPr>
            </w:pPr>
            <w:r>
              <w:rPr>
                <w:rFonts w:hint="eastAsia" w:ascii="宋体" w:hAnsi="宋体" w:cs="宋体"/>
                <w:color w:val="auto"/>
                <w:kern w:val="24"/>
                <w:sz w:val="20"/>
                <w:szCs w:val="20"/>
                <w:highlight w:val="none"/>
              </w:rPr>
              <w:t>总分</w:t>
            </w:r>
          </w:p>
        </w:tc>
        <w:tc>
          <w:tcPr>
            <w:tcW w:w="709" w:type="dxa"/>
            <w:tcBorders>
              <w:tl2br w:val="nil"/>
              <w:tr2bl w:val="nil"/>
            </w:tcBorders>
            <w:vAlign w:val="center"/>
          </w:tcPr>
          <w:p w14:paraId="788B4B36">
            <w:pPr>
              <w:keepNext w:val="0"/>
              <w:keepLines w:val="0"/>
              <w:widowControl/>
              <w:suppressLineNumbers w:val="0"/>
              <w:spacing w:before="0" w:beforeAutospacing="0" w:after="0" w:afterAutospacing="0"/>
              <w:ind w:left="0" w:right="0"/>
              <w:jc w:val="center"/>
              <w:rPr>
                <w:rFonts w:hint="default" w:ascii="宋体" w:hAnsi="宋体" w:cs="宋体"/>
                <w:color w:val="auto"/>
                <w:kern w:val="24"/>
                <w:sz w:val="20"/>
                <w:szCs w:val="20"/>
                <w:highlight w:val="none"/>
                <w:lang w:val="en-US"/>
              </w:rPr>
            </w:pPr>
            <w:r>
              <w:rPr>
                <w:rFonts w:hint="eastAsia" w:ascii="宋体" w:hAnsi="宋体" w:cs="宋体"/>
                <w:color w:val="auto"/>
                <w:kern w:val="24"/>
                <w:sz w:val="20"/>
                <w:szCs w:val="20"/>
                <w:highlight w:val="none"/>
                <w:lang w:val="en-US" w:eastAsia="zh-CN"/>
              </w:rPr>
              <w:t>100</w:t>
            </w:r>
          </w:p>
        </w:tc>
        <w:tc>
          <w:tcPr>
            <w:tcW w:w="10896" w:type="dxa"/>
            <w:tcBorders>
              <w:tl2br w:val="nil"/>
              <w:tr2bl w:val="nil"/>
            </w:tcBorders>
            <w:shd w:val="clear" w:color="auto" w:fill="auto"/>
            <w:tcMar>
              <w:top w:w="15" w:type="dxa"/>
              <w:left w:w="108" w:type="dxa"/>
              <w:bottom w:w="0" w:type="dxa"/>
              <w:right w:w="108" w:type="dxa"/>
            </w:tcMar>
            <w:vAlign w:val="center"/>
          </w:tcPr>
          <w:p w14:paraId="7A06AD98">
            <w:pPr>
              <w:keepNext w:val="0"/>
              <w:keepLines w:val="0"/>
              <w:widowControl/>
              <w:suppressLineNumbers w:val="0"/>
              <w:spacing w:before="0" w:beforeAutospacing="0" w:after="0" w:afterAutospacing="0"/>
              <w:ind w:left="0" w:right="0"/>
              <w:jc w:val="left"/>
              <w:rPr>
                <w:rFonts w:hint="default" w:ascii="宋体" w:hAnsi="宋体" w:cs="宋体"/>
                <w:color w:val="auto"/>
                <w:kern w:val="24"/>
                <w:sz w:val="20"/>
                <w:szCs w:val="20"/>
                <w:highlight w:val="none"/>
              </w:rPr>
            </w:pPr>
          </w:p>
        </w:tc>
      </w:tr>
    </w:tbl>
    <w:p w14:paraId="236DA784">
      <w:pPr>
        <w:keepNext w:val="0"/>
        <w:keepLines w:val="0"/>
        <w:widowControl/>
        <w:suppressLineNumbers w:val="0"/>
        <w:ind w:firstLine="422"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color w:val="auto"/>
          <w:kern w:val="2"/>
          <w:sz w:val="21"/>
          <w:szCs w:val="21"/>
          <w:highlight w:val="none"/>
          <w:lang w:val="en-US" w:eastAsia="zh-CN" w:bidi="ar-SA"/>
        </w:rPr>
        <w:t>1.</w:t>
      </w:r>
      <w:r>
        <w:rPr>
          <w:rFonts w:hint="eastAsia" w:ascii="宋体" w:hAnsi="宋体" w:cs="宋体"/>
          <w:b/>
          <w:color w:val="auto"/>
          <w:szCs w:val="21"/>
          <w:highlight w:val="none"/>
        </w:rPr>
        <w:t>企业业绩：</w:t>
      </w:r>
      <w:r>
        <w:rPr>
          <w:rFonts w:hint="eastAsia" w:ascii="宋体" w:hAnsi="宋体" w:eastAsia="宋体" w:cs="宋体"/>
          <w:color w:val="auto"/>
          <w:szCs w:val="21"/>
          <w:highlight w:val="none"/>
          <w:lang w:val="en-US" w:eastAsia="zh-CN"/>
        </w:rPr>
        <w:t>施工总承包业绩或单独发包的电力工程业绩，需同时提供中标通知书或免招标的相关证明、施工合同、竣工验收报告或竣工验收证明。由总承包单位依法分包的电力工程业绩，需同时提供经业主和总承包单位确认的分包合同、竣工验收报告或竣工验收证明扫描件。如以上资料不能证明业绩规模的技术指标（指电压等级、金额等）的，须另提供可证明业绩技术指标的其他资料。提供施工合同或分包合同扫描件证明材料，可提供合同关键页，但应至少包括合同封面、合同指标金额规模页、合同盖章页。</w:t>
      </w:r>
    </w:p>
    <w:p w14:paraId="2DEE78BF">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完成时间以竣工验收文件或子分部工程质量验收记录时间为准。业绩金额按以下方式认定：</w:t>
      </w:r>
    </w:p>
    <w:p w14:paraId="3E590F2B">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①适用于施工总承包项目：金额以中标通知书为准，中标通知书上没有金额或免招标的，以施工合同（不含补充合同）为准。</w:t>
      </w:r>
    </w:p>
    <w:p w14:paraId="24DBC88A">
      <w:pPr>
        <w:keepNext w:val="0"/>
        <w:keepLines w:val="0"/>
        <w:widowControl/>
        <w:suppressLineNumbers w:val="0"/>
        <w:ind w:firstLine="420" w:firstLineChars="200"/>
        <w:jc w:val="left"/>
        <w:rPr>
          <w:rFonts w:hint="eastAsia" w:ascii="宋体" w:hAnsi="宋体" w:cs="宋体"/>
          <w:b/>
          <w:color w:val="auto"/>
          <w:szCs w:val="21"/>
          <w:highlight w:val="none"/>
        </w:rPr>
      </w:pPr>
      <w:r>
        <w:rPr>
          <w:rFonts w:hint="eastAsia" w:ascii="宋体" w:hAnsi="宋体" w:eastAsia="宋体" w:cs="宋体"/>
          <w:color w:val="auto"/>
          <w:szCs w:val="21"/>
          <w:highlight w:val="none"/>
          <w:lang w:val="en-US" w:eastAsia="zh-CN"/>
        </w:rPr>
        <w:t>②适用于施工专业承包项目：单独发包的电力工程的业绩金额以中标通知书为准，中标通知书上没有金额或免招标的，以施工合同（不含补充合同）为准。如中标通知书未能体现对应的电力工程金额，则以施工合同载明的对应的电力工程金额为准，如中标通知书与施工合同均不能单独体现对应的电力工程金额，则以建设单位提供的证明资料中载明的对应电力工程金额为准。由总承包单位依法分包的电力工程业绩其金额以分包合同中约定的合同金额为准。</w:t>
      </w:r>
    </w:p>
    <w:p w14:paraId="2FE1A267">
      <w:pPr>
        <w:keepNext w:val="0"/>
        <w:keepLines w:val="0"/>
        <w:widowControl/>
        <w:suppressLineNumbers w:val="0"/>
        <w:ind w:firstLine="422"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b/>
          <w:color w:val="auto"/>
          <w:szCs w:val="21"/>
          <w:highlight w:val="none"/>
          <w:lang w:val="en-US" w:eastAsia="zh-CN"/>
        </w:rPr>
        <w:t>2.工程奖项：</w:t>
      </w:r>
      <w:r>
        <w:rPr>
          <w:rFonts w:hint="eastAsia" w:ascii="宋体" w:hAnsi="宋体" w:eastAsia="宋体" w:cs="宋体"/>
          <w:color w:val="auto"/>
          <w:szCs w:val="21"/>
          <w:highlight w:val="none"/>
          <w:lang w:val="en-US" w:eastAsia="zh-CN"/>
        </w:rPr>
        <w:t>（1）国家级质量奖项是指：中国建设工程鲁班奖、国家优质工程金质奖</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国家优质工程奖、中国土木工程詹天佑奖、中国电力优质工程奖；省级及市级质量奖项指：由省市级行政主管部门或行业协会颁发的质量奖项，不包含安全文明、绿色施工、结构、装修、技术创新、QC成果、科技进步及技术应用类等奖项。同一项目只按最高奖项计算一次得分，不得重复计算，参建及承建的奖项均予以计算。（2）获奖时间以发证时间为准，投标人须提供相关获奖证书扫描件，并加盖投标人电子印章，不符合上述条件或未提供上述资料的不得分。（3）若发证机构为学会或协会的，须在中国社会组织政务服务平台（https://chinanpo.mca.gov.cn/）查询并附上查询网页截图；获奖单位须为投标单位，子分公司均不计算在内。未提供或所提供的证明资料不符合要求的，则不予得分。</w:t>
      </w:r>
    </w:p>
    <w:p w14:paraId="2C784293">
      <w:pPr>
        <w:keepNext w:val="0"/>
        <w:keepLines w:val="0"/>
        <w:widowControl/>
        <w:suppressLineNumbers w:val="0"/>
        <w:ind w:firstLine="422" w:firstLineChars="200"/>
        <w:jc w:val="left"/>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第三方评价：</w:t>
      </w:r>
      <w:r>
        <w:rPr>
          <w:rFonts w:hint="eastAsia" w:ascii="宋体" w:hAnsi="宋体" w:eastAsia="宋体" w:cs="宋体"/>
          <w:color w:val="auto"/>
          <w:szCs w:val="21"/>
          <w:highlight w:val="none"/>
          <w:lang w:val="en-US" w:eastAsia="zh-CN"/>
        </w:rPr>
        <w:t>投标人需同时提供在有效期内的相关的管理体系认证证书彩色扫描件及管理体系证书在（全国认证认可信息公共服务平台（网址：http://cx.cnca.cn/CertECloud/index/index/page）上的查询信息网页截图。所有证明文件均需加盖投标单位电子印章</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不符合上述条件的不予评审。</w:t>
      </w:r>
    </w:p>
    <w:p w14:paraId="3386151F">
      <w:pPr>
        <w:keepNext w:val="0"/>
        <w:keepLines w:val="0"/>
        <w:widowControl/>
        <w:suppressLineNumbers w:val="0"/>
        <w:ind w:firstLine="422" w:firstLineChars="200"/>
        <w:jc w:val="left"/>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4</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项目</w:t>
      </w:r>
      <w:r>
        <w:rPr>
          <w:rFonts w:hint="eastAsia" w:ascii="宋体" w:hAnsi="宋体" w:cs="宋体"/>
          <w:b/>
          <w:color w:val="auto"/>
          <w:szCs w:val="21"/>
          <w:highlight w:val="none"/>
        </w:rPr>
        <w:t>管理</w:t>
      </w:r>
      <w:r>
        <w:rPr>
          <w:rFonts w:hint="eastAsia" w:ascii="宋体" w:hAnsi="宋体" w:eastAsia="宋体" w:cs="宋体"/>
          <w:b/>
          <w:color w:val="auto"/>
          <w:szCs w:val="21"/>
          <w:highlight w:val="none"/>
        </w:rPr>
        <w:t>机构能力：</w:t>
      </w:r>
    </w:p>
    <w:p w14:paraId="343C6D6B">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1项目负责人业绩：施工总承包业绩或单独发包的电力工程业绩，需同时提供中标通知书或免招标的相关证明、施工合同、竣工验收报告或竣工验收证明。由总承包单位依法分包的电力工程业绩，需同时提供经业主和总承包单位确认的分包合同、竣工验收报告或竣工验收证明扫描件。如以上资料不能证明业绩规模的技术指标（指电压等级、金额等）的，须另提供可证明业绩技术指标的其他资料。提供施工合同或分包合同扫描件证明材料，可提供合同关键页，但应至少包括合同封面、合同指标金额规模页、合同盖章页。</w:t>
      </w:r>
      <w:r>
        <w:rPr>
          <w:rFonts w:hint="eastAsia" w:ascii="宋体" w:hAnsi="宋体" w:eastAsia="宋体" w:cs="宋体"/>
          <w:color w:val="auto"/>
          <w:kern w:val="2"/>
          <w:sz w:val="21"/>
          <w:szCs w:val="21"/>
          <w:highlight w:val="none"/>
        </w:rPr>
        <w:t>合同关键页或</w:t>
      </w:r>
      <w:r>
        <w:rPr>
          <w:rFonts w:hint="eastAsia" w:ascii="宋体" w:hAnsi="宋体" w:eastAsia="宋体" w:cs="宋体"/>
          <w:color w:val="auto"/>
          <w:szCs w:val="21"/>
          <w:highlight w:val="none"/>
          <w:lang w:val="en-US" w:eastAsia="zh-CN"/>
        </w:rPr>
        <w:t>竣工验收报告或竣工验收证明</w:t>
      </w:r>
      <w:r>
        <w:rPr>
          <w:rFonts w:hint="eastAsia" w:ascii="宋体" w:hAnsi="宋体" w:eastAsia="宋体" w:cs="宋体"/>
          <w:color w:val="auto"/>
          <w:kern w:val="2"/>
          <w:sz w:val="21"/>
          <w:szCs w:val="21"/>
          <w:highlight w:val="none"/>
        </w:rPr>
        <w:t>项目负责人（或项目经理）姓名需与拟投项目负责人一致</w:t>
      </w:r>
      <w:r>
        <w:rPr>
          <w:rFonts w:hint="eastAsia" w:ascii="宋体" w:hAnsi="宋体" w:eastAsia="宋体" w:cs="宋体"/>
          <w:color w:val="auto"/>
          <w:kern w:val="2"/>
          <w:sz w:val="21"/>
          <w:szCs w:val="21"/>
          <w:highlight w:val="none"/>
          <w:lang w:eastAsia="zh-CN"/>
        </w:rPr>
        <w:t>。</w:t>
      </w:r>
    </w:p>
    <w:p w14:paraId="37439BA1">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完成时间以竣工验收文件或子分部工程质量验收记录时间为准。业绩金额按以下方式认定：</w:t>
      </w:r>
    </w:p>
    <w:p w14:paraId="62F7E8D4">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①适用于施工总承包项目：金额以中标通知书为准，中标通知书上没有金额或免招标的，以施工合同（不含补充合同）为准。</w:t>
      </w:r>
    </w:p>
    <w:p w14:paraId="67DABEEA">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适用于施工专业承包项目：单独发包的电力工程的业绩金额以中标通知书为准，中标通知书上没有金额或免招标的，以施工合同（不含补充合同）为准。如中标通知书未能体现对应的电力工程金额，则以施工合同载明的对应的电力工程金额为准，如中标通知书与施工合同均不能单独体现对应的电力工程金额，则以建设单位提供的证明资料中载明的对应电力工程金额为准。由总承包单位依法分包的电力工程业绩其金额以分包合同中约定的合同金额为准。</w:t>
      </w:r>
    </w:p>
    <w:p w14:paraId="032F8E8B">
      <w:pPr>
        <w:spacing w:line="276"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eastAsia="宋体" w:cs="宋体"/>
          <w:color w:val="auto"/>
          <w:szCs w:val="21"/>
          <w:highlight w:val="none"/>
          <w:lang w:val="en-US" w:eastAsia="zh-CN"/>
        </w:rPr>
        <w:t>拟投入本项目人员须提供</w:t>
      </w:r>
      <w:r>
        <w:rPr>
          <w:rFonts w:hint="eastAsia" w:ascii="宋体" w:hAnsi="宋体" w:cs="宋体"/>
          <w:color w:val="auto"/>
          <w:szCs w:val="21"/>
          <w:highlight w:val="none"/>
          <w:lang w:val="en-US" w:eastAsia="zh-CN"/>
        </w:rPr>
        <w:t>身份证、</w:t>
      </w:r>
      <w:r>
        <w:rPr>
          <w:rFonts w:hint="eastAsia" w:ascii="宋体" w:hAnsi="宋体" w:eastAsia="宋体" w:cs="宋体"/>
          <w:color w:val="auto"/>
          <w:szCs w:val="21"/>
          <w:highlight w:val="none"/>
          <w:lang w:val="en-US" w:eastAsia="zh-CN"/>
        </w:rPr>
        <w:t>职称证或岗位</w:t>
      </w:r>
      <w:r>
        <w:rPr>
          <w:rFonts w:hint="eastAsia" w:ascii="宋体" w:hAnsi="宋体" w:cs="宋体"/>
          <w:color w:val="auto"/>
          <w:szCs w:val="21"/>
          <w:highlight w:val="none"/>
          <w:lang w:bidi="ar"/>
        </w:rPr>
        <w:t>（</w:t>
      </w:r>
      <w:r>
        <w:rPr>
          <w:rFonts w:hint="eastAsia" w:ascii="宋体" w:hAnsi="宋体" w:eastAsia="宋体" w:cs="宋体"/>
          <w:color w:val="auto"/>
          <w:szCs w:val="21"/>
          <w:highlight w:val="none"/>
          <w:lang w:val="en-US" w:eastAsia="zh-CN"/>
        </w:rPr>
        <w:t>注册</w:t>
      </w:r>
      <w:r>
        <w:rPr>
          <w:rFonts w:hint="eastAsia" w:ascii="宋体" w:hAnsi="宋体" w:cs="宋体"/>
          <w:color w:val="auto"/>
          <w:szCs w:val="21"/>
          <w:highlight w:val="none"/>
          <w:lang w:bidi="ar"/>
        </w:rPr>
        <w:t>（</w:t>
      </w:r>
      <w:r>
        <w:rPr>
          <w:rFonts w:hint="eastAsia" w:ascii="宋体" w:hAnsi="宋体" w:eastAsia="宋体" w:cs="宋体"/>
          <w:color w:val="auto"/>
          <w:szCs w:val="21"/>
          <w:highlight w:val="none"/>
          <w:lang w:val="en-US" w:eastAsia="zh-CN"/>
        </w:rPr>
        <w:t>或执业</w:t>
      </w:r>
      <w:r>
        <w:rPr>
          <w:rFonts w:hint="eastAsia" w:ascii="宋体" w:hAnsi="宋体" w:cs="宋体"/>
          <w:color w:val="auto"/>
          <w:szCs w:val="21"/>
          <w:highlight w:val="none"/>
          <w:lang w:bidi="ar"/>
        </w:rPr>
        <w:t>））</w:t>
      </w:r>
      <w:r>
        <w:rPr>
          <w:rFonts w:hint="eastAsia" w:ascii="宋体" w:hAnsi="宋体" w:eastAsia="宋体" w:cs="宋体"/>
          <w:color w:val="auto"/>
          <w:szCs w:val="21"/>
          <w:highlight w:val="none"/>
          <w:lang w:val="en-US" w:eastAsia="zh-CN"/>
        </w:rPr>
        <w:t>证扫描件。</w:t>
      </w:r>
    </w:p>
    <w:p w14:paraId="61FF2AB6">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4.3</w:t>
      </w:r>
      <w:r>
        <w:rPr>
          <w:rFonts w:hint="eastAsia" w:ascii="宋体" w:hAnsi="宋体" w:eastAsia="宋体" w:cs="宋体"/>
          <w:color w:val="auto"/>
          <w:szCs w:val="21"/>
          <w:highlight w:val="none"/>
          <w:lang w:val="en-US" w:eastAsia="zh-CN"/>
        </w:rPr>
        <w:t>须提供</w:t>
      </w:r>
      <w:r>
        <w:rPr>
          <w:rFonts w:hint="eastAsia" w:ascii="宋体" w:hAnsi="宋体" w:cs="宋体"/>
          <w:color w:val="auto"/>
          <w:szCs w:val="21"/>
          <w:highlight w:val="none"/>
          <w:lang w:bidi="ar"/>
        </w:rPr>
        <w:t>近期（扣除发布招标公告当月往前顺推1个月，即2025年</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月）</w:t>
      </w:r>
      <w:r>
        <w:rPr>
          <w:rFonts w:hint="eastAsia" w:ascii="宋体" w:hAnsi="宋体" w:eastAsia="宋体" w:cs="宋体"/>
          <w:color w:val="auto"/>
          <w:szCs w:val="21"/>
          <w:highlight w:val="none"/>
          <w:lang w:val="en-US" w:eastAsia="zh-CN"/>
        </w:rPr>
        <w:t>在本投标单位</w:t>
      </w:r>
      <w:r>
        <w:rPr>
          <w:rFonts w:hint="eastAsia" w:ascii="宋体" w:hAnsi="宋体" w:cs="宋体"/>
          <w:color w:val="auto"/>
          <w:szCs w:val="21"/>
          <w:highlight w:val="none"/>
          <w:lang w:bidi="ar"/>
        </w:rPr>
        <w:t>（</w:t>
      </w:r>
      <w:r>
        <w:rPr>
          <w:rFonts w:hint="eastAsia" w:ascii="宋体" w:hAnsi="宋体" w:eastAsia="宋体" w:cs="宋体"/>
          <w:color w:val="auto"/>
          <w:szCs w:val="21"/>
          <w:highlight w:val="none"/>
          <w:lang w:val="en-US" w:eastAsia="zh-CN"/>
        </w:rPr>
        <w:t>不含投标人的子</w:t>
      </w:r>
      <w:r>
        <w:rPr>
          <w:rFonts w:hint="eastAsia" w:ascii="宋体" w:hAnsi="宋体" w:cs="宋体"/>
          <w:color w:val="auto"/>
          <w:szCs w:val="21"/>
          <w:highlight w:val="none"/>
          <w:lang w:val="en-US" w:eastAsia="zh-CN"/>
        </w:rPr>
        <w:t>、母</w:t>
      </w:r>
      <w:r>
        <w:rPr>
          <w:rFonts w:hint="eastAsia" w:ascii="宋体" w:hAnsi="宋体" w:eastAsia="宋体" w:cs="宋体"/>
          <w:color w:val="auto"/>
          <w:szCs w:val="21"/>
          <w:highlight w:val="none"/>
          <w:lang w:val="en-US" w:eastAsia="zh-CN"/>
        </w:rPr>
        <w:t>公司，含投标人的分公司</w:t>
      </w:r>
      <w:r>
        <w:rPr>
          <w:rFonts w:hint="eastAsia" w:ascii="宋体" w:hAnsi="宋体" w:cs="宋体"/>
          <w:color w:val="auto"/>
          <w:szCs w:val="21"/>
          <w:highlight w:val="none"/>
          <w:lang w:bidi="ar"/>
        </w:rPr>
        <w:t>）</w:t>
      </w:r>
      <w:r>
        <w:rPr>
          <w:rFonts w:hint="eastAsia" w:ascii="宋体" w:hAnsi="宋体" w:eastAsia="宋体" w:cs="宋体"/>
          <w:color w:val="auto"/>
          <w:szCs w:val="21"/>
          <w:highlight w:val="none"/>
          <w:lang w:val="en-US" w:eastAsia="zh-CN"/>
        </w:rPr>
        <w:t>参保的社保缴纳记录证明扫描件。</w:t>
      </w:r>
    </w:p>
    <w:p w14:paraId="1C7661AD">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4.4</w:t>
      </w:r>
      <w:r>
        <w:rPr>
          <w:rFonts w:hint="eastAsia" w:ascii="宋体" w:hAnsi="宋体" w:eastAsia="宋体" w:cs="宋体"/>
          <w:color w:val="auto"/>
          <w:szCs w:val="21"/>
          <w:highlight w:val="none"/>
          <w:lang w:val="en-US" w:eastAsia="zh-CN"/>
        </w:rPr>
        <w:t>各岗位人员不得相互兼职，上述材料不提供或提供不齐全的不得分。同一人员具有不同级别职称证的，按最高档计取得分。</w:t>
      </w:r>
    </w:p>
    <w:p w14:paraId="33B60D2F">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项目管理团队人员是指为本公司正式人员，不含子</w:t>
      </w:r>
      <w:r>
        <w:rPr>
          <w:rFonts w:hint="eastAsia" w:ascii="宋体" w:hAnsi="宋体" w:cs="宋体"/>
          <w:color w:val="auto"/>
          <w:szCs w:val="21"/>
          <w:highlight w:val="none"/>
          <w:lang w:val="en-US" w:eastAsia="zh-CN"/>
        </w:rPr>
        <w:t>、母</w:t>
      </w:r>
      <w:r>
        <w:rPr>
          <w:rFonts w:hint="eastAsia" w:ascii="宋体" w:hAnsi="宋体" w:eastAsia="宋体" w:cs="宋体"/>
          <w:color w:val="auto"/>
          <w:szCs w:val="21"/>
          <w:highlight w:val="none"/>
          <w:lang w:val="en-US" w:eastAsia="zh-CN"/>
        </w:rPr>
        <w:t>公司人员，如投标人为集团公司，则不含其集团下属的子公司人员，下属子公司也不含其集团公司的人员。</w:t>
      </w:r>
    </w:p>
    <w:p w14:paraId="29EB2FA3">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4.6</w:t>
      </w:r>
      <w:r>
        <w:rPr>
          <w:rFonts w:hint="eastAsia" w:ascii="宋体" w:hAnsi="宋体" w:eastAsia="宋体" w:cs="宋体"/>
          <w:color w:val="auto"/>
          <w:szCs w:val="21"/>
          <w:highlight w:val="none"/>
          <w:lang w:val="en-US" w:eastAsia="zh-CN"/>
        </w:rPr>
        <w:t>一级注册造价工程师是指根据住房</w:t>
      </w:r>
      <w:r>
        <w:rPr>
          <w:rFonts w:hint="eastAsia" w:ascii="宋体" w:hAnsi="宋体" w:cs="宋体"/>
          <w:color w:val="auto"/>
          <w:szCs w:val="21"/>
          <w:highlight w:val="none"/>
          <w:lang w:val="en-US" w:eastAsia="zh-CN"/>
        </w:rPr>
        <w:t>和</w:t>
      </w:r>
      <w:r>
        <w:rPr>
          <w:rFonts w:hint="eastAsia" w:ascii="宋体" w:hAnsi="宋体" w:eastAsia="宋体" w:cs="宋体"/>
          <w:color w:val="auto"/>
          <w:szCs w:val="21"/>
          <w:highlight w:val="none"/>
          <w:lang w:val="en-US" w:eastAsia="zh-CN"/>
        </w:rPr>
        <w:t>城乡建设部、交通运输部、水利部、人力资源社会保障部发布的《造价工程师职业资格制度规定》、《造价工程师职业资格考试实施办法》（建人</w:t>
      </w:r>
      <w:r>
        <w:rPr>
          <w:rFonts w:hint="eastAsia" w:ascii="宋体" w:hAnsi="宋体" w:cs="宋体"/>
          <w:color w:val="auto"/>
          <w:szCs w:val="21"/>
          <w:highlight w:val="none"/>
          <w:lang w:val="en-US" w:eastAsia="zh-CN"/>
        </w:rPr>
        <w:t>〔2018〕</w:t>
      </w:r>
      <w:r>
        <w:rPr>
          <w:rFonts w:hint="eastAsia" w:ascii="宋体" w:hAnsi="宋体" w:eastAsia="宋体" w:cs="宋体"/>
          <w:color w:val="auto"/>
          <w:szCs w:val="21"/>
          <w:highlight w:val="none"/>
          <w:lang w:val="en-US" w:eastAsia="zh-CN"/>
        </w:rPr>
        <w:t>67号）取得的一级造价工程师职业资格，并经注册且在有效期内。根据原人事部、原建设部发布的《造价工程师执业资格制度暂行规定》（人发</w:t>
      </w:r>
      <w:r>
        <w:rPr>
          <w:rFonts w:hint="eastAsia" w:ascii="宋体" w:hAnsi="宋体" w:cs="宋体"/>
          <w:color w:val="auto"/>
          <w:szCs w:val="21"/>
          <w:highlight w:val="none"/>
          <w:lang w:val="en-US" w:eastAsia="zh-CN"/>
        </w:rPr>
        <w:t>〔1996〕77号</w:t>
      </w:r>
      <w:r>
        <w:rPr>
          <w:rFonts w:hint="eastAsia" w:ascii="宋体" w:hAnsi="宋体" w:eastAsia="宋体" w:cs="宋体"/>
          <w:color w:val="auto"/>
          <w:szCs w:val="21"/>
          <w:highlight w:val="none"/>
          <w:lang w:val="en-US" w:eastAsia="zh-CN"/>
        </w:rPr>
        <w:t>)取得的造价工程师执业资格，并经注册且在有效期内的，等同于一级注册造价工程师。</w:t>
      </w:r>
    </w:p>
    <w:p w14:paraId="5B55CB5B">
      <w:pPr>
        <w:keepNext w:val="0"/>
        <w:keepLines w:val="0"/>
        <w:widowControl/>
        <w:suppressLineNumbers w:val="0"/>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4.7</w:t>
      </w:r>
      <w:r>
        <w:rPr>
          <w:rFonts w:hint="eastAsia" w:ascii="宋体" w:hAnsi="宋体" w:eastAsia="宋体" w:cs="宋体"/>
          <w:color w:val="auto"/>
          <w:szCs w:val="21"/>
          <w:highlight w:val="none"/>
          <w:lang w:val="en-US" w:eastAsia="zh-CN"/>
        </w:rPr>
        <w:t>以上证明文件均需加盖投标单位电子印章，不符合上述条件</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不予评审。</w:t>
      </w:r>
    </w:p>
    <w:p w14:paraId="14A6D112">
      <w:pPr>
        <w:keepNext w:val="0"/>
        <w:keepLines w:val="0"/>
        <w:widowControl/>
        <w:suppressLineNumbers w:val="0"/>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zh-CN" w:eastAsia="zh-CN"/>
        </w:rPr>
        <w:t>所有评委分数汇总后的算术平均值为投标</w:t>
      </w:r>
      <w:r>
        <w:rPr>
          <w:rFonts w:hint="eastAsia" w:ascii="宋体" w:hAnsi="宋体" w:eastAsia="宋体" w:cs="宋体"/>
          <w:color w:val="auto"/>
          <w:szCs w:val="21"/>
          <w:highlight w:val="none"/>
          <w:lang w:val="en-US" w:eastAsia="zh-CN"/>
        </w:rPr>
        <w:t>单位</w:t>
      </w:r>
      <w:r>
        <w:rPr>
          <w:rFonts w:hint="eastAsia" w:ascii="宋体" w:hAnsi="宋体" w:eastAsia="宋体" w:cs="宋体"/>
          <w:color w:val="auto"/>
          <w:szCs w:val="21"/>
          <w:highlight w:val="none"/>
          <w:lang w:val="zh-CN" w:eastAsia="zh-CN"/>
        </w:rPr>
        <w:t>的最终得分。分数出现小数点，保留小数点后</w:t>
      </w:r>
      <w:r>
        <w:rPr>
          <w:rFonts w:hint="eastAsia" w:ascii="宋体" w:hAnsi="宋体" w:cs="宋体"/>
          <w:color w:val="auto"/>
          <w:szCs w:val="21"/>
          <w:highlight w:val="none"/>
          <w:lang w:val="zh-CN" w:eastAsia="zh-CN"/>
        </w:rPr>
        <w:t>两位</w:t>
      </w:r>
      <w:r>
        <w:rPr>
          <w:rFonts w:hint="eastAsia" w:ascii="宋体" w:hAnsi="宋体" w:eastAsia="宋体" w:cs="宋体"/>
          <w:color w:val="auto"/>
          <w:szCs w:val="21"/>
          <w:highlight w:val="none"/>
          <w:lang w:val="zh-CN" w:eastAsia="zh-CN"/>
        </w:rPr>
        <w:t>小数，第三位小数四舍五入。</w:t>
      </w:r>
    </w:p>
    <w:p w14:paraId="6D7D3987">
      <w:pPr>
        <w:rPr>
          <w:rFonts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w:t>
      </w:r>
    </w:p>
    <w:p w14:paraId="498A31C5">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3DE2588B">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14:paraId="156D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14:paraId="3C5D0852">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14:paraId="3CC1353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9BD4D1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328AFF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830F01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3AA87E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BEE6A3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EF9764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68AE5C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56C652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D19541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D04F99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1CCAF5C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1340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3ACA60D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14:paraId="1A8D1B3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38C843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54DF5D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913C66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C09942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D1BA9A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BE2EBE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244480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60FE82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39FBCA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120356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6F2DE31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7452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37FDD75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计算评标参考价的等分点值X</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4997F1C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22C8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57863DD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14:paraId="5E4BFAC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787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5A062AD4">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14:paraId="07A2A31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44EC49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9E21D6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ED97C2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7A9AD0C">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5BE46F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EA6300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3A3262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8C9BD9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D5F671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C8E8536">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25994D3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57D1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14:paraId="5669C7E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14:paraId="04E2842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4DCE53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4E804B1">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72E976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2D7B820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482FDE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164690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AA645F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43EF61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890431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15E6B4E">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70E9C34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3E94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430AE497">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14:paraId="5347A83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B9B704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C61435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62AB8DF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CFC54B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25FE64D">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2BD44D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0B649B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ACDD4F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4F65A0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A3379A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03065D37">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r w14:paraId="1D72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14:paraId="250FA86B">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得分排名次序</w:t>
            </w:r>
          </w:p>
        </w:tc>
        <w:tc>
          <w:tcPr>
            <w:tcW w:w="1048" w:type="dxa"/>
            <w:tcBorders>
              <w:top w:val="single" w:color="auto" w:sz="4" w:space="0"/>
              <w:left w:val="single" w:color="auto" w:sz="4" w:space="0"/>
              <w:bottom w:val="single" w:color="auto" w:sz="4" w:space="0"/>
              <w:right w:val="single" w:color="auto" w:sz="4" w:space="0"/>
            </w:tcBorders>
            <w:vAlign w:val="center"/>
          </w:tcPr>
          <w:p w14:paraId="3AFA7A45">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46D6308F">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047AF22">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5DE35F2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3F9A47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0B252609">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331553C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F4EB37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01FD110">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7A4E6C2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14:paraId="1F64702B">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3F838D4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r>
    </w:tbl>
    <w:p w14:paraId="7A6F3976">
      <w:pPr>
        <w:rPr>
          <w:rFonts w:ascii="宋体" w:hAnsi="宋体" w:cs="宋体"/>
          <w:color w:val="auto"/>
          <w:szCs w:val="21"/>
          <w:highlight w:val="none"/>
        </w:rPr>
      </w:pPr>
      <w:r>
        <w:rPr>
          <w:rFonts w:hint="eastAsia" w:ascii="宋体" w:hAnsi="宋体" w:cs="宋体"/>
          <w:color w:val="auto"/>
          <w:szCs w:val="21"/>
          <w:highlight w:val="none"/>
        </w:rPr>
        <w:t>评委签名：</w:t>
      </w:r>
    </w:p>
    <w:p w14:paraId="08C1DB85">
      <w:pPr>
        <w:rPr>
          <w:rFonts w:ascii="宋体" w:hAnsi="宋体" w:cs="宋体"/>
          <w:color w:val="auto"/>
          <w:szCs w:val="21"/>
          <w:highlight w:val="none"/>
        </w:rPr>
      </w:pPr>
    </w:p>
    <w:p w14:paraId="1FBC21E6">
      <w:pPr>
        <w:rPr>
          <w:rFonts w:ascii="宋体" w:hAnsi="宋体" w:cs="宋体"/>
          <w:color w:val="auto"/>
          <w:szCs w:val="21"/>
          <w:highlight w:val="none"/>
        </w:rPr>
      </w:pPr>
    </w:p>
    <w:p w14:paraId="3983EE15">
      <w:pPr>
        <w:rPr>
          <w:rFonts w:ascii="宋体" w:hAnsi="宋体" w:cs="宋体"/>
          <w:color w:val="auto"/>
          <w:szCs w:val="21"/>
          <w:highlight w:val="none"/>
        </w:rPr>
      </w:pPr>
    </w:p>
    <w:p w14:paraId="36B36640">
      <w:pPr>
        <w:rPr>
          <w:rFonts w:ascii="宋体" w:hAnsi="宋体" w:cs="宋体"/>
          <w:color w:val="auto"/>
          <w:szCs w:val="21"/>
          <w:highlight w:val="none"/>
        </w:rPr>
      </w:pPr>
    </w:p>
    <w:p w14:paraId="06B1FD74">
      <w:pPr>
        <w:rPr>
          <w:rFonts w:ascii="宋体" w:hAnsi="宋体" w:cs="宋体"/>
          <w:b/>
          <w:color w:val="auto"/>
          <w:szCs w:val="21"/>
          <w:highlight w:val="none"/>
        </w:rPr>
      </w:pPr>
      <w:r>
        <w:rPr>
          <w:rFonts w:hint="eastAsia" w:ascii="宋体" w:hAnsi="宋体" w:cs="宋体"/>
          <w:color w:val="auto"/>
          <w:szCs w:val="21"/>
          <w:highlight w:val="none"/>
        </w:rPr>
        <w:t>附表六</w:t>
      </w:r>
    </w:p>
    <w:p w14:paraId="696B454A">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3BBC4217">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9"/>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07AC7435">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3FA6D0B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4F01CC1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1041702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修正前投标</w:t>
            </w:r>
          </w:p>
          <w:p w14:paraId="13815D2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62D94A5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修正后投标</w:t>
            </w:r>
          </w:p>
          <w:p w14:paraId="5AAD0FA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2C367E6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修正率</w:t>
            </w:r>
          </w:p>
          <w:p w14:paraId="27D889C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4ED7ED1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39FCA91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0A2556C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4C698F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7C8C74D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315707E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18511C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67B638A">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0A731F7">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8939EFC">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3D418A0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068617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192EC02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536F79EC">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C848146">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3FF51BB">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A9BE274">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958FD1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53D93BC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7EEC063">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61861C3">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028393D">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3C2A31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3362ACA">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820DE8D">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45D7F5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04C71B9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FF9C11A">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68CADB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6E00451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F3CD72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FFC7D95">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2FAA7E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44DF478">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4D801D82">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B190896">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8AC9A46">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AC6469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D1EF2D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0DE129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79BF771">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445990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77F5C86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D7C6907">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218A55CD">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4E21A207">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730BFB6">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ACA736B">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79DDD1A7">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9FC29E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p>
        </w:tc>
      </w:tr>
      <w:tr w14:paraId="6041AF1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49A6B0">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59AF78F">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08EF90FE">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BFE200C">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37CB5219">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C0415AB">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C84E282">
            <w:pPr>
              <w:keepNext w:val="0"/>
              <w:keepLines w:val="0"/>
              <w:suppressLineNumbers w:val="0"/>
              <w:spacing w:before="0" w:beforeAutospacing="0" w:after="0" w:afterAutospacing="0"/>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33E9D700">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74ADEB8C">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2603C68B">
      <w:pPr>
        <w:rPr>
          <w:rFonts w:ascii="宋体" w:hAnsi="宋体" w:cs="宋体"/>
          <w:color w:val="auto"/>
          <w:highlight w:val="none"/>
        </w:rPr>
      </w:pPr>
    </w:p>
    <w:p w14:paraId="688881CA">
      <w:pPr>
        <w:rPr>
          <w:rFonts w:ascii="宋体" w:hAnsi="宋体" w:cs="宋体"/>
          <w:color w:val="auto"/>
          <w:highlight w:val="none"/>
        </w:rPr>
      </w:pPr>
      <w:r>
        <w:rPr>
          <w:rFonts w:hint="eastAsia" w:ascii="宋体" w:hAnsi="宋体" w:cs="宋体"/>
          <w:color w:val="auto"/>
          <w:highlight w:val="none"/>
        </w:rPr>
        <w:br w:type="page"/>
      </w:r>
    </w:p>
    <w:p w14:paraId="04B5B686">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679C8D1A">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080D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tcBorders>
              <w:top w:val="single" w:color="auto" w:sz="4" w:space="0"/>
              <w:left w:val="single" w:color="auto" w:sz="4" w:space="0"/>
              <w:bottom w:val="single" w:color="auto" w:sz="4" w:space="0"/>
              <w:right w:val="single" w:color="auto" w:sz="4" w:space="0"/>
            </w:tcBorders>
          </w:tcPr>
          <w:p w14:paraId="4AF33088">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3474C761">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2C860A47">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4047D466">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lang w:eastAsia="zh-CN"/>
              </w:rPr>
              <w:t>算术</w:t>
            </w:r>
            <w:r>
              <w:rPr>
                <w:rFonts w:hint="eastAsia" w:ascii="宋体" w:hAnsi="宋体" w:cs="宋体"/>
                <w:b/>
                <w:color w:val="auto"/>
                <w:sz w:val="28"/>
                <w:szCs w:val="28"/>
                <w:highlight w:val="none"/>
              </w:rPr>
              <w:t>复核后投标报价（B）</w:t>
            </w:r>
          </w:p>
        </w:tc>
        <w:tc>
          <w:tcPr>
            <w:tcW w:w="3423" w:type="dxa"/>
            <w:tcBorders>
              <w:top w:val="single" w:color="auto" w:sz="4" w:space="0"/>
              <w:left w:val="single" w:color="auto" w:sz="4" w:space="0"/>
              <w:bottom w:val="single" w:color="auto" w:sz="4" w:space="0"/>
              <w:right w:val="single" w:color="auto" w:sz="4" w:space="0"/>
            </w:tcBorders>
          </w:tcPr>
          <w:p w14:paraId="6EFBAB87">
            <w:pPr>
              <w:keepNext w:val="0"/>
              <w:keepLines w:val="0"/>
              <w:suppressLineNumbers w:val="0"/>
              <w:spacing w:before="0" w:beforeAutospacing="0" w:after="0" w:afterAutospacing="0"/>
              <w:ind w:left="0" w:right="0"/>
              <w:rPr>
                <w:rFonts w:hint="default"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33BB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3AEAA1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D5F296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14F5A6B">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868424A">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BBA85D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6652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88A9EFB">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A3690C6">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9347193">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72C135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0D3A1B3">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1432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55EC53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4DFCB26">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B3E46D4">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68B3374">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1BED43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2D10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1267E5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85FA42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ED8154A">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F39308F">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32799E5">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281D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275AE15">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2143535">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38F63E68">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489259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F7EB6C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6F67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7B69CB1">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1285838">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6F2C31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10205A0">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09D2FB3">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0BD6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B99B596">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56AE2B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CC22465">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7F68E4B">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36BC26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r w14:paraId="1069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F48821A">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3FD01EC">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F01CC62">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652B72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0471E81D">
            <w:pPr>
              <w:keepNext w:val="0"/>
              <w:keepLines w:val="0"/>
              <w:suppressLineNumbers w:val="0"/>
              <w:spacing w:before="0" w:beforeAutospacing="0" w:after="0" w:afterAutospacing="0"/>
              <w:ind w:left="0" w:right="0"/>
              <w:rPr>
                <w:rFonts w:hint="default" w:ascii="宋体" w:hAnsi="宋体" w:cs="宋体"/>
                <w:color w:val="auto"/>
                <w:sz w:val="36"/>
                <w:szCs w:val="36"/>
                <w:highlight w:val="none"/>
              </w:rPr>
            </w:pPr>
          </w:p>
        </w:tc>
      </w:tr>
    </w:tbl>
    <w:p w14:paraId="475DEF81">
      <w:pPr>
        <w:rPr>
          <w:rFonts w:ascii="宋体" w:hAnsi="宋体" w:cs="宋体"/>
          <w:color w:val="auto"/>
          <w:szCs w:val="21"/>
          <w:highlight w:val="none"/>
        </w:rPr>
      </w:pPr>
      <w:r>
        <w:rPr>
          <w:rFonts w:hint="eastAsia" w:ascii="宋体" w:hAnsi="宋体" w:cs="宋体"/>
          <w:color w:val="auto"/>
          <w:szCs w:val="21"/>
          <w:highlight w:val="none"/>
        </w:rPr>
        <w:t>评委签名：</w:t>
      </w:r>
    </w:p>
    <w:p w14:paraId="789A63E4">
      <w:pPr>
        <w:spacing w:line="360" w:lineRule="auto"/>
        <w:jc w:val="center"/>
        <w:rPr>
          <w:rFonts w:ascii="宋体" w:hAnsi="宋体" w:cs="宋体"/>
          <w:color w:val="auto"/>
          <w:szCs w:val="21"/>
          <w:highlight w:val="none"/>
        </w:rPr>
        <w:sectPr>
          <w:headerReference r:id="rId12" w:type="first"/>
          <w:footerReference r:id="rId14" w:type="first"/>
          <w:headerReference r:id="rId11" w:type="default"/>
          <w:footerReference r:id="rId13" w:type="default"/>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p>
    <w:p w14:paraId="1FF7C93C">
      <w:pPr>
        <w:pStyle w:val="3"/>
        <w:jc w:val="center"/>
        <w:rPr>
          <w:rFonts w:ascii="宋体" w:hAnsi="宋体" w:cs="宋体"/>
          <w:color w:val="auto"/>
          <w:highlight w:val="none"/>
        </w:rPr>
      </w:pPr>
      <w:bookmarkStart w:id="24" w:name="_Toc14934"/>
      <w:r>
        <w:rPr>
          <w:rFonts w:hint="eastAsia" w:ascii="宋体" w:hAnsi="宋体" w:cs="宋体"/>
          <w:color w:val="auto"/>
          <w:highlight w:val="none"/>
        </w:rPr>
        <w:t>第三章  合同条款</w:t>
      </w:r>
      <w:bookmarkEnd w:id="24"/>
    </w:p>
    <w:p w14:paraId="100DC19B">
      <w:pPr>
        <w:rPr>
          <w:rFonts w:ascii="宋体" w:hAnsi="宋体" w:cs="宋体"/>
          <w:b/>
          <w:color w:val="auto"/>
          <w:sz w:val="24"/>
          <w:szCs w:val="24"/>
          <w:highlight w:val="none"/>
        </w:rPr>
      </w:pPr>
      <w:r>
        <w:rPr>
          <w:rFonts w:hint="eastAsia" w:ascii="宋体" w:hAnsi="宋体" w:cs="宋体"/>
          <w:color w:val="auto"/>
          <w:sz w:val="24"/>
          <w:szCs w:val="24"/>
          <w:highlight w:val="none"/>
        </w:rPr>
        <w:t>另册。</w:t>
      </w:r>
    </w:p>
    <w:p w14:paraId="2B8BC995">
      <w:pPr>
        <w:rPr>
          <w:rFonts w:ascii="宋体" w:hAnsi="宋体" w:cs="宋体"/>
          <w:color w:val="auto"/>
          <w:sz w:val="24"/>
          <w:szCs w:val="24"/>
          <w:highlight w:val="none"/>
        </w:rPr>
      </w:pPr>
    </w:p>
    <w:p w14:paraId="502410C5">
      <w:pPr>
        <w:pStyle w:val="5"/>
        <w:spacing w:line="360" w:lineRule="auto"/>
        <w:rPr>
          <w:rFonts w:ascii="宋体" w:hAnsi="宋体" w:cs="宋体"/>
          <w:color w:val="auto"/>
          <w:sz w:val="24"/>
          <w:szCs w:val="24"/>
          <w:highlight w:val="none"/>
        </w:rPr>
      </w:pPr>
    </w:p>
    <w:p w14:paraId="79560AF9">
      <w:pPr>
        <w:pStyle w:val="5"/>
        <w:spacing w:line="360" w:lineRule="auto"/>
        <w:rPr>
          <w:rFonts w:ascii="宋体" w:hAnsi="宋体" w:cs="宋体"/>
          <w:color w:val="auto"/>
          <w:sz w:val="24"/>
          <w:szCs w:val="24"/>
          <w:highlight w:val="none"/>
        </w:rPr>
      </w:pPr>
    </w:p>
    <w:p w14:paraId="4362DE31">
      <w:pPr>
        <w:pStyle w:val="5"/>
        <w:spacing w:line="360" w:lineRule="auto"/>
        <w:rPr>
          <w:rFonts w:ascii="宋体" w:hAnsi="宋体" w:cs="宋体"/>
          <w:color w:val="auto"/>
          <w:sz w:val="24"/>
          <w:szCs w:val="24"/>
          <w:highlight w:val="none"/>
        </w:rPr>
      </w:pPr>
    </w:p>
    <w:p w14:paraId="06D6CD4E">
      <w:pPr>
        <w:pStyle w:val="5"/>
        <w:spacing w:line="360" w:lineRule="auto"/>
        <w:rPr>
          <w:rFonts w:ascii="宋体" w:hAnsi="宋体" w:cs="宋体"/>
          <w:color w:val="auto"/>
          <w:sz w:val="24"/>
          <w:szCs w:val="24"/>
          <w:highlight w:val="none"/>
        </w:rPr>
      </w:pPr>
    </w:p>
    <w:p w14:paraId="34CCB3BF">
      <w:pPr>
        <w:pStyle w:val="5"/>
        <w:spacing w:line="360" w:lineRule="auto"/>
        <w:rPr>
          <w:rFonts w:ascii="宋体" w:hAnsi="宋体" w:cs="宋体"/>
          <w:color w:val="auto"/>
          <w:sz w:val="24"/>
          <w:szCs w:val="24"/>
          <w:highlight w:val="none"/>
        </w:rPr>
      </w:pPr>
    </w:p>
    <w:p w14:paraId="1DCF13DB">
      <w:pPr>
        <w:pStyle w:val="5"/>
        <w:spacing w:line="360" w:lineRule="auto"/>
        <w:rPr>
          <w:rFonts w:ascii="宋体" w:hAnsi="宋体" w:cs="宋体"/>
          <w:color w:val="auto"/>
          <w:sz w:val="24"/>
          <w:szCs w:val="24"/>
          <w:highlight w:val="none"/>
        </w:rPr>
      </w:pPr>
    </w:p>
    <w:p w14:paraId="0D832009">
      <w:pPr>
        <w:pStyle w:val="5"/>
        <w:spacing w:line="360" w:lineRule="auto"/>
        <w:rPr>
          <w:rFonts w:ascii="宋体" w:hAnsi="宋体" w:cs="宋体"/>
          <w:color w:val="auto"/>
          <w:sz w:val="24"/>
          <w:szCs w:val="24"/>
          <w:highlight w:val="none"/>
        </w:rPr>
      </w:pPr>
    </w:p>
    <w:p w14:paraId="72D343C0">
      <w:pPr>
        <w:pStyle w:val="5"/>
        <w:spacing w:line="360" w:lineRule="auto"/>
        <w:rPr>
          <w:rFonts w:ascii="宋体" w:hAnsi="宋体" w:cs="宋体"/>
          <w:color w:val="auto"/>
          <w:sz w:val="24"/>
          <w:szCs w:val="24"/>
          <w:highlight w:val="none"/>
        </w:rPr>
      </w:pPr>
    </w:p>
    <w:p w14:paraId="0CC2F2B3">
      <w:pPr>
        <w:pStyle w:val="5"/>
        <w:spacing w:line="360" w:lineRule="auto"/>
        <w:rPr>
          <w:rFonts w:ascii="宋体" w:hAnsi="宋体" w:cs="宋体"/>
          <w:color w:val="auto"/>
          <w:sz w:val="24"/>
          <w:szCs w:val="24"/>
          <w:highlight w:val="none"/>
        </w:rPr>
      </w:pPr>
    </w:p>
    <w:p w14:paraId="1E1527BE">
      <w:pPr>
        <w:pStyle w:val="5"/>
        <w:spacing w:line="360" w:lineRule="auto"/>
        <w:rPr>
          <w:rFonts w:ascii="宋体" w:hAnsi="宋体" w:cs="宋体"/>
          <w:color w:val="auto"/>
          <w:sz w:val="24"/>
          <w:szCs w:val="24"/>
          <w:highlight w:val="none"/>
        </w:rPr>
      </w:pPr>
    </w:p>
    <w:p w14:paraId="436F5C53">
      <w:pPr>
        <w:pStyle w:val="5"/>
        <w:spacing w:line="360" w:lineRule="auto"/>
        <w:rPr>
          <w:rFonts w:ascii="宋体" w:hAnsi="宋体" w:cs="宋体"/>
          <w:color w:val="auto"/>
          <w:sz w:val="24"/>
          <w:szCs w:val="24"/>
          <w:highlight w:val="none"/>
        </w:rPr>
      </w:pPr>
    </w:p>
    <w:p w14:paraId="1D8B4D0E">
      <w:pPr>
        <w:pStyle w:val="5"/>
        <w:spacing w:line="360" w:lineRule="auto"/>
        <w:rPr>
          <w:rFonts w:ascii="宋体" w:hAnsi="宋体" w:cs="宋体"/>
          <w:color w:val="auto"/>
          <w:sz w:val="24"/>
          <w:szCs w:val="24"/>
          <w:highlight w:val="none"/>
        </w:rPr>
      </w:pPr>
    </w:p>
    <w:p w14:paraId="6C1AD8CD">
      <w:pPr>
        <w:pStyle w:val="5"/>
        <w:spacing w:line="360" w:lineRule="auto"/>
        <w:rPr>
          <w:rFonts w:ascii="宋体" w:hAnsi="宋体" w:cs="宋体"/>
          <w:color w:val="auto"/>
          <w:sz w:val="24"/>
          <w:szCs w:val="24"/>
          <w:highlight w:val="none"/>
        </w:rPr>
      </w:pPr>
    </w:p>
    <w:p w14:paraId="1A039296">
      <w:pPr>
        <w:pStyle w:val="5"/>
        <w:spacing w:line="360" w:lineRule="auto"/>
        <w:rPr>
          <w:rFonts w:ascii="宋体" w:hAnsi="宋体" w:cs="宋体"/>
          <w:color w:val="auto"/>
          <w:sz w:val="24"/>
          <w:szCs w:val="24"/>
          <w:highlight w:val="none"/>
        </w:rPr>
      </w:pPr>
    </w:p>
    <w:p w14:paraId="31BAECA6">
      <w:pPr>
        <w:pStyle w:val="5"/>
        <w:spacing w:line="360" w:lineRule="auto"/>
        <w:rPr>
          <w:rFonts w:ascii="宋体" w:hAnsi="宋体" w:cs="宋体"/>
          <w:color w:val="auto"/>
          <w:sz w:val="24"/>
          <w:szCs w:val="24"/>
          <w:highlight w:val="none"/>
        </w:rPr>
      </w:pPr>
    </w:p>
    <w:p w14:paraId="501B0826">
      <w:pPr>
        <w:pStyle w:val="5"/>
        <w:spacing w:line="360" w:lineRule="auto"/>
        <w:rPr>
          <w:rFonts w:ascii="宋体" w:hAnsi="宋体" w:cs="宋体"/>
          <w:color w:val="auto"/>
          <w:sz w:val="24"/>
          <w:szCs w:val="24"/>
          <w:highlight w:val="none"/>
        </w:rPr>
      </w:pPr>
    </w:p>
    <w:p w14:paraId="60D55FFF">
      <w:pPr>
        <w:pStyle w:val="5"/>
        <w:spacing w:line="360" w:lineRule="auto"/>
        <w:rPr>
          <w:rFonts w:ascii="宋体" w:hAnsi="宋体" w:cs="宋体"/>
          <w:color w:val="auto"/>
          <w:sz w:val="24"/>
          <w:szCs w:val="24"/>
          <w:highlight w:val="none"/>
        </w:rPr>
      </w:pPr>
    </w:p>
    <w:p w14:paraId="774C4D26">
      <w:pPr>
        <w:pStyle w:val="5"/>
        <w:spacing w:line="360" w:lineRule="auto"/>
        <w:rPr>
          <w:rFonts w:ascii="宋体" w:hAnsi="宋体" w:cs="宋体"/>
          <w:color w:val="auto"/>
          <w:sz w:val="24"/>
          <w:szCs w:val="24"/>
          <w:highlight w:val="none"/>
        </w:rPr>
      </w:pPr>
    </w:p>
    <w:p w14:paraId="34C04E40">
      <w:pPr>
        <w:pStyle w:val="5"/>
        <w:spacing w:line="360" w:lineRule="auto"/>
        <w:rPr>
          <w:rFonts w:ascii="宋体" w:hAnsi="宋体" w:cs="宋体"/>
          <w:color w:val="auto"/>
          <w:sz w:val="24"/>
          <w:szCs w:val="24"/>
          <w:highlight w:val="none"/>
        </w:rPr>
      </w:pPr>
    </w:p>
    <w:p w14:paraId="76729667">
      <w:pPr>
        <w:pStyle w:val="23"/>
        <w:spacing w:line="360" w:lineRule="auto"/>
        <w:rPr>
          <w:rFonts w:hAnsi="宋体" w:cs="宋体"/>
          <w:color w:val="auto"/>
          <w:sz w:val="24"/>
          <w:szCs w:val="24"/>
          <w:highlight w:val="none"/>
        </w:rPr>
      </w:pPr>
    </w:p>
    <w:p w14:paraId="355132A9">
      <w:pPr>
        <w:pStyle w:val="23"/>
        <w:spacing w:line="360" w:lineRule="auto"/>
        <w:rPr>
          <w:rFonts w:hAnsi="宋体" w:cs="宋体"/>
          <w:color w:val="auto"/>
          <w:sz w:val="24"/>
          <w:szCs w:val="24"/>
          <w:highlight w:val="none"/>
        </w:rPr>
      </w:pPr>
    </w:p>
    <w:p w14:paraId="161F3411">
      <w:pPr>
        <w:pStyle w:val="3"/>
        <w:numPr>
          <w:ilvl w:val="0"/>
          <w:numId w:val="1"/>
        </w:numPr>
        <w:jc w:val="center"/>
        <w:rPr>
          <w:rFonts w:ascii="宋体" w:hAnsi="宋体" w:cs="宋体"/>
          <w:color w:val="auto"/>
          <w:highlight w:val="none"/>
        </w:rPr>
      </w:pPr>
      <w:bookmarkStart w:id="25" w:name="_Toc12630"/>
      <w:r>
        <w:rPr>
          <w:rFonts w:hint="eastAsia" w:ascii="宋体" w:hAnsi="宋体" w:cs="宋体"/>
          <w:color w:val="auto"/>
          <w:highlight w:val="none"/>
        </w:rPr>
        <w:t>投标文件格式</w:t>
      </w:r>
      <w:bookmarkEnd w:id="25"/>
    </w:p>
    <w:p w14:paraId="56F6CD25">
      <w:pPr>
        <w:spacing w:after="120"/>
        <w:ind w:firstLine="0"/>
        <w:jc w:val="both"/>
        <w:outlineLvl w:val="1"/>
        <w:rPr>
          <w:rFonts w:ascii="宋体" w:hAnsi="宋体"/>
          <w:b/>
          <w:color w:val="auto"/>
          <w:sz w:val="28"/>
          <w:szCs w:val="24"/>
          <w:highlight w:val="none"/>
        </w:rPr>
      </w:pPr>
      <w:r>
        <w:rPr>
          <w:rFonts w:ascii="宋体" w:hAnsi="宋体"/>
          <w:b/>
          <w:color w:val="auto"/>
          <w:sz w:val="28"/>
          <w:szCs w:val="24"/>
          <w:highlight w:val="none"/>
        </w:rPr>
        <w:br w:type="page"/>
      </w:r>
      <w:bookmarkStart w:id="26" w:name="_Toc9279"/>
      <w:bookmarkStart w:id="27" w:name="_Toc504722502"/>
      <w:bookmarkStart w:id="28" w:name="_Toc62056031"/>
      <w:bookmarkStart w:id="29" w:name="_Toc24194"/>
      <w:bookmarkStart w:id="30" w:name="_Toc62056032"/>
      <w:bookmarkStart w:id="31" w:name="_Toc29476911"/>
      <w:bookmarkStart w:id="32" w:name="_Toc4489935"/>
      <w:bookmarkStart w:id="33" w:name="_Toc504722503"/>
      <w:r>
        <w:rPr>
          <w:rFonts w:hint="eastAsia" w:ascii="宋体" w:hAnsi="宋体"/>
          <w:b/>
          <w:color w:val="auto"/>
          <w:sz w:val="28"/>
          <w:szCs w:val="24"/>
          <w:highlight w:val="none"/>
        </w:rPr>
        <w:t>一、技术标投标文件格式</w:t>
      </w:r>
      <w:bookmarkEnd w:id="26"/>
      <w:bookmarkEnd w:id="27"/>
      <w:bookmarkEnd w:id="28"/>
    </w:p>
    <w:p w14:paraId="1A532CF6">
      <w:pPr>
        <w:widowControl/>
        <w:topLinePunct/>
        <w:adjustRightInd w:val="0"/>
        <w:snapToGrid w:val="0"/>
        <w:spacing w:after="200"/>
        <w:jc w:val="left"/>
        <w:outlineLvl w:val="2"/>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格式一：技术标封面</w:t>
      </w:r>
      <w:bookmarkEnd w:id="29"/>
      <w:bookmarkEnd w:id="30"/>
      <w:bookmarkEnd w:id="31"/>
      <w:bookmarkEnd w:id="32"/>
      <w:bookmarkEnd w:id="33"/>
    </w:p>
    <w:p w14:paraId="0D7F14D8">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4F602910">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14:paraId="22685EF3">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2F171B2D">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7D0D7530">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736E149D">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63344FB0">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14:paraId="6508DA56">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第一册【技术投标书（含资格审查文件）】</w:t>
      </w:r>
    </w:p>
    <w:p w14:paraId="0671241D">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04687A9B">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4B80FDAC">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2B68D29">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r>
        <w:rPr>
          <w:rFonts w:hint="eastAsia" w:ascii="宋体" w:hAnsi="宋体"/>
          <w:color w:val="auto"/>
          <w:spacing w:val="4"/>
          <w:kern w:val="0"/>
          <w:sz w:val="30"/>
          <w:szCs w:val="30"/>
          <w:highlight w:val="none"/>
          <w:u w:val="single"/>
        </w:rPr>
        <w:t xml:space="preserve">    </w:t>
      </w:r>
      <w:bookmarkStart w:id="34" w:name="_Toc163337619"/>
      <w:bookmarkStart w:id="35" w:name="_Toc318924494"/>
      <w:bookmarkStart w:id="36" w:name="_Toc337720090"/>
      <w:bookmarkStart w:id="37" w:name="_Toc239216030"/>
      <w:bookmarkStart w:id="38" w:name="_Toc226209002"/>
      <w:bookmarkStart w:id="39" w:name="_Toc239311745"/>
      <w:bookmarkStart w:id="40" w:name="_Toc358370577"/>
      <w:bookmarkStart w:id="41" w:name="_Toc369536769"/>
      <w:bookmarkStart w:id="42" w:name="_Toc449308419"/>
      <w:bookmarkStart w:id="43" w:name="_Toc484958691"/>
      <w:bookmarkStart w:id="44" w:name="_Toc352623420"/>
      <w:bookmarkStart w:id="45" w:name="_Toc395261098"/>
      <w:bookmarkStart w:id="46" w:name="_Toc464131223"/>
      <w:bookmarkStart w:id="47" w:name="_Toc352240522"/>
      <w:r>
        <w:rPr>
          <w:rFonts w:hint="eastAsia" w:ascii="宋体" w:hAnsi="宋体"/>
          <w:color w:val="auto"/>
          <w:spacing w:val="4"/>
          <w:kern w:val="0"/>
          <w:sz w:val="30"/>
          <w:szCs w:val="30"/>
          <w:highlight w:val="none"/>
          <w:u w:val="single"/>
        </w:rPr>
        <w:t xml:space="preserve">    （填写投标人单位名称）</w:t>
      </w:r>
      <w:bookmarkEnd w:id="34"/>
      <w:bookmarkEnd w:id="35"/>
      <w:bookmarkEnd w:id="36"/>
      <w:bookmarkEnd w:id="37"/>
      <w:bookmarkEnd w:id="38"/>
      <w:bookmarkEnd w:id="39"/>
      <w:r>
        <w:rPr>
          <w:rFonts w:hint="eastAsia" w:ascii="宋体" w:hAnsi="宋体"/>
          <w:color w:val="auto"/>
          <w:spacing w:val="4"/>
          <w:kern w:val="0"/>
          <w:sz w:val="30"/>
          <w:szCs w:val="30"/>
          <w:highlight w:val="none"/>
          <w:u w:val="single"/>
        </w:rPr>
        <w:t xml:space="preserve">  </w:t>
      </w:r>
      <w:bookmarkEnd w:id="40"/>
      <w:bookmarkEnd w:id="41"/>
      <w:bookmarkEnd w:id="42"/>
      <w:bookmarkEnd w:id="43"/>
      <w:bookmarkEnd w:id="44"/>
      <w:bookmarkEnd w:id="45"/>
      <w:bookmarkEnd w:id="46"/>
      <w:bookmarkEnd w:id="47"/>
    </w:p>
    <w:p w14:paraId="786739F6">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14:paraId="1352A719">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14:paraId="4976FE1F">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（签名或盖章）</w:t>
      </w:r>
    </w:p>
    <w:p w14:paraId="282CFFC5">
      <w:pPr>
        <w:widowControl/>
        <w:topLinePunct/>
        <w:adjustRightInd w:val="0"/>
        <w:snapToGrid w:val="0"/>
        <w:spacing w:after="200" w:line="360" w:lineRule="auto"/>
        <w:ind w:firstLine="616" w:firstLineChars="200"/>
        <w:jc w:val="left"/>
        <w:rPr>
          <w:rFonts w:ascii="宋体" w:hAnsi="宋体"/>
          <w:color w:val="auto"/>
          <w:sz w:val="24"/>
          <w:szCs w:val="24"/>
          <w:highlight w:val="none"/>
        </w:rPr>
      </w:pPr>
      <w:r>
        <w:rPr>
          <w:rFonts w:hint="eastAsia" w:ascii="宋体" w:hAnsi="宋体"/>
          <w:snapToGrid w:val="0"/>
          <w:color w:val="auto"/>
          <w:spacing w:val="4"/>
          <w:kern w:val="0"/>
          <w:sz w:val="30"/>
          <w:szCs w:val="30"/>
          <w:highlight w:val="none"/>
        </w:rPr>
        <w:t>日  期：</w:t>
      </w:r>
      <w:r>
        <w:rPr>
          <w:rFonts w:hint="eastAsia" w:ascii="宋体" w:hAnsi="宋体"/>
          <w:color w:val="auto"/>
          <w:highlight w:val="none"/>
          <w:u w:val="single"/>
        </w:rPr>
        <w:t xml:space="preserve">                                            </w:t>
      </w:r>
    </w:p>
    <w:p w14:paraId="5ABF1905">
      <w:pPr>
        <w:widowControl/>
        <w:topLinePunct/>
        <w:adjustRightInd w:val="0"/>
        <w:snapToGrid w:val="0"/>
        <w:spacing w:after="200"/>
        <w:jc w:val="left"/>
        <w:outlineLvl w:val="2"/>
        <w:rPr>
          <w:rFonts w:ascii="宋体" w:hAnsi="宋体"/>
          <w:color w:val="auto"/>
          <w:spacing w:val="4"/>
          <w:kern w:val="0"/>
          <w:sz w:val="24"/>
          <w:szCs w:val="24"/>
          <w:highlight w:val="none"/>
        </w:rPr>
      </w:pPr>
      <w:r>
        <w:rPr>
          <w:b/>
          <w:color w:val="auto"/>
          <w:highlight w:val="none"/>
        </w:rPr>
        <w:br w:type="page"/>
      </w:r>
      <w:bookmarkStart w:id="48" w:name="_Toc29476912"/>
      <w:bookmarkStart w:id="49" w:name="_Toc62056033"/>
      <w:bookmarkStart w:id="50" w:name="_Toc4489936"/>
      <w:r>
        <w:rPr>
          <w:rFonts w:hint="eastAsia" w:ascii="宋体" w:hAnsi="宋体"/>
          <w:color w:val="auto"/>
          <w:spacing w:val="4"/>
          <w:kern w:val="0"/>
          <w:sz w:val="24"/>
          <w:szCs w:val="24"/>
          <w:highlight w:val="none"/>
        </w:rPr>
        <w:t>格式二：广州建设工程施工招标投标书</w:t>
      </w:r>
      <w:bookmarkEnd w:id="48"/>
      <w:bookmarkEnd w:id="49"/>
      <w:bookmarkEnd w:id="50"/>
    </w:p>
    <w:p w14:paraId="4DC1EBC1">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14:paraId="79E434C0">
      <w:pPr>
        <w:autoSpaceDE w:val="0"/>
        <w:autoSpaceDN w:val="0"/>
        <w:adjustRightInd w:val="0"/>
        <w:ind w:left="-540" w:leftChars="-257" w:firstLine="1135" w:firstLineChars="257"/>
        <w:jc w:val="center"/>
        <w:rPr>
          <w:rFonts w:ascii="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3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9"/>
        <w:gridCol w:w="6310"/>
      </w:tblGrid>
      <w:tr w14:paraId="600F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4F102C31">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r>
              <w:rPr>
                <w:rFonts w:hint="eastAsia" w:ascii="宋体" w:hAnsi="宋体" w:cs="宋体"/>
                <w:b/>
                <w:color w:val="auto"/>
                <w:sz w:val="24"/>
                <w:szCs w:val="24"/>
                <w:highlight w:val="none"/>
                <w:lang w:val="zh-CN"/>
              </w:rPr>
              <w:t>工程名称</w:t>
            </w:r>
          </w:p>
        </w:tc>
        <w:tc>
          <w:tcPr>
            <w:tcW w:w="6310" w:type="dxa"/>
            <w:tcBorders>
              <w:top w:val="single" w:color="auto" w:sz="4" w:space="0"/>
              <w:left w:val="single" w:color="auto" w:sz="4" w:space="0"/>
              <w:bottom w:val="single" w:color="auto" w:sz="4" w:space="0"/>
              <w:right w:val="single" w:color="auto" w:sz="4" w:space="0"/>
            </w:tcBorders>
            <w:vAlign w:val="center"/>
          </w:tcPr>
          <w:p w14:paraId="7513AF20">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15C2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192B04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310" w:type="dxa"/>
            <w:tcBorders>
              <w:top w:val="single" w:color="auto" w:sz="4" w:space="0"/>
              <w:left w:val="single" w:color="auto" w:sz="4" w:space="0"/>
              <w:bottom w:val="single" w:color="auto" w:sz="4" w:space="0"/>
              <w:right w:val="single" w:color="auto" w:sz="4" w:space="0"/>
            </w:tcBorders>
            <w:vAlign w:val="center"/>
          </w:tcPr>
          <w:p w14:paraId="42CBCF53">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2701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2E24B2F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其中：人工费（元）</w:t>
            </w:r>
          </w:p>
        </w:tc>
        <w:tc>
          <w:tcPr>
            <w:tcW w:w="6310" w:type="dxa"/>
            <w:tcBorders>
              <w:top w:val="single" w:color="auto" w:sz="4" w:space="0"/>
              <w:left w:val="single" w:color="auto" w:sz="4" w:space="0"/>
              <w:bottom w:val="single" w:color="auto" w:sz="4" w:space="0"/>
              <w:right w:val="single" w:color="auto" w:sz="4" w:space="0"/>
            </w:tcBorders>
            <w:vAlign w:val="center"/>
          </w:tcPr>
          <w:p w14:paraId="08DC79E1">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7338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284B4E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其中：绿色施工安全防护措施费（元）</w:t>
            </w:r>
          </w:p>
        </w:tc>
        <w:tc>
          <w:tcPr>
            <w:tcW w:w="6310" w:type="dxa"/>
            <w:tcBorders>
              <w:top w:val="single" w:color="auto" w:sz="4" w:space="0"/>
              <w:left w:val="single" w:color="auto" w:sz="4" w:space="0"/>
              <w:bottom w:val="single" w:color="auto" w:sz="4" w:space="0"/>
              <w:right w:val="single" w:color="auto" w:sz="4" w:space="0"/>
            </w:tcBorders>
            <w:vAlign w:val="center"/>
          </w:tcPr>
          <w:p w14:paraId="36D14F2E">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1775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545FFCD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6310" w:type="dxa"/>
            <w:tcBorders>
              <w:top w:val="single" w:color="auto" w:sz="4" w:space="0"/>
              <w:left w:val="single" w:color="auto" w:sz="4" w:space="0"/>
              <w:bottom w:val="single" w:color="auto" w:sz="4" w:space="0"/>
              <w:right w:val="single" w:color="auto" w:sz="4" w:space="0"/>
            </w:tcBorders>
            <w:vAlign w:val="center"/>
          </w:tcPr>
          <w:p w14:paraId="14C6C07E">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r w14:paraId="5BCD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4174A3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6310" w:type="dxa"/>
            <w:tcBorders>
              <w:top w:val="single" w:color="auto" w:sz="4" w:space="0"/>
              <w:left w:val="single" w:color="auto" w:sz="4" w:space="0"/>
              <w:bottom w:val="single" w:color="auto" w:sz="4" w:space="0"/>
              <w:right w:val="single" w:color="auto" w:sz="4" w:space="0"/>
            </w:tcBorders>
            <w:vAlign w:val="center"/>
          </w:tcPr>
          <w:p w14:paraId="5625D451">
            <w:pPr>
              <w:keepNext w:val="0"/>
              <w:keepLines w:val="0"/>
              <w:suppressLineNumbers w:val="0"/>
              <w:autoSpaceDE w:val="0"/>
              <w:autoSpaceDN w:val="0"/>
              <w:adjustRightInd w:val="0"/>
              <w:spacing w:before="0" w:beforeAutospacing="0" w:after="0" w:afterAutospacing="0"/>
              <w:ind w:left="0" w:right="0"/>
              <w:jc w:val="center"/>
              <w:rPr>
                <w:rFonts w:hint="default"/>
                <w:color w:val="auto"/>
                <w:highlight w:val="none"/>
              </w:rPr>
            </w:pPr>
          </w:p>
        </w:tc>
      </w:tr>
      <w:tr w14:paraId="1EC5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069" w:type="dxa"/>
            <w:tcBorders>
              <w:top w:val="single" w:color="auto" w:sz="4" w:space="0"/>
              <w:left w:val="single" w:color="auto" w:sz="4" w:space="0"/>
              <w:bottom w:val="single" w:color="auto" w:sz="4" w:space="0"/>
              <w:right w:val="single" w:color="auto" w:sz="4" w:space="0"/>
            </w:tcBorders>
            <w:vAlign w:val="center"/>
          </w:tcPr>
          <w:p w14:paraId="20DAAB5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6310" w:type="dxa"/>
            <w:tcBorders>
              <w:top w:val="single" w:color="auto" w:sz="4" w:space="0"/>
              <w:left w:val="single" w:color="auto" w:sz="4" w:space="0"/>
              <w:bottom w:val="single" w:color="auto" w:sz="4" w:space="0"/>
              <w:right w:val="single" w:color="auto" w:sz="4" w:space="0"/>
            </w:tcBorders>
            <w:vAlign w:val="center"/>
          </w:tcPr>
          <w:p w14:paraId="5040149B">
            <w:pPr>
              <w:keepNext w:val="0"/>
              <w:keepLines w:val="0"/>
              <w:suppressLineNumbers w:val="0"/>
              <w:autoSpaceDE w:val="0"/>
              <w:autoSpaceDN w:val="0"/>
              <w:adjustRightInd w:val="0"/>
              <w:spacing w:before="0" w:beforeAutospacing="0" w:after="0" w:afterAutospacing="0"/>
              <w:ind w:left="0" w:right="0"/>
              <w:jc w:val="center"/>
              <w:rPr>
                <w:rFonts w:hint="default" w:ascii="宋体" w:cs="宋体"/>
                <w:b/>
                <w:bCs/>
                <w:color w:val="auto"/>
                <w:sz w:val="24"/>
                <w:szCs w:val="24"/>
                <w:highlight w:val="none"/>
                <w:lang w:val="zh-CN"/>
              </w:rPr>
            </w:pPr>
          </w:p>
        </w:tc>
      </w:tr>
    </w:tbl>
    <w:p w14:paraId="1387E107">
      <w:pPr>
        <w:tabs>
          <w:tab w:val="left" w:pos="720"/>
        </w:tabs>
        <w:snapToGrid w:val="0"/>
        <w:spacing w:line="360" w:lineRule="auto"/>
        <w:rPr>
          <w:color w:val="auto"/>
          <w:sz w:val="24"/>
          <w:szCs w:val="24"/>
          <w:highlight w:val="none"/>
        </w:rPr>
      </w:pPr>
    </w:p>
    <w:p w14:paraId="68E86C91">
      <w:pPr>
        <w:widowControl/>
        <w:topLinePunct/>
        <w:adjustRightInd w:val="0"/>
        <w:snapToGrid w:val="0"/>
        <w:spacing w:after="200"/>
        <w:jc w:val="left"/>
        <w:outlineLvl w:val="2"/>
        <w:rPr>
          <w:rFonts w:ascii="宋体" w:hAnsi="宋体"/>
          <w:color w:val="auto"/>
          <w:spacing w:val="4"/>
          <w:kern w:val="0"/>
          <w:sz w:val="24"/>
          <w:szCs w:val="24"/>
          <w:highlight w:val="none"/>
        </w:rPr>
      </w:pPr>
      <w:r>
        <w:rPr>
          <w:color w:val="auto"/>
          <w:sz w:val="24"/>
          <w:szCs w:val="24"/>
          <w:highlight w:val="none"/>
        </w:rPr>
        <w:br w:type="page"/>
      </w:r>
      <w:bookmarkStart w:id="51" w:name="_Toc29476913"/>
      <w:bookmarkStart w:id="52" w:name="_Toc22278"/>
      <w:bookmarkStart w:id="53" w:name="_Toc62056034"/>
      <w:bookmarkStart w:id="54" w:name="_Toc4489937"/>
      <w:bookmarkStart w:id="55" w:name="_Toc504722505"/>
      <w:r>
        <w:rPr>
          <w:rFonts w:hint="eastAsia" w:ascii="宋体" w:hAnsi="宋体"/>
          <w:color w:val="auto"/>
          <w:spacing w:val="4"/>
          <w:kern w:val="0"/>
          <w:sz w:val="24"/>
          <w:szCs w:val="24"/>
          <w:highlight w:val="none"/>
        </w:rPr>
        <w:t>格式三：投标函</w:t>
      </w:r>
      <w:bookmarkEnd w:id="51"/>
      <w:bookmarkEnd w:id="52"/>
      <w:bookmarkEnd w:id="53"/>
      <w:bookmarkEnd w:id="54"/>
      <w:bookmarkEnd w:id="55"/>
    </w:p>
    <w:p w14:paraId="64231302">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投 标 函</w:t>
      </w:r>
    </w:p>
    <w:p w14:paraId="706D4D2D">
      <w:pPr>
        <w:widowControl/>
        <w:topLinePunct/>
        <w:adjustRightInd w:val="0"/>
        <w:snapToGrid w:val="0"/>
        <w:spacing w:after="2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致：</w:t>
      </w:r>
      <w:r>
        <w:rPr>
          <w:rFonts w:hint="eastAsia" w:ascii="宋体" w:hAnsi="宋体"/>
          <w:color w:val="auto"/>
          <w:spacing w:val="4"/>
          <w:kern w:val="0"/>
          <w:sz w:val="24"/>
          <w:szCs w:val="24"/>
          <w:highlight w:val="none"/>
          <w:u w:val="single"/>
        </w:rPr>
        <w:t xml:space="preserve"> （招标人名称） </w:t>
      </w:r>
    </w:p>
    <w:p w14:paraId="67297F21">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1.根据招标人</w:t>
      </w:r>
      <w:r>
        <w:rPr>
          <w:rFonts w:hint="eastAsia" w:ascii="宋体" w:hAnsi="宋体"/>
          <w:color w:val="auto"/>
          <w:spacing w:val="4"/>
          <w:kern w:val="0"/>
          <w:sz w:val="24"/>
          <w:szCs w:val="24"/>
          <w:highlight w:val="none"/>
          <w:u w:val="single"/>
        </w:rPr>
        <w:t xml:space="preserve"> （工程项目名称） </w:t>
      </w:r>
      <w:r>
        <w:rPr>
          <w:rFonts w:hint="eastAsia" w:ascii="宋体" w:hAnsi="宋体"/>
          <w:color w:val="auto"/>
          <w:spacing w:val="4"/>
          <w:kern w:val="0"/>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661E0EB9">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2.我方已详细审核全部招标文件，包括修改文件（如有）及有关附件。</w:t>
      </w:r>
    </w:p>
    <w:p w14:paraId="3156756C">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3.如果我方中标，我方保证按照合同文件中规定的开工日期开始施工，并按规定的预计竣工日期完成和交付全部工程。</w:t>
      </w:r>
    </w:p>
    <w:p w14:paraId="60F3F2FF">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4.如果我方中标，我方承诺在充分考虑场地环境变化及政策性调整等风险因素的前提下，继续</w:t>
      </w:r>
      <w:r>
        <w:rPr>
          <w:rFonts w:hint="eastAsia" w:ascii="宋体" w:hAnsi="宋体"/>
          <w:color w:val="auto"/>
          <w:spacing w:val="4"/>
          <w:kern w:val="0"/>
          <w:sz w:val="24"/>
          <w:szCs w:val="24"/>
          <w:highlight w:val="none"/>
          <w:lang w:val="en-US" w:eastAsia="zh-CN"/>
        </w:rPr>
        <w:t>按照《暨南大学学生宿舍及学生活动中心修缮项目实施需求书》要求</w:t>
      </w:r>
      <w:r>
        <w:rPr>
          <w:rFonts w:hint="eastAsia" w:ascii="宋体" w:hAnsi="宋体"/>
          <w:color w:val="auto"/>
          <w:spacing w:val="4"/>
          <w:kern w:val="0"/>
          <w:sz w:val="24"/>
          <w:szCs w:val="24"/>
          <w:highlight w:val="none"/>
        </w:rPr>
        <w:t>补充完善施工组织设计，直至招标人满意为止并加以实施，由此产生的费用已包含在投标报价中。</w:t>
      </w:r>
    </w:p>
    <w:p w14:paraId="757088F2">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u w:val="single"/>
        </w:rPr>
      </w:pPr>
      <w:r>
        <w:rPr>
          <w:rFonts w:hint="eastAsia" w:ascii="宋体" w:hAnsi="宋体"/>
          <w:color w:val="auto"/>
          <w:spacing w:val="4"/>
          <w:kern w:val="0"/>
          <w:sz w:val="24"/>
          <w:szCs w:val="24"/>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2A220B80">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6.如果我方中标，我方将按照招标文件的规定，按时提交履约担保，以保障本项目优质、优价、按期、顺利完成。</w:t>
      </w:r>
    </w:p>
    <w:p w14:paraId="01F8A52F">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7.我方同意所提交的投标文件在招标文件投标须知中第13条规定的投标有效期内有效，在此期限届满之前，本投标书始终将对我方具有约束力，并随时接受中标。</w:t>
      </w:r>
    </w:p>
    <w:p w14:paraId="25D0D114">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8.在合同协议书正式签署生效之前，本投标书连同你单位的中标通知书将构成我们双方之间共同遵守的文件，对双方具有约束力。</w:t>
      </w:r>
    </w:p>
    <w:p w14:paraId="20426A98">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9.随同本投标文件，如果我方在投标文件有效期内撤回投标文件；或在接到中标通知书后</w:t>
      </w:r>
      <w:r>
        <w:rPr>
          <w:rFonts w:hint="eastAsia" w:ascii="宋体" w:hAnsi="宋体"/>
          <w:color w:val="auto"/>
          <w:spacing w:val="4"/>
          <w:kern w:val="0"/>
          <w:sz w:val="24"/>
          <w:szCs w:val="24"/>
          <w:highlight w:val="none"/>
          <w:lang w:val="en-US" w:eastAsia="zh-CN"/>
        </w:rPr>
        <w:t>30</w:t>
      </w:r>
      <w:r>
        <w:rPr>
          <w:rFonts w:hint="eastAsia" w:ascii="宋体" w:hAnsi="宋体"/>
          <w:color w:val="auto"/>
          <w:spacing w:val="4"/>
          <w:kern w:val="0"/>
          <w:sz w:val="24"/>
          <w:szCs w:val="24"/>
          <w:highlight w:val="none"/>
        </w:rPr>
        <w:t>天内未能或拒绝签订合同协议书；或未能按招标文件要求提交履约担保，你单位有权</w:t>
      </w:r>
      <w:r>
        <w:rPr>
          <w:rFonts w:hint="eastAsia" w:ascii="宋体" w:hAnsi="宋体"/>
          <w:b/>
          <w:bCs/>
          <w:color w:val="auto"/>
          <w:spacing w:val="4"/>
          <w:kern w:val="0"/>
          <w:sz w:val="24"/>
          <w:szCs w:val="24"/>
          <w:highlight w:val="none"/>
          <w:u w:val="single"/>
        </w:rPr>
        <w:t>要求我方对由此造成的损失作出赔偿</w:t>
      </w:r>
      <w:r>
        <w:rPr>
          <w:rFonts w:hint="eastAsia" w:ascii="宋体" w:hAnsi="宋体"/>
          <w:color w:val="auto"/>
          <w:spacing w:val="4"/>
          <w:kern w:val="0"/>
          <w:sz w:val="24"/>
          <w:szCs w:val="24"/>
          <w:highlight w:val="none"/>
        </w:rPr>
        <w:t>，另选中</w:t>
      </w:r>
      <w:bookmarkStart w:id="56" w:name="_Toc484958693"/>
      <w:r>
        <w:rPr>
          <w:rFonts w:hint="eastAsia" w:ascii="宋体" w:hAnsi="宋体"/>
          <w:color w:val="auto"/>
          <w:spacing w:val="4"/>
          <w:kern w:val="0"/>
          <w:sz w:val="24"/>
          <w:szCs w:val="24"/>
          <w:highlight w:val="none"/>
        </w:rPr>
        <w:t>标单位。</w:t>
      </w:r>
    </w:p>
    <w:p w14:paraId="61FA94C2">
      <w:pPr>
        <w:widowControl/>
        <w:topLinePunct/>
        <w:adjustRightInd w:val="0"/>
        <w:snapToGrid w:val="0"/>
        <w:spacing w:after="100" w:line="240" w:lineRule="auto"/>
        <w:ind w:firstLine="496" w:firstLineChars="20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10.我方</w:t>
      </w:r>
      <w:bookmarkEnd w:id="56"/>
      <w:r>
        <w:rPr>
          <w:rFonts w:hint="eastAsia" w:ascii="宋体" w:hAnsi="宋体"/>
          <w:color w:val="auto"/>
          <w:spacing w:val="4"/>
          <w:kern w:val="0"/>
          <w:sz w:val="24"/>
          <w:szCs w:val="24"/>
          <w:highlight w:val="none"/>
        </w:rPr>
        <w:t>理解</w:t>
      </w:r>
      <w:bookmarkStart w:id="57" w:name="_Toc484958694"/>
      <w:r>
        <w:rPr>
          <w:rFonts w:hint="eastAsia" w:ascii="宋体" w:hAnsi="宋体"/>
          <w:color w:val="auto"/>
          <w:spacing w:val="4"/>
          <w:kern w:val="0"/>
          <w:sz w:val="24"/>
          <w:szCs w:val="24"/>
          <w:highlight w:val="none"/>
        </w:rPr>
        <w:t>，你单位不一</w:t>
      </w:r>
      <w:bookmarkEnd w:id="57"/>
      <w:r>
        <w:rPr>
          <w:rFonts w:hint="eastAsia" w:ascii="宋体" w:hAnsi="宋体"/>
          <w:color w:val="auto"/>
          <w:spacing w:val="4"/>
          <w:kern w:val="0"/>
          <w:sz w:val="24"/>
          <w:szCs w:val="24"/>
          <w:highlight w:val="none"/>
        </w:rPr>
        <w:t>定</w:t>
      </w:r>
      <w:bookmarkStart w:id="58" w:name="_Toc484958695"/>
      <w:r>
        <w:rPr>
          <w:rFonts w:hint="eastAsia" w:ascii="宋体" w:hAnsi="宋体"/>
          <w:color w:val="auto"/>
          <w:spacing w:val="4"/>
          <w:kern w:val="0"/>
          <w:sz w:val="24"/>
          <w:szCs w:val="24"/>
          <w:highlight w:val="none"/>
        </w:rPr>
        <w:t>接受最低</w:t>
      </w:r>
      <w:bookmarkEnd w:id="58"/>
      <w:r>
        <w:rPr>
          <w:rFonts w:hint="eastAsia" w:ascii="宋体" w:hAnsi="宋体"/>
          <w:color w:val="auto"/>
          <w:spacing w:val="4"/>
          <w:kern w:val="0"/>
          <w:sz w:val="24"/>
          <w:szCs w:val="24"/>
          <w:highlight w:val="none"/>
        </w:rPr>
        <w:t>标</w:t>
      </w:r>
      <w:bookmarkStart w:id="59" w:name="_Toc484958696"/>
      <w:r>
        <w:rPr>
          <w:rFonts w:hint="eastAsia" w:ascii="宋体" w:hAnsi="宋体"/>
          <w:color w:val="auto"/>
          <w:spacing w:val="4"/>
          <w:kern w:val="0"/>
          <w:sz w:val="24"/>
          <w:szCs w:val="24"/>
          <w:highlight w:val="none"/>
        </w:rPr>
        <w:t>价的</w:t>
      </w:r>
      <w:bookmarkEnd w:id="59"/>
      <w:r>
        <w:rPr>
          <w:rFonts w:hint="eastAsia" w:ascii="宋体" w:hAnsi="宋体"/>
          <w:color w:val="auto"/>
          <w:spacing w:val="4"/>
          <w:kern w:val="0"/>
          <w:sz w:val="24"/>
          <w:szCs w:val="24"/>
          <w:highlight w:val="none"/>
        </w:rPr>
        <w:t>投</w:t>
      </w:r>
      <w:bookmarkStart w:id="60" w:name="_Toc484958697"/>
      <w:r>
        <w:rPr>
          <w:rFonts w:hint="eastAsia" w:ascii="宋体" w:hAnsi="宋体"/>
          <w:color w:val="auto"/>
          <w:spacing w:val="4"/>
          <w:kern w:val="0"/>
          <w:sz w:val="24"/>
          <w:szCs w:val="24"/>
          <w:highlight w:val="none"/>
        </w:rPr>
        <w:t>标或你单位接到的其它任何投标。同</w:t>
      </w:r>
      <w:bookmarkEnd w:id="60"/>
      <w:r>
        <w:rPr>
          <w:rFonts w:hint="eastAsia" w:ascii="宋体" w:hAnsi="宋体"/>
          <w:color w:val="auto"/>
          <w:spacing w:val="4"/>
          <w:kern w:val="0"/>
          <w:sz w:val="24"/>
          <w:szCs w:val="24"/>
          <w:highlight w:val="none"/>
        </w:rPr>
        <w:t>时</w:t>
      </w:r>
      <w:bookmarkStart w:id="61" w:name="_Toc484958698"/>
      <w:r>
        <w:rPr>
          <w:rFonts w:hint="eastAsia" w:ascii="宋体" w:hAnsi="宋体"/>
          <w:color w:val="auto"/>
          <w:spacing w:val="4"/>
          <w:kern w:val="0"/>
          <w:sz w:val="24"/>
          <w:szCs w:val="24"/>
          <w:highlight w:val="none"/>
        </w:rPr>
        <w:t>也理解，你单位不负担我方的任何投</w:t>
      </w:r>
      <w:bookmarkEnd w:id="61"/>
      <w:r>
        <w:rPr>
          <w:rFonts w:hint="eastAsia" w:ascii="宋体" w:hAnsi="宋体"/>
          <w:color w:val="auto"/>
          <w:spacing w:val="4"/>
          <w:kern w:val="0"/>
          <w:sz w:val="24"/>
          <w:szCs w:val="24"/>
          <w:highlight w:val="none"/>
        </w:rPr>
        <w:t>标</w:t>
      </w:r>
      <w:bookmarkStart w:id="62" w:name="_Toc484958699"/>
      <w:r>
        <w:rPr>
          <w:rFonts w:hint="eastAsia" w:ascii="宋体" w:hAnsi="宋体"/>
          <w:color w:val="auto"/>
          <w:spacing w:val="4"/>
          <w:kern w:val="0"/>
          <w:sz w:val="24"/>
          <w:szCs w:val="24"/>
          <w:highlight w:val="none"/>
        </w:rPr>
        <w:t>费用</w:t>
      </w:r>
      <w:bookmarkEnd w:id="62"/>
      <w:bookmarkStart w:id="63" w:name="_Toc484958700"/>
      <w:r>
        <w:rPr>
          <w:rFonts w:hint="eastAsia" w:ascii="宋体" w:hAnsi="宋体"/>
          <w:color w:val="auto"/>
          <w:spacing w:val="4"/>
          <w:kern w:val="0"/>
          <w:sz w:val="24"/>
          <w:szCs w:val="24"/>
          <w:highlight w:val="none"/>
        </w:rPr>
        <w:t>。</w:t>
      </w:r>
    </w:p>
    <w:p w14:paraId="0F70DC03">
      <w:pPr>
        <w:widowControl/>
        <w:topLinePunct/>
        <w:adjustRightInd w:val="0"/>
        <w:snapToGrid w:val="0"/>
        <w:spacing w:after="200" w:line="240" w:lineRule="auto"/>
        <w:ind w:firstLine="496" w:firstLineChars="200"/>
        <w:jc w:val="left"/>
        <w:rPr>
          <w:rFonts w:ascii="宋体" w:hAnsi="宋体"/>
          <w:color w:val="auto"/>
          <w:spacing w:val="4"/>
          <w:kern w:val="0"/>
          <w:sz w:val="24"/>
          <w:szCs w:val="24"/>
          <w:highlight w:val="none"/>
        </w:rPr>
      </w:pPr>
    </w:p>
    <w:p w14:paraId="684D46A3">
      <w:pPr>
        <w:widowControl/>
        <w:topLinePunct/>
        <w:adjustRightInd w:val="0"/>
        <w:snapToGrid w:val="0"/>
        <w:spacing w:after="200" w:line="240" w:lineRule="auto"/>
        <w:ind w:firstLine="691" w:firstLineChars="279"/>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 标 人：</w:t>
      </w:r>
      <w:bookmarkEnd w:id="63"/>
    </w:p>
    <w:p w14:paraId="4D9BB4C8">
      <w:pPr>
        <w:widowControl/>
        <w:topLinePunct/>
        <w:adjustRightInd w:val="0"/>
        <w:snapToGrid w:val="0"/>
        <w:spacing w:after="200" w:line="360" w:lineRule="auto"/>
        <w:ind w:firstLine="691" w:firstLineChars="279"/>
        <w:jc w:val="left"/>
        <w:rPr>
          <w:rFonts w:ascii="宋体" w:hAnsi="宋体" w:cs="宋体"/>
          <w:b/>
          <w:color w:val="auto"/>
          <w:sz w:val="24"/>
          <w:szCs w:val="24"/>
          <w:highlight w:val="none"/>
        </w:rPr>
      </w:pPr>
      <w:r>
        <w:rPr>
          <w:rFonts w:hint="eastAsia" w:ascii="宋体" w:hAnsi="宋体"/>
          <w:color w:val="auto"/>
          <w:spacing w:val="4"/>
          <w:kern w:val="0"/>
          <w:sz w:val="24"/>
          <w:szCs w:val="24"/>
          <w:highlight w:val="none"/>
        </w:rPr>
        <w:t xml:space="preserve">日    期：   年    月    日 </w:t>
      </w:r>
    </w:p>
    <w:p w14:paraId="0F7FD15A">
      <w:pPr>
        <w:outlineLvl w:val="2"/>
        <w:rPr>
          <w:color w:val="auto"/>
          <w:highlight w:val="none"/>
        </w:rPr>
      </w:pPr>
      <w:r>
        <w:rPr>
          <w:rFonts w:hint="eastAsia" w:ascii="宋体" w:hAnsi="宋体" w:cs="宋体"/>
          <w:b/>
          <w:color w:val="auto"/>
          <w:sz w:val="32"/>
          <w:szCs w:val="32"/>
          <w:highlight w:val="none"/>
        </w:rPr>
        <w:br w:type="page"/>
      </w:r>
      <w:bookmarkStart w:id="64" w:name="_Toc29476915"/>
      <w:bookmarkStart w:id="65" w:name="_Toc62056036"/>
      <w:bookmarkStart w:id="66" w:name="_Toc504722513"/>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四</w:t>
      </w:r>
      <w:r>
        <w:rPr>
          <w:rFonts w:hint="eastAsia" w:ascii="宋体" w:hAnsi="宋体"/>
          <w:color w:val="auto"/>
          <w:spacing w:val="4"/>
          <w:kern w:val="0"/>
          <w:sz w:val="24"/>
          <w:szCs w:val="24"/>
          <w:highlight w:val="none"/>
        </w:rPr>
        <w:t>：法定代表人证明书、授权委托书</w:t>
      </w:r>
      <w:bookmarkEnd w:id="64"/>
      <w:bookmarkEnd w:id="65"/>
      <w:bookmarkEnd w:id="66"/>
    </w:p>
    <w:p w14:paraId="1E2A5BC9">
      <w:pPr>
        <w:widowControl/>
        <w:topLinePunct/>
        <w:adjustRightInd w:val="0"/>
        <w:snapToGrid w:val="0"/>
        <w:spacing w:after="200"/>
        <w:jc w:val="center"/>
        <w:rPr>
          <w:rFonts w:ascii="宋体" w:hAnsi="宋体"/>
          <w:b/>
          <w:color w:val="auto"/>
          <w:spacing w:val="4"/>
          <w:kern w:val="0"/>
          <w:sz w:val="32"/>
          <w:szCs w:val="32"/>
          <w:highlight w:val="none"/>
        </w:rPr>
      </w:pPr>
    </w:p>
    <w:p w14:paraId="5F34E8DD">
      <w:pPr>
        <w:widowControl/>
        <w:topLinePunct/>
        <w:adjustRightInd w:val="0"/>
        <w:snapToGrid w:val="0"/>
        <w:spacing w:after="200"/>
        <w:jc w:val="center"/>
        <w:rPr>
          <w:rFonts w:ascii="宋体" w:hAnsi="宋体"/>
          <w:b/>
          <w:color w:val="auto"/>
          <w:spacing w:val="4"/>
          <w:kern w:val="0"/>
          <w:sz w:val="32"/>
          <w:szCs w:val="32"/>
          <w:highlight w:val="none"/>
        </w:rPr>
      </w:pPr>
      <w:r>
        <w:rPr>
          <w:rFonts w:hint="eastAsia" w:ascii="宋体" w:hAnsi="宋体"/>
          <w:b/>
          <w:color w:val="auto"/>
          <w:spacing w:val="4"/>
          <w:kern w:val="0"/>
          <w:sz w:val="32"/>
          <w:szCs w:val="32"/>
          <w:highlight w:val="none"/>
        </w:rPr>
        <w:t>法定代表人证明书、授权委托书</w:t>
      </w:r>
    </w:p>
    <w:p w14:paraId="0E758BB9">
      <w:pPr>
        <w:topLinePunct/>
        <w:adjustRightInd w:val="0"/>
        <w:snapToGrid w:val="0"/>
        <w:rPr>
          <w:snapToGrid w:val="0"/>
          <w:color w:val="auto"/>
          <w:spacing w:val="4"/>
          <w:sz w:val="24"/>
          <w:szCs w:val="24"/>
          <w:highlight w:val="none"/>
        </w:rPr>
      </w:pPr>
      <w:r>
        <w:rPr>
          <w:rFonts w:hint="eastAsia"/>
          <w:snapToGrid w:val="0"/>
          <w:color w:val="auto"/>
          <w:spacing w:val="4"/>
          <w:sz w:val="24"/>
          <w:szCs w:val="24"/>
          <w:highlight w:val="none"/>
        </w:rPr>
        <w:t>（1）法定代表人证明书</w:t>
      </w:r>
    </w:p>
    <w:p w14:paraId="0B28F5BB">
      <w:pPr>
        <w:topLinePunct/>
        <w:adjustRightInd w:val="0"/>
        <w:snapToGrid w:val="0"/>
        <w:ind w:right="668"/>
        <w:jc w:val="right"/>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60288" behindDoc="0" locked="0" layoutInCell="1" allowOverlap="0">
                <wp:simplePos x="0" y="0"/>
                <wp:positionH relativeFrom="column">
                  <wp:align>center</wp:align>
                </wp:positionH>
                <wp:positionV relativeFrom="paragraph">
                  <wp:posOffset>270510</wp:posOffset>
                </wp:positionV>
                <wp:extent cx="5550535" cy="2762885"/>
                <wp:effectExtent l="4445" t="4445" r="7620" b="6350"/>
                <wp:wrapSquare wrapText="bothSides"/>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5791200" cy="2809875"/>
                        </a:xfrm>
                        <a:prstGeom prst="rect">
                          <a:avLst/>
                        </a:prstGeom>
                        <a:solidFill>
                          <a:srgbClr val="FFFFFF"/>
                        </a:solidFill>
                        <a:ln w="9525">
                          <a:solidFill>
                            <a:srgbClr val="000000"/>
                          </a:solidFill>
                          <a:miter lim="800000"/>
                        </a:ln>
                        <a:effectLst/>
                      </wps:spPr>
                      <wps:txbx>
                        <w:txbxContent>
                          <w:p w14:paraId="265F8ADA">
                            <w:pPr>
                              <w:pStyle w:val="56"/>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5A2CD836">
                            <w:pPr>
                              <w:pStyle w:val="56"/>
                              <w:ind w:firstLine="0" w:firstLineChars="0"/>
                              <w:rPr>
                                <w:rFonts w:ascii="宋体" w:hAnsi="宋体"/>
                                <w:szCs w:val="28"/>
                              </w:rPr>
                            </w:pPr>
                            <w:r>
                              <w:rPr>
                                <w:rFonts w:hint="eastAsia" w:ascii="宋体" w:hAnsi="宋体"/>
                                <w:szCs w:val="28"/>
                              </w:rPr>
                              <w:t>特此证明。</w:t>
                            </w:r>
                          </w:p>
                          <w:p w14:paraId="13426D55">
                            <w:pPr>
                              <w:pStyle w:val="56"/>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6D46F2E5">
                            <w:pPr>
                              <w:pStyle w:val="56"/>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7BF51A82">
                            <w:pPr>
                              <w:pStyle w:val="56"/>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1B989ABC">
                            <w:pPr>
                              <w:pStyle w:val="56"/>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2EDA07EE">
                            <w:pPr>
                              <w:pStyle w:val="56"/>
                              <w:ind w:firstLine="0" w:firstLineChars="0"/>
                              <w:rPr>
                                <w:rFonts w:ascii="宋体" w:hAnsi="宋体"/>
                                <w:szCs w:val="28"/>
                              </w:rPr>
                            </w:pPr>
                            <w:r>
                              <w:rPr>
                                <w:rFonts w:hint="eastAsia" w:ascii="宋体" w:hAnsi="宋体"/>
                                <w:szCs w:val="28"/>
                              </w:rPr>
                              <w:t>　　　　　　　　　　单位：　　　　　　　　　　　（盖章）</w:t>
                            </w:r>
                          </w:p>
                          <w:p w14:paraId="356F55E8">
                            <w:pPr>
                              <w:pStyle w:val="56"/>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21.3pt;height:217.55pt;width:437.05pt;mso-position-horizontal:center;mso-wrap-distance-bottom:0pt;mso-wrap-distance-left:9pt;mso-wrap-distance-right:9pt;mso-wrap-distance-top:0pt;z-index:251660288;mso-width-relative:page;mso-height-relative:page;" fillcolor="#FFFFFF" filled="t" stroked="t" coordsize="21600,21600" o:allowoverlap="f" o:gfxdata="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ungE1wAAAAcBAAAPAAAAAAAAAAEA&#10;IAAAACIAAABkcnMvZG93bnJldi54bWxQSwECFAAUAAAACACHTuJAD887SkkCAACYBAAADgAAAAAA&#10;AAABACAAAAAmAQAAZHJzL2Uyb0RvYy54bWxQSwUGAAAAAAYABgBZAQAA4QUAAAAA&#10;">
                <v:fill on="t" focussize="0,0"/>
                <v:stroke color="#000000" miterlimit="8" joinstyle="miter"/>
                <v:imagedata o:title=""/>
                <o:lock v:ext="edit" aspectratio="f"/>
                <v:textbox>
                  <w:txbxContent>
                    <w:p w14:paraId="265F8ADA">
                      <w:pPr>
                        <w:pStyle w:val="56"/>
                        <w:spacing w:before="240"/>
                        <w:ind w:firstLine="0" w:firstLineChars="0"/>
                        <w:rPr>
                          <w:rFonts w:ascii="宋体" w:hAnsi="宋体"/>
                          <w:szCs w:val="28"/>
                        </w:rPr>
                      </w:pPr>
                      <w:r>
                        <w:rPr>
                          <w:rFonts w:hint="eastAsia"/>
                          <w:szCs w:val="28"/>
                        </w:rPr>
                        <w:t>　　</w:t>
                      </w:r>
                      <w:r>
                        <w:rPr>
                          <w:rFonts w:hint="eastAsia" w:ascii="宋体" w:hAnsi="宋体"/>
                          <w:szCs w:val="28"/>
                          <w:u w:val="single"/>
                        </w:rPr>
                        <w:t>　　　　　　</w:t>
                      </w:r>
                      <w:r>
                        <w:rPr>
                          <w:rFonts w:hint="eastAsia" w:ascii="宋体" w:hAnsi="宋体"/>
                          <w:szCs w:val="28"/>
                        </w:rPr>
                        <w:t>现任我单位</w:t>
                      </w:r>
                      <w:r>
                        <w:rPr>
                          <w:rFonts w:hint="eastAsia" w:ascii="宋体" w:hAnsi="宋体"/>
                          <w:szCs w:val="28"/>
                          <w:u w:val="single"/>
                        </w:rPr>
                        <w:t>　　　　　</w:t>
                      </w:r>
                      <w:r>
                        <w:rPr>
                          <w:rFonts w:hint="eastAsia" w:ascii="宋体" w:hAnsi="宋体"/>
                          <w:szCs w:val="28"/>
                        </w:rPr>
                        <w:t>职务，为法定代表人（负责人），</w:t>
                      </w:r>
                    </w:p>
                    <w:p w14:paraId="5A2CD836">
                      <w:pPr>
                        <w:pStyle w:val="56"/>
                        <w:ind w:firstLine="0" w:firstLineChars="0"/>
                        <w:rPr>
                          <w:rFonts w:ascii="宋体" w:hAnsi="宋体"/>
                          <w:szCs w:val="28"/>
                        </w:rPr>
                      </w:pPr>
                      <w:r>
                        <w:rPr>
                          <w:rFonts w:hint="eastAsia" w:ascii="宋体" w:hAnsi="宋体"/>
                          <w:szCs w:val="28"/>
                        </w:rPr>
                        <w:t>特此证明。</w:t>
                      </w:r>
                    </w:p>
                    <w:p w14:paraId="13426D55">
                      <w:pPr>
                        <w:pStyle w:val="56"/>
                        <w:ind w:firstLine="0" w:firstLineChars="0"/>
                        <w:rPr>
                          <w:rFonts w:ascii="宋体" w:hAnsi="宋体"/>
                          <w:szCs w:val="28"/>
                        </w:rPr>
                      </w:pPr>
                      <w:r>
                        <w:rPr>
                          <w:rFonts w:hint="eastAsia" w:ascii="宋体" w:hAnsi="宋体"/>
                          <w:szCs w:val="28"/>
                        </w:rPr>
                        <w:t>有效期限：</w:t>
                      </w:r>
                      <w:r>
                        <w:rPr>
                          <w:rFonts w:hint="eastAsia" w:ascii="宋体" w:hAnsi="宋体"/>
                          <w:szCs w:val="28"/>
                          <w:u w:val="single"/>
                        </w:rPr>
                        <w:t xml:space="preserve">                                  </w:t>
                      </w:r>
                    </w:p>
                    <w:p w14:paraId="6D46F2E5">
                      <w:pPr>
                        <w:pStyle w:val="56"/>
                        <w:ind w:firstLine="0" w:firstLineChars="0"/>
                        <w:rPr>
                          <w:rFonts w:ascii="宋体" w:hAnsi="宋体"/>
                          <w:szCs w:val="28"/>
                        </w:rPr>
                      </w:pPr>
                      <w:r>
                        <w:rPr>
                          <w:rFonts w:hint="eastAsia" w:ascii="宋体" w:hAnsi="宋体"/>
                          <w:szCs w:val="28"/>
                        </w:rPr>
                        <w:t>附：法定代表人（负责人）性别：</w:t>
                      </w:r>
                      <w:r>
                        <w:rPr>
                          <w:rFonts w:hint="eastAsia" w:ascii="宋体" w:hAnsi="宋体"/>
                          <w:szCs w:val="28"/>
                          <w:u w:val="single"/>
                        </w:rPr>
                        <w:t>　　</w:t>
                      </w:r>
                      <w:r>
                        <w:rPr>
                          <w:rFonts w:hint="eastAsia" w:ascii="宋体" w:hAnsi="宋体"/>
                          <w:szCs w:val="28"/>
                        </w:rPr>
                        <w:t>年龄：</w:t>
                      </w:r>
                      <w:r>
                        <w:rPr>
                          <w:rFonts w:hint="eastAsia" w:ascii="宋体" w:hAnsi="宋体"/>
                          <w:szCs w:val="28"/>
                          <w:u w:val="single"/>
                        </w:rPr>
                        <w:t>　　</w:t>
                      </w:r>
                      <w:r>
                        <w:rPr>
                          <w:rFonts w:hint="eastAsia" w:ascii="宋体" w:hAnsi="宋体"/>
                          <w:szCs w:val="28"/>
                        </w:rPr>
                        <w:t>身份证号码：</w:t>
                      </w:r>
                      <w:r>
                        <w:rPr>
                          <w:rFonts w:hint="eastAsia" w:ascii="宋体" w:hAnsi="宋体"/>
                          <w:szCs w:val="28"/>
                          <w:u w:val="single"/>
                        </w:rPr>
                        <w:t xml:space="preserve">             </w:t>
                      </w:r>
                    </w:p>
                    <w:p w14:paraId="7BF51A82">
                      <w:pPr>
                        <w:pStyle w:val="56"/>
                        <w:ind w:firstLine="0" w:firstLineChars="0"/>
                        <w:rPr>
                          <w:rFonts w:ascii="宋体" w:hAnsi="宋体"/>
                          <w:szCs w:val="28"/>
                        </w:rPr>
                      </w:pPr>
                      <w:r>
                        <w:rPr>
                          <w:rFonts w:hint="eastAsia" w:ascii="宋体" w:hAnsi="宋体"/>
                          <w:szCs w:val="28"/>
                        </w:rPr>
                        <w:t>注册号码：</w:t>
                      </w:r>
                      <w:r>
                        <w:rPr>
                          <w:rFonts w:hint="eastAsia" w:ascii="宋体" w:hAnsi="宋体"/>
                          <w:szCs w:val="28"/>
                          <w:u w:val="single"/>
                        </w:rPr>
                        <w:t>　　　　　　　　　　</w:t>
                      </w:r>
                      <w:r>
                        <w:rPr>
                          <w:rFonts w:hint="eastAsia" w:ascii="宋体" w:hAnsi="宋体"/>
                          <w:szCs w:val="28"/>
                        </w:rPr>
                        <w:t>企业类型：</w:t>
                      </w:r>
                      <w:r>
                        <w:rPr>
                          <w:rFonts w:hint="eastAsia" w:ascii="宋体" w:hAnsi="宋体"/>
                          <w:szCs w:val="28"/>
                          <w:u w:val="single"/>
                        </w:rPr>
                        <w:t xml:space="preserve">                          </w:t>
                      </w:r>
                    </w:p>
                    <w:p w14:paraId="1B989ABC">
                      <w:pPr>
                        <w:pStyle w:val="56"/>
                        <w:ind w:firstLine="0" w:firstLineChars="0"/>
                        <w:rPr>
                          <w:rFonts w:ascii="宋体" w:hAnsi="宋体"/>
                          <w:szCs w:val="28"/>
                        </w:rPr>
                      </w:pPr>
                      <w:r>
                        <w:rPr>
                          <w:rFonts w:hint="eastAsia" w:ascii="宋体" w:hAnsi="宋体"/>
                          <w:szCs w:val="28"/>
                        </w:rPr>
                        <w:t>经营范围：</w:t>
                      </w:r>
                      <w:r>
                        <w:rPr>
                          <w:rFonts w:hint="eastAsia" w:ascii="宋体" w:hAnsi="宋体"/>
                          <w:szCs w:val="28"/>
                          <w:u w:val="single"/>
                        </w:rPr>
                        <w:t xml:space="preserve">                                       </w:t>
                      </w:r>
                    </w:p>
                    <w:p w14:paraId="2EDA07EE">
                      <w:pPr>
                        <w:pStyle w:val="56"/>
                        <w:ind w:firstLine="0" w:firstLineChars="0"/>
                        <w:rPr>
                          <w:rFonts w:ascii="宋体" w:hAnsi="宋体"/>
                          <w:szCs w:val="28"/>
                        </w:rPr>
                      </w:pPr>
                      <w:r>
                        <w:rPr>
                          <w:rFonts w:hint="eastAsia" w:ascii="宋体" w:hAnsi="宋体"/>
                          <w:szCs w:val="28"/>
                        </w:rPr>
                        <w:t>　　　　　　　　　　单位：　　　　　　　　　　　（盖章）</w:t>
                      </w:r>
                    </w:p>
                    <w:p w14:paraId="356F55E8">
                      <w:pPr>
                        <w:pStyle w:val="56"/>
                        <w:ind w:firstLine="0" w:firstLineChars="0"/>
                        <w:rPr>
                          <w:rFonts w:ascii="宋体" w:hAnsi="宋体"/>
                          <w:szCs w:val="28"/>
                        </w:rPr>
                      </w:pPr>
                      <w:r>
                        <w:rPr>
                          <w:rFonts w:hint="eastAsia" w:ascii="宋体" w:hAnsi="宋体"/>
                          <w:szCs w:val="28"/>
                        </w:rPr>
                        <w:t>　　　　　　　　　　　　　　　　　　　　</w:t>
                      </w:r>
                      <w:r>
                        <w:rPr>
                          <w:rFonts w:hint="eastAsia" w:ascii="宋体" w:hAnsi="宋体" w:eastAsia="宋体"/>
                          <w:szCs w:val="28"/>
                        </w:rPr>
                        <w:t xml:space="preserve">      </w:t>
                      </w:r>
                      <w:r>
                        <w:rPr>
                          <w:rFonts w:hint="eastAsia" w:ascii="宋体" w:hAnsi="宋体"/>
                          <w:szCs w:val="28"/>
                        </w:rPr>
                        <w:t>　    年　</w:t>
                      </w:r>
                      <w:r>
                        <w:rPr>
                          <w:rFonts w:hint="eastAsia" w:ascii="宋体" w:hAnsi="宋体" w:eastAsia="宋体"/>
                          <w:szCs w:val="28"/>
                        </w:rPr>
                        <w:t xml:space="preserve">  </w:t>
                      </w:r>
                      <w:r>
                        <w:rPr>
                          <w:rFonts w:hint="eastAsia" w:ascii="宋体" w:hAnsi="宋体"/>
                          <w:szCs w:val="28"/>
                        </w:rPr>
                        <w:t>月　　日</w:t>
                      </w:r>
                    </w:p>
                  </w:txbxContent>
                </v:textbox>
                <w10:wrap type="square"/>
              </v:shape>
            </w:pict>
          </mc:Fallback>
        </mc:AlternateContent>
      </w:r>
      <w:r>
        <w:rPr>
          <w:rFonts w:hint="eastAsia"/>
          <w:snapToGrid w:val="0"/>
          <w:color w:val="auto"/>
          <w:spacing w:val="4"/>
          <w:sz w:val="24"/>
          <w:szCs w:val="24"/>
          <w:highlight w:val="none"/>
        </w:rPr>
        <w:t>（　 ）第　号</w:t>
      </w:r>
    </w:p>
    <w:p w14:paraId="132D5B2E">
      <w:pPr>
        <w:rPr>
          <w:snapToGrid w:val="0"/>
          <w:color w:val="auto"/>
          <w:spacing w:val="4"/>
          <w:sz w:val="24"/>
          <w:szCs w:val="24"/>
          <w:highlight w:val="none"/>
        </w:rPr>
      </w:pPr>
    </w:p>
    <w:p w14:paraId="68A7A8AE">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（2）法定代表人授权委托书</w:t>
      </w:r>
    </w:p>
    <w:p w14:paraId="50046046">
      <w:pPr>
        <w:topLinePunct/>
        <w:adjustRightInd w:val="0"/>
        <w:snapToGrid w:val="0"/>
        <w:ind w:firstLine="496" w:firstLineChars="200"/>
        <w:rPr>
          <w:snapToGrid w:val="0"/>
          <w:color w:val="auto"/>
          <w:spacing w:val="4"/>
          <w:sz w:val="24"/>
          <w:szCs w:val="24"/>
          <w:highlight w:val="none"/>
        </w:rPr>
      </w:pPr>
      <w:r>
        <w:rPr>
          <w:rFonts w:hint="eastAsia"/>
          <w:snapToGrid w:val="0"/>
          <w:color w:val="auto"/>
          <w:spacing w:val="4"/>
          <w:sz w:val="24"/>
          <w:szCs w:val="24"/>
          <w:highlight w:val="none"/>
        </w:rPr>
        <w:t xml:space="preserve">                                                 （   ）第  号</w:t>
      </w:r>
    </w:p>
    <w:p w14:paraId="34E58036">
      <w:pPr>
        <w:topLinePunct/>
        <w:adjustRightInd w:val="0"/>
        <w:snapToGrid w:val="0"/>
        <w:spacing w:line="360" w:lineRule="auto"/>
        <w:ind w:firstLine="420" w:firstLineChars="200"/>
        <w:rPr>
          <w:snapToGrid w:val="0"/>
          <w:color w:val="auto"/>
          <w:spacing w:val="4"/>
          <w:sz w:val="24"/>
          <w:szCs w:val="24"/>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80645</wp:posOffset>
                </wp:positionV>
                <wp:extent cx="5550535" cy="2748915"/>
                <wp:effectExtent l="4445" t="4445" r="7620" b="5080"/>
                <wp:wrapSquare wrapText="bothSides"/>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791200" cy="2748915"/>
                        </a:xfrm>
                        <a:prstGeom prst="rect">
                          <a:avLst/>
                        </a:prstGeom>
                        <a:solidFill>
                          <a:srgbClr val="FFFFFF"/>
                        </a:solidFill>
                        <a:ln w="9525">
                          <a:solidFill>
                            <a:srgbClr val="000000"/>
                          </a:solidFill>
                          <a:miter lim="800000"/>
                        </a:ln>
                        <a:effectLst/>
                      </wps:spPr>
                      <wps:txbx>
                        <w:txbxContent>
                          <w:p w14:paraId="13AC3DE7">
                            <w:pPr>
                              <w:pStyle w:val="56"/>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B5921F7">
                            <w:pPr>
                              <w:pStyle w:val="56"/>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2B2EC3FC">
                            <w:pPr>
                              <w:pStyle w:val="56"/>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7981472">
                            <w:pPr>
                              <w:pStyle w:val="56"/>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3AEF12E">
                            <w:pPr>
                              <w:pStyle w:val="56"/>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60A2A7F">
                            <w:pPr>
                              <w:pStyle w:val="56"/>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14:paraId="2A9EB18D">
                            <w:pPr>
                              <w:pStyle w:val="56"/>
                              <w:ind w:firstLine="0" w:firstLineChars="0"/>
                              <w:rPr>
                                <w:rFonts w:ascii="宋体" w:hAnsi="宋体"/>
                              </w:rPr>
                            </w:pPr>
                            <w:r>
                              <w:rPr>
                                <w:rFonts w:hint="eastAsia" w:ascii="宋体" w:hAnsi="宋体"/>
                              </w:rPr>
                              <w:t>授权单位：（盖章）</w:t>
                            </w:r>
                            <w:r>
                              <w:rPr>
                                <w:rFonts w:ascii="宋体" w:hAnsi="宋体"/>
                                <w:u w:val="single"/>
                              </w:rPr>
                              <w:t xml:space="preserve">                      </w:t>
                            </w:r>
                          </w:p>
                          <w:p w14:paraId="4F9C5BB1">
                            <w:pPr>
                              <w:pStyle w:val="56"/>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6.35pt;height:216.45pt;width:437.05pt;mso-position-horizontal:center;mso-wrap-distance-bottom:0pt;mso-wrap-distance-left:9pt;mso-wrap-distance-right:9pt;mso-wrap-distance-top:0pt;z-index:251659264;mso-width-relative:page;mso-height-relative:page;" fillcolor="#FFFFFF" filled="t" stroked="t" coordsize="21600,21600" o:gfxdata="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S+mZN1wAAAAcBAAAPAAAAAAAAAAEA&#10;IAAAACIAAABkcnMvZG93bnJldi54bWxQSwECFAAUAAAACACHTuJArj9i0UkCAACYBAAADgAAAAAA&#10;AAABACAAAAAmAQAAZHJzL2Uyb0RvYy54bWxQSwUGAAAAAAYABgBZAQAA4QUAAAAA&#10;">
                <v:fill on="t" focussize="0,0"/>
                <v:stroke color="#000000" miterlimit="8" joinstyle="miter"/>
                <v:imagedata o:title=""/>
                <o:lock v:ext="edit" aspectratio="f"/>
                <v:textbox>
                  <w:txbxContent>
                    <w:p w14:paraId="13AC3DE7">
                      <w:pPr>
                        <w:pStyle w:val="56"/>
                        <w:spacing w:before="240"/>
                        <w:ind w:firstLine="0" w:firstLineChars="0"/>
                        <w:rPr>
                          <w:rFonts w:ascii="宋体" w:hAnsi="宋体"/>
                        </w:rPr>
                      </w:pPr>
                      <w:r>
                        <w:rPr>
                          <w:rFonts w:hint="eastAsia" w:ascii="宋体" w:hAnsi="宋体"/>
                        </w:rPr>
                        <w:t>兹授权</w:t>
                      </w:r>
                      <w:r>
                        <w:rPr>
                          <w:rFonts w:ascii="宋体" w:hAnsi="宋体"/>
                          <w:u w:val="single"/>
                        </w:rPr>
                        <w:t xml:space="preserve">                </w:t>
                      </w:r>
                      <w:r>
                        <w:rPr>
                          <w:rFonts w:hint="eastAsia" w:ascii="宋体" w:hAnsi="宋体"/>
                        </w:rPr>
                        <w:t>为我方委托代理人，其权限是：</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6B5921F7">
                      <w:pPr>
                        <w:pStyle w:val="56"/>
                        <w:ind w:firstLine="0" w:firstLineChars="0"/>
                        <w:rPr>
                          <w:rFonts w:ascii="宋体" w:hAnsi="宋体"/>
                        </w:rPr>
                      </w:pPr>
                      <w:r>
                        <w:rPr>
                          <w:rFonts w:hint="eastAsia" w:ascii="宋体" w:hAnsi="宋体"/>
                        </w:rPr>
                        <w:t>有效期限：</w:t>
                      </w:r>
                      <w:r>
                        <w:rPr>
                          <w:rFonts w:ascii="宋体" w:hAnsi="宋体"/>
                          <w:u w:val="single"/>
                        </w:rPr>
                        <w:t xml:space="preserve">                                                   </w:t>
                      </w:r>
                      <w:r>
                        <w:rPr>
                          <w:rFonts w:hint="eastAsia" w:ascii="宋体" w:hAnsi="宋体"/>
                          <w:u w:val="single"/>
                        </w:rPr>
                        <w:t xml:space="preserve">     </w:t>
                      </w:r>
                    </w:p>
                    <w:p w14:paraId="2B2EC3FC">
                      <w:pPr>
                        <w:pStyle w:val="56"/>
                        <w:ind w:firstLine="0" w:firstLineChars="0"/>
                        <w:rPr>
                          <w:rFonts w:ascii="宋体" w:hAnsi="宋体"/>
                        </w:rPr>
                      </w:pPr>
                      <w:r>
                        <w:rPr>
                          <w:rFonts w:hint="eastAsia" w:ascii="宋体" w:hAnsi="宋体"/>
                        </w:rPr>
                        <w:t>附：代理人性别：</w:t>
                      </w:r>
                      <w:r>
                        <w:rPr>
                          <w:rFonts w:ascii="宋体" w:hAnsi="宋体"/>
                          <w:u w:val="single"/>
                        </w:rPr>
                        <w:t xml:space="preserve">     </w:t>
                      </w:r>
                      <w:r>
                        <w:rPr>
                          <w:rFonts w:hint="eastAsia" w:ascii="宋体" w:hAnsi="宋体"/>
                        </w:rPr>
                        <w:t>年龄：</w:t>
                      </w:r>
                      <w:r>
                        <w:rPr>
                          <w:rFonts w:ascii="宋体" w:hAnsi="宋体"/>
                          <w:u w:val="single"/>
                        </w:rPr>
                        <w:t xml:space="preserve">     </w:t>
                      </w:r>
                      <w:r>
                        <w:rPr>
                          <w:rFonts w:hint="eastAsia" w:ascii="宋体" w:hAnsi="宋体"/>
                        </w:rPr>
                        <w:t>身份证号码：</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17981472">
                      <w:pPr>
                        <w:pStyle w:val="56"/>
                        <w:ind w:firstLine="0" w:firstLineChars="0"/>
                        <w:rPr>
                          <w:rFonts w:ascii="宋体" w:hAnsi="宋体"/>
                        </w:rPr>
                      </w:pPr>
                      <w:r>
                        <w:rPr>
                          <w:rFonts w:hint="eastAsia" w:ascii="宋体" w:hAnsi="宋体"/>
                        </w:rPr>
                        <w:t>注册号码：</w:t>
                      </w:r>
                      <w:r>
                        <w:rPr>
                          <w:rFonts w:ascii="宋体" w:hAnsi="宋体"/>
                          <w:u w:val="single"/>
                        </w:rPr>
                        <w:t xml:space="preserve">                  </w:t>
                      </w:r>
                      <w:r>
                        <w:rPr>
                          <w:rFonts w:hint="eastAsia" w:ascii="宋体" w:hAnsi="宋体"/>
                        </w:rPr>
                        <w:t>企业类型：</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3AEF12E">
                      <w:pPr>
                        <w:pStyle w:val="56"/>
                        <w:ind w:firstLine="0" w:firstLineChars="0"/>
                        <w:rPr>
                          <w:rFonts w:ascii="宋体" w:hAnsi="宋体"/>
                        </w:rPr>
                      </w:pPr>
                      <w:r>
                        <w:rPr>
                          <w:rFonts w:hint="eastAsia" w:ascii="宋体" w:hAnsi="宋体"/>
                        </w:rPr>
                        <w:t>经营范围：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p>
                    <w:p w14:paraId="060A2A7F">
                      <w:pPr>
                        <w:pStyle w:val="56"/>
                        <w:ind w:firstLine="0" w:firstLineChars="0"/>
                        <w:rPr>
                          <w:rFonts w:ascii="宋体" w:hAnsi="宋体"/>
                        </w:rPr>
                      </w:pPr>
                      <w:r>
                        <w:rPr>
                          <w:rFonts w:hint="eastAsia" w:ascii="宋体" w:hAnsi="宋体"/>
                        </w:rPr>
                        <w:t>法定代表人（负责人）：</w:t>
                      </w:r>
                      <w:r>
                        <w:rPr>
                          <w:rFonts w:ascii="宋体" w:hAnsi="宋体"/>
                          <w:u w:val="single"/>
                        </w:rPr>
                        <w:t xml:space="preserve">                 </w:t>
                      </w:r>
                      <w:r>
                        <w:rPr>
                          <w:rFonts w:hint="eastAsia" w:ascii="宋体" w:hAnsi="宋体"/>
                        </w:rPr>
                        <w:t>（签字或盖章）</w:t>
                      </w:r>
                    </w:p>
                    <w:p w14:paraId="2A9EB18D">
                      <w:pPr>
                        <w:pStyle w:val="56"/>
                        <w:ind w:firstLine="0" w:firstLineChars="0"/>
                        <w:rPr>
                          <w:rFonts w:ascii="宋体" w:hAnsi="宋体"/>
                        </w:rPr>
                      </w:pPr>
                      <w:r>
                        <w:rPr>
                          <w:rFonts w:hint="eastAsia" w:ascii="宋体" w:hAnsi="宋体"/>
                        </w:rPr>
                        <w:t>授权单位：（盖章）</w:t>
                      </w:r>
                      <w:r>
                        <w:rPr>
                          <w:rFonts w:ascii="宋体" w:hAnsi="宋体"/>
                          <w:u w:val="single"/>
                        </w:rPr>
                        <w:t xml:space="preserve">                      </w:t>
                      </w:r>
                    </w:p>
                    <w:p w14:paraId="4F9C5BB1">
                      <w:pPr>
                        <w:pStyle w:val="56"/>
                        <w:ind w:firstLine="496"/>
                        <w:rPr>
                          <w:rFonts w:ascii="宋体" w:hAnsi="宋体"/>
                        </w:rPr>
                      </w:pPr>
                      <w:r>
                        <w:rPr>
                          <w:rFonts w:hint="eastAsia" w:ascii="宋体" w:hAnsi="宋体"/>
                        </w:rPr>
                        <w:t>年</w:t>
                      </w:r>
                      <w:r>
                        <w:rPr>
                          <w:rFonts w:ascii="宋体" w:hAnsi="宋体"/>
                        </w:rPr>
                        <w:t xml:space="preserve"> </w:t>
                      </w:r>
                      <w:r>
                        <w:rPr>
                          <w:rFonts w:hint="eastAsia" w:ascii="宋体" w:hAnsi="宋体" w:eastAsia="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txbxContent>
                </v:textbox>
                <w10:wrap type="square"/>
              </v:shape>
            </w:pict>
          </mc:Fallback>
        </mc:AlternateContent>
      </w:r>
    </w:p>
    <w:p w14:paraId="3ABBA9E9">
      <w:pPr>
        <w:rPr>
          <w:color w:val="auto"/>
          <w:highlight w:val="none"/>
        </w:rPr>
      </w:pPr>
      <w:bookmarkStart w:id="67" w:name="_Toc4486079"/>
      <w:bookmarkStart w:id="68" w:name="_Toc4489947"/>
      <w:bookmarkStart w:id="69" w:name="_Toc4340136"/>
      <w:bookmarkStart w:id="70" w:name="_Toc4339798"/>
      <w:bookmarkStart w:id="71" w:name="_Toc3736"/>
      <w:r>
        <w:rPr>
          <w:rFonts w:hint="eastAsia"/>
          <w:color w:val="auto"/>
          <w:highlight w:val="none"/>
        </w:rPr>
        <w:t>注：按提供的格式或使用从工商管理部门购买的格式填写。</w:t>
      </w:r>
      <w:bookmarkEnd w:id="67"/>
      <w:bookmarkEnd w:id="68"/>
      <w:bookmarkEnd w:id="69"/>
      <w:bookmarkEnd w:id="70"/>
      <w:bookmarkEnd w:id="71"/>
    </w:p>
    <w:p w14:paraId="22679142">
      <w:pPr>
        <w:widowControl/>
        <w:topLinePunct/>
        <w:adjustRightInd w:val="0"/>
        <w:snapToGrid w:val="0"/>
        <w:spacing w:after="200"/>
        <w:jc w:val="left"/>
        <w:outlineLvl w:val="2"/>
        <w:rPr>
          <w:rFonts w:ascii="宋体" w:hAnsi="宋体"/>
          <w:color w:val="auto"/>
          <w:spacing w:val="4"/>
          <w:kern w:val="0"/>
          <w:sz w:val="24"/>
          <w:szCs w:val="24"/>
          <w:highlight w:val="none"/>
        </w:rPr>
      </w:pPr>
      <w:r>
        <w:rPr>
          <w:rFonts w:hint="eastAsia" w:ascii="宋体" w:hAnsi="宋体" w:cs="宋体"/>
          <w:color w:val="auto"/>
          <w:szCs w:val="21"/>
          <w:highlight w:val="none"/>
        </w:rPr>
        <w:br w:type="page"/>
      </w:r>
      <w:bookmarkStart w:id="72" w:name="_Toc4489948"/>
      <w:bookmarkStart w:id="73" w:name="_Toc29476916"/>
      <w:bookmarkStart w:id="74" w:name="_Toc62056037"/>
      <w:r>
        <w:rPr>
          <w:rFonts w:hint="eastAsia" w:ascii="宋体" w:hAnsi="宋体" w:eastAsia="宋体" w:cs="Times New Roman"/>
          <w:color w:val="auto"/>
          <w:spacing w:val="4"/>
          <w:kern w:val="0"/>
          <w:sz w:val="24"/>
          <w:szCs w:val="24"/>
          <w:highlight w:val="none"/>
        </w:rPr>
        <w:t>格式</w:t>
      </w:r>
      <w:r>
        <w:rPr>
          <w:rFonts w:hint="eastAsia" w:ascii="宋体" w:hAnsi="宋体" w:eastAsia="宋体" w:cs="Times New Roman"/>
          <w:color w:val="auto"/>
          <w:spacing w:val="4"/>
          <w:kern w:val="0"/>
          <w:sz w:val="24"/>
          <w:szCs w:val="24"/>
          <w:highlight w:val="none"/>
          <w:lang w:val="en-US" w:eastAsia="zh-CN"/>
        </w:rPr>
        <w:t>五</w:t>
      </w:r>
      <w:r>
        <w:rPr>
          <w:rFonts w:hint="eastAsia" w:ascii="宋体" w:hAnsi="宋体" w:eastAsia="宋体" w:cs="Times New Roman"/>
          <w:color w:val="auto"/>
          <w:spacing w:val="4"/>
          <w:kern w:val="0"/>
          <w:sz w:val="24"/>
          <w:szCs w:val="24"/>
          <w:highlight w:val="none"/>
        </w:rPr>
        <w:t>：</w:t>
      </w:r>
      <w:bookmarkEnd w:id="72"/>
      <w:bookmarkEnd w:id="73"/>
      <w:bookmarkEnd w:id="74"/>
      <w:r>
        <w:rPr>
          <w:rFonts w:hint="eastAsia" w:ascii="宋体" w:hAnsi="宋体"/>
          <w:color w:val="auto"/>
          <w:spacing w:val="4"/>
          <w:kern w:val="0"/>
          <w:sz w:val="24"/>
          <w:szCs w:val="24"/>
          <w:highlight w:val="none"/>
        </w:rPr>
        <w:t>投入主要人员汇总表</w:t>
      </w:r>
    </w:p>
    <w:p w14:paraId="09F28793">
      <w:pPr>
        <w:pStyle w:val="103"/>
        <w:rPr>
          <w:rFonts w:ascii="宋体" w:hAnsi="宋体" w:eastAsia="宋体" w:cs="宋体"/>
          <w:b w:val="0"/>
          <w:color w:val="auto"/>
          <w:highlight w:val="none"/>
        </w:rPr>
      </w:pPr>
      <w:r>
        <w:rPr>
          <w:rFonts w:hint="eastAsia" w:ascii="宋体" w:hAnsi="宋体" w:eastAsia="宋体" w:cs="宋体"/>
          <w:b w:val="0"/>
          <w:color w:val="auto"/>
          <w:highlight w:val="none"/>
        </w:rPr>
        <w:t>投入主要人员汇总表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231"/>
        <w:gridCol w:w="874"/>
        <w:gridCol w:w="874"/>
        <w:gridCol w:w="874"/>
        <w:gridCol w:w="874"/>
        <w:gridCol w:w="874"/>
        <w:gridCol w:w="1236"/>
        <w:gridCol w:w="1161"/>
      </w:tblGrid>
      <w:tr w14:paraId="24E9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2DBCE07C">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序号</w:t>
            </w:r>
          </w:p>
        </w:tc>
        <w:tc>
          <w:tcPr>
            <w:tcW w:w="1231" w:type="dxa"/>
            <w:vAlign w:val="center"/>
          </w:tcPr>
          <w:p w14:paraId="501A47B5">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spacing w:val="-6"/>
                <w:highlight w:val="none"/>
              </w:rPr>
              <w:t>在本项目担任的职务</w:t>
            </w:r>
          </w:p>
        </w:tc>
        <w:tc>
          <w:tcPr>
            <w:tcW w:w="874" w:type="dxa"/>
            <w:vAlign w:val="center"/>
          </w:tcPr>
          <w:p w14:paraId="38EA084E">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姓名</w:t>
            </w:r>
          </w:p>
        </w:tc>
        <w:tc>
          <w:tcPr>
            <w:tcW w:w="874" w:type="dxa"/>
            <w:vAlign w:val="center"/>
          </w:tcPr>
          <w:p w14:paraId="5F19EE34">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年龄</w:t>
            </w:r>
          </w:p>
        </w:tc>
        <w:tc>
          <w:tcPr>
            <w:tcW w:w="874" w:type="dxa"/>
            <w:vAlign w:val="center"/>
          </w:tcPr>
          <w:p w14:paraId="15EFCC4A">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职称</w:t>
            </w:r>
          </w:p>
        </w:tc>
        <w:tc>
          <w:tcPr>
            <w:tcW w:w="874" w:type="dxa"/>
            <w:vAlign w:val="center"/>
          </w:tcPr>
          <w:p w14:paraId="428151E7">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专业</w:t>
            </w:r>
          </w:p>
        </w:tc>
        <w:tc>
          <w:tcPr>
            <w:tcW w:w="874" w:type="dxa"/>
            <w:vAlign w:val="center"/>
          </w:tcPr>
          <w:p w14:paraId="530F347D">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从事相关工作年限</w:t>
            </w:r>
          </w:p>
        </w:tc>
        <w:tc>
          <w:tcPr>
            <w:tcW w:w="1236" w:type="dxa"/>
            <w:vAlign w:val="center"/>
          </w:tcPr>
          <w:p w14:paraId="59993137">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工程师注册（或岗位）证号</w:t>
            </w:r>
          </w:p>
        </w:tc>
        <w:tc>
          <w:tcPr>
            <w:tcW w:w="1161" w:type="dxa"/>
            <w:vAlign w:val="center"/>
          </w:tcPr>
          <w:p w14:paraId="2B4B32D4">
            <w:pPr>
              <w:pStyle w:val="101"/>
              <w:keepNext w:val="0"/>
              <w:keepLines w:val="0"/>
              <w:suppressLineNumbers w:val="0"/>
              <w:spacing w:before="0" w:beforeAutospacing="0" w:after="0" w:afterAutospacing="0"/>
              <w:ind w:left="0" w:right="0"/>
              <w:jc w:val="center"/>
              <w:rPr>
                <w:rFonts w:hint="default" w:hAnsi="宋体" w:cs="宋体"/>
                <w:b/>
                <w:color w:val="auto"/>
                <w:highlight w:val="none"/>
              </w:rPr>
            </w:pPr>
            <w:r>
              <w:rPr>
                <w:rFonts w:hint="eastAsia" w:hAnsi="宋体" w:cs="宋体"/>
                <w:b/>
                <w:color w:val="auto"/>
                <w:highlight w:val="none"/>
              </w:rPr>
              <w:t>备注</w:t>
            </w:r>
          </w:p>
        </w:tc>
      </w:tr>
      <w:tr w14:paraId="43BD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49E2203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0B802A88">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9E0A385">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84CFC1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41742DF">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3FDD6D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3744C33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11451E8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6C60C778">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6B42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09BDEA8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4554E2C8">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F724A3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D6FFE0E">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1724587">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48E40B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4631C29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7EF46DF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6470926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5761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57AAC837">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4AF5176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DBA39C6">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9754F48">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967B877">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155780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0BCE00E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746D6AB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49CEF3B0">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446B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2BD33BC2">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6A66D3B7">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045F200">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7E9535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A6736DE">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C74F70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6B07C6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2122B69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72C6F44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6A86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2526289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31D93D35">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3ACA982">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774C4E7">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0442B70">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AFCFF9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D21F1F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55D951F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5CE1292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621E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4AAFF13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2E69B2E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769CF26">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C95D31E">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8709D95">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7406FD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23AA3756">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149C1962">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65213FF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7E44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15A3C46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5F114D46">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33FB11F">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2E0528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AF57CE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AA80542">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9021A48">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37012EE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1C93006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6579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141CE49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1A43B28C">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09E0E2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035B839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682886E8">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9033BFC">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57A8A48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3EB4214C">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047195A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4693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029BFEC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66AD59E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E96417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6B361E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3213D6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BB5E79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19EC9B09">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1713AAC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7090616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55D5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369FB41B">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1902438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1C1395F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577BB96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FE375B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7FBEF98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5F7D6F81">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2D008C64">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7E0E0E2D">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r w14:paraId="2A05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13" w:type="dxa"/>
            <w:vAlign w:val="center"/>
          </w:tcPr>
          <w:p w14:paraId="4764EEB3">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1" w:type="dxa"/>
            <w:vAlign w:val="center"/>
          </w:tcPr>
          <w:p w14:paraId="3362999E">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6690C1C">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2FD0BC5C">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38648EFA">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vAlign w:val="center"/>
          </w:tcPr>
          <w:p w14:paraId="43104EF5">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874" w:type="dxa"/>
          </w:tcPr>
          <w:p w14:paraId="450DF8A6">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236" w:type="dxa"/>
            <w:vAlign w:val="center"/>
          </w:tcPr>
          <w:p w14:paraId="0E7CEFE7">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c>
          <w:tcPr>
            <w:tcW w:w="1161" w:type="dxa"/>
          </w:tcPr>
          <w:p w14:paraId="1D5DB7AF">
            <w:pPr>
              <w:pStyle w:val="56"/>
              <w:keepNext w:val="0"/>
              <w:keepLines w:val="0"/>
              <w:suppressLineNumbers w:val="0"/>
              <w:spacing w:before="0" w:beforeAutospacing="0" w:after="0" w:afterAutospacing="0"/>
              <w:ind w:left="0" w:right="0" w:firstLine="496"/>
              <w:rPr>
                <w:rFonts w:hint="default" w:ascii="宋体" w:hAnsi="宋体" w:cs="宋体"/>
                <w:snapToGrid w:val="0"/>
                <w:color w:val="auto"/>
                <w:kern w:val="2"/>
                <w:highlight w:val="none"/>
              </w:rPr>
            </w:pPr>
          </w:p>
        </w:tc>
      </w:tr>
    </w:tbl>
    <w:p w14:paraId="197B381F">
      <w:pPr>
        <w:pStyle w:val="56"/>
        <w:spacing w:line="400" w:lineRule="exact"/>
        <w:ind w:firstLine="496"/>
        <w:rPr>
          <w:rFonts w:ascii="宋体" w:hAnsi="宋体" w:cs="宋体"/>
          <w:color w:val="auto"/>
          <w:highlight w:val="none"/>
        </w:rPr>
      </w:pPr>
    </w:p>
    <w:p w14:paraId="2EC19717">
      <w:pPr>
        <w:spacing w:line="480" w:lineRule="auto"/>
        <w:ind w:right="420" w:firstLine="3596" w:firstLineChars="1450"/>
        <w:rPr>
          <w:rFonts w:hint="eastAsia" w:ascii="宋体" w:hAnsi="宋体" w:cs="Times New Roman"/>
          <w:color w:val="auto"/>
          <w:spacing w:val="4"/>
          <w:kern w:val="0"/>
          <w:sz w:val="24"/>
          <w:szCs w:val="24"/>
          <w:highlight w:val="none"/>
        </w:rPr>
      </w:pPr>
      <w:r>
        <w:rPr>
          <w:rFonts w:hint="eastAsia" w:ascii="宋体" w:hAnsi="宋体" w:cs="Times New Roman"/>
          <w:color w:val="auto"/>
          <w:spacing w:val="4"/>
          <w:kern w:val="0"/>
          <w:sz w:val="24"/>
          <w:szCs w:val="24"/>
          <w:highlight w:val="none"/>
        </w:rPr>
        <w:t>投标人：　　</w:t>
      </w:r>
    </w:p>
    <w:p w14:paraId="38391845">
      <w:pPr>
        <w:spacing w:line="480" w:lineRule="auto"/>
        <w:ind w:right="420" w:firstLine="3596" w:firstLineChars="1450"/>
        <w:rPr>
          <w:rFonts w:hint="eastAsia" w:ascii="宋体" w:hAnsi="宋体" w:cs="Times New Roman"/>
          <w:color w:val="auto"/>
          <w:spacing w:val="4"/>
          <w:kern w:val="0"/>
          <w:sz w:val="24"/>
          <w:szCs w:val="24"/>
          <w:highlight w:val="none"/>
        </w:rPr>
      </w:pPr>
      <w:r>
        <w:rPr>
          <w:rFonts w:hint="eastAsia" w:ascii="宋体" w:hAnsi="宋体" w:cs="Times New Roman"/>
          <w:color w:val="auto"/>
          <w:spacing w:val="4"/>
          <w:kern w:val="0"/>
          <w:sz w:val="24"/>
          <w:szCs w:val="24"/>
          <w:highlight w:val="none"/>
        </w:rPr>
        <w:t>日   期：    年    月    日</w:t>
      </w:r>
    </w:p>
    <w:p w14:paraId="5A359A5E">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p>
    <w:p w14:paraId="7240B335">
      <w:pPr>
        <w:widowControl/>
        <w:topLinePunct/>
        <w:adjustRightInd w:val="0"/>
        <w:snapToGrid w:val="0"/>
        <w:spacing w:after="200"/>
        <w:jc w:val="left"/>
        <w:outlineLvl w:val="2"/>
        <w:rPr>
          <w:rFonts w:ascii="宋体" w:hAnsi="宋体"/>
          <w:color w:val="auto"/>
          <w:spacing w:val="4"/>
          <w:kern w:val="0"/>
          <w:sz w:val="24"/>
          <w:szCs w:val="24"/>
          <w:highlight w:val="none"/>
        </w:rPr>
      </w:pPr>
      <w:bookmarkStart w:id="75" w:name="_Toc4489950"/>
      <w:bookmarkStart w:id="76" w:name="_Toc62056040"/>
      <w:bookmarkStart w:id="77" w:name="_Toc29476918"/>
      <w:r>
        <w:rPr>
          <w:rFonts w:hint="eastAsia" w:ascii="宋体" w:hAnsi="宋体"/>
          <w:color w:val="auto"/>
          <w:spacing w:val="4"/>
          <w:kern w:val="0"/>
          <w:sz w:val="24"/>
          <w:szCs w:val="24"/>
          <w:highlight w:val="none"/>
        </w:rPr>
        <w:br w:type="page"/>
      </w:r>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六</w:t>
      </w:r>
      <w:r>
        <w:rPr>
          <w:rFonts w:hint="eastAsia" w:ascii="宋体" w:hAnsi="宋体"/>
          <w:color w:val="auto"/>
          <w:spacing w:val="4"/>
          <w:kern w:val="0"/>
          <w:sz w:val="24"/>
          <w:szCs w:val="24"/>
          <w:highlight w:val="none"/>
        </w:rPr>
        <w:t>：</w:t>
      </w:r>
      <w:bookmarkEnd w:id="75"/>
      <w:r>
        <w:rPr>
          <w:rFonts w:hint="eastAsia" w:ascii="宋体" w:hAnsi="宋体"/>
          <w:color w:val="auto"/>
          <w:spacing w:val="4"/>
          <w:kern w:val="0"/>
          <w:sz w:val="24"/>
          <w:szCs w:val="24"/>
          <w:highlight w:val="none"/>
        </w:rPr>
        <w:t>主要人员简历表</w:t>
      </w:r>
      <w:bookmarkEnd w:id="76"/>
      <w:bookmarkEnd w:id="77"/>
    </w:p>
    <w:p w14:paraId="35FFAEC3">
      <w:pPr>
        <w:widowControl/>
        <w:topLinePunct/>
        <w:adjustRightInd w:val="0"/>
        <w:snapToGrid w:val="0"/>
        <w:spacing w:after="200" w:line="360" w:lineRule="auto"/>
        <w:jc w:val="center"/>
        <w:rPr>
          <w:rFonts w:ascii="宋体" w:hAnsi="宋体"/>
          <w:b/>
          <w:color w:val="auto"/>
          <w:spacing w:val="4"/>
          <w:kern w:val="0"/>
          <w:sz w:val="36"/>
          <w:szCs w:val="36"/>
          <w:highlight w:val="none"/>
        </w:rPr>
      </w:pPr>
      <w:r>
        <w:rPr>
          <w:rFonts w:hint="eastAsia" w:ascii="宋体" w:hAnsi="宋体"/>
          <w:b/>
          <w:color w:val="auto"/>
          <w:spacing w:val="4"/>
          <w:kern w:val="0"/>
          <w:sz w:val="36"/>
          <w:szCs w:val="36"/>
          <w:highlight w:val="none"/>
        </w:rPr>
        <w:t>主要人员简历表</w:t>
      </w:r>
    </w:p>
    <w:tbl>
      <w:tblPr>
        <w:tblStyle w:val="39"/>
        <w:tblpPr w:leftFromText="180" w:rightFromText="180" w:vertAnchor="text" w:tblpX="-206" w:tblpY="76"/>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14:paraId="225D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526" w:type="dxa"/>
            <w:vAlign w:val="center"/>
          </w:tcPr>
          <w:p w14:paraId="5D138601">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姓名</w:t>
            </w:r>
          </w:p>
        </w:tc>
        <w:tc>
          <w:tcPr>
            <w:tcW w:w="2126" w:type="dxa"/>
            <w:gridSpan w:val="3"/>
            <w:vAlign w:val="center"/>
          </w:tcPr>
          <w:p w14:paraId="35953E3D">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370" w:type="dxa"/>
            <w:gridSpan w:val="2"/>
            <w:vAlign w:val="center"/>
          </w:tcPr>
          <w:p w14:paraId="41427CFA">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性别</w:t>
            </w:r>
          </w:p>
        </w:tc>
        <w:tc>
          <w:tcPr>
            <w:tcW w:w="1701" w:type="dxa"/>
            <w:gridSpan w:val="2"/>
            <w:vAlign w:val="center"/>
          </w:tcPr>
          <w:p w14:paraId="2ED0BF76">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182" w:type="dxa"/>
            <w:vAlign w:val="center"/>
          </w:tcPr>
          <w:p w14:paraId="3D240232">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年龄</w:t>
            </w:r>
          </w:p>
        </w:tc>
        <w:tc>
          <w:tcPr>
            <w:tcW w:w="1620" w:type="dxa"/>
            <w:gridSpan w:val="2"/>
            <w:vAlign w:val="center"/>
          </w:tcPr>
          <w:p w14:paraId="5882BBB4">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r>
      <w:tr w14:paraId="759C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vAlign w:val="center"/>
          </w:tcPr>
          <w:p w14:paraId="6CB18221">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default" w:ascii="宋体" w:hAnsi="宋体"/>
                <w:b/>
                <w:bCs/>
                <w:color w:val="auto"/>
                <w:kern w:val="0"/>
                <w:sz w:val="22"/>
                <w:szCs w:val="21"/>
                <w:highlight w:val="none"/>
                <w:lang w:eastAsia="en-US" w:bidi="en-US"/>
              </w:rPr>
              <w:t>身份证号码</w:t>
            </w:r>
          </w:p>
        </w:tc>
        <w:tc>
          <w:tcPr>
            <w:tcW w:w="7999" w:type="dxa"/>
            <w:gridSpan w:val="10"/>
            <w:vAlign w:val="center"/>
          </w:tcPr>
          <w:p w14:paraId="109940ED">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r>
      <w:tr w14:paraId="4E8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26" w:type="dxa"/>
            <w:vAlign w:val="center"/>
          </w:tcPr>
          <w:p w14:paraId="710C6CCC">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职务</w:t>
            </w:r>
          </w:p>
        </w:tc>
        <w:tc>
          <w:tcPr>
            <w:tcW w:w="2126" w:type="dxa"/>
            <w:gridSpan w:val="3"/>
            <w:vAlign w:val="center"/>
          </w:tcPr>
          <w:p w14:paraId="2DC1B32F">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370" w:type="dxa"/>
            <w:gridSpan w:val="2"/>
            <w:vAlign w:val="center"/>
          </w:tcPr>
          <w:p w14:paraId="01876062">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职称</w:t>
            </w:r>
          </w:p>
        </w:tc>
        <w:tc>
          <w:tcPr>
            <w:tcW w:w="1701" w:type="dxa"/>
            <w:gridSpan w:val="2"/>
            <w:vAlign w:val="center"/>
          </w:tcPr>
          <w:p w14:paraId="7C90D44B">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182" w:type="dxa"/>
            <w:vAlign w:val="center"/>
          </w:tcPr>
          <w:p w14:paraId="1591771D">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学历</w:t>
            </w:r>
          </w:p>
        </w:tc>
        <w:tc>
          <w:tcPr>
            <w:tcW w:w="1620" w:type="dxa"/>
            <w:gridSpan w:val="2"/>
            <w:vAlign w:val="center"/>
          </w:tcPr>
          <w:p w14:paraId="72507992">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r>
      <w:tr w14:paraId="4AC4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526" w:type="dxa"/>
            <w:vAlign w:val="center"/>
          </w:tcPr>
          <w:p w14:paraId="7A62D5FC">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参加工作</w:t>
            </w:r>
          </w:p>
          <w:p w14:paraId="56031EB2">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时间</w:t>
            </w:r>
          </w:p>
        </w:tc>
        <w:tc>
          <w:tcPr>
            <w:tcW w:w="2126" w:type="dxa"/>
            <w:gridSpan w:val="3"/>
            <w:vAlign w:val="center"/>
          </w:tcPr>
          <w:p w14:paraId="7AFA7C38">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c>
          <w:tcPr>
            <w:tcW w:w="1370" w:type="dxa"/>
            <w:gridSpan w:val="2"/>
            <w:vAlign w:val="center"/>
          </w:tcPr>
          <w:p w14:paraId="0F353B3A">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担任相应职务年限</w:t>
            </w:r>
          </w:p>
        </w:tc>
        <w:tc>
          <w:tcPr>
            <w:tcW w:w="4503" w:type="dxa"/>
            <w:gridSpan w:val="5"/>
            <w:vAlign w:val="center"/>
          </w:tcPr>
          <w:p w14:paraId="1D58F383">
            <w:pPr>
              <w:keepNext/>
              <w:keepLines/>
              <w:widowControl/>
              <w:suppressLineNumbers w:val="0"/>
              <w:spacing w:before="120" w:beforeAutospacing="0" w:after="120" w:afterAutospacing="0" w:line="276" w:lineRule="auto"/>
              <w:ind w:left="0" w:right="0"/>
              <w:jc w:val="center"/>
              <w:outlineLvl w:val="0"/>
              <w:rPr>
                <w:rFonts w:hint="default" w:ascii="宋体" w:hAnsi="宋体"/>
                <w:b/>
                <w:color w:val="auto"/>
                <w:kern w:val="0"/>
                <w:sz w:val="24"/>
                <w:szCs w:val="24"/>
                <w:highlight w:val="none"/>
                <w:lang w:eastAsia="en-US" w:bidi="en-US"/>
              </w:rPr>
            </w:pPr>
          </w:p>
        </w:tc>
      </w:tr>
      <w:tr w14:paraId="0043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526" w:type="dxa"/>
            <w:vAlign w:val="center"/>
          </w:tcPr>
          <w:p w14:paraId="67556E12">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资</w:t>
            </w:r>
            <w:bookmarkStart w:id="78" w:name="_Toc449308427"/>
            <w:bookmarkStart w:id="79" w:name="_Toc358370585"/>
            <w:bookmarkStart w:id="80" w:name="_Toc395261106"/>
            <w:bookmarkStart w:id="81" w:name="_Toc226209010"/>
            <w:bookmarkStart w:id="82" w:name="_Toc369536777"/>
            <w:bookmarkStart w:id="83" w:name="_Toc318924502"/>
            <w:bookmarkStart w:id="84" w:name="_Toc352623428"/>
            <w:bookmarkStart w:id="85" w:name="_Toc352240530"/>
            <w:bookmarkStart w:id="86" w:name="_Toc239216038"/>
            <w:bookmarkStart w:id="87" w:name="_Toc163337627"/>
            <w:bookmarkStart w:id="88" w:name="_Toc239311753"/>
            <w:bookmarkStart w:id="89" w:name="_Toc337720098"/>
            <w:r>
              <w:rPr>
                <w:rFonts w:hint="eastAsia" w:ascii="宋体" w:hAnsi="宋体"/>
                <w:b/>
                <w:color w:val="auto"/>
                <w:kern w:val="0"/>
                <w:sz w:val="24"/>
                <w:szCs w:val="24"/>
                <w:highlight w:val="none"/>
                <w:lang w:eastAsia="en-US" w:bidi="en-US"/>
              </w:rPr>
              <w:t>格证书号</w:t>
            </w:r>
          </w:p>
        </w:tc>
        <w:tc>
          <w:tcPr>
            <w:tcW w:w="7999" w:type="dxa"/>
            <w:gridSpan w:val="10"/>
            <w:vAlign w:val="center"/>
          </w:tcPr>
          <w:p w14:paraId="14E16B85">
            <w:pPr>
              <w:keepNext/>
              <w:keepLines/>
              <w:widowControl/>
              <w:suppressLineNumbers w:val="0"/>
              <w:topLinePunct/>
              <w:adjustRightInd w:val="0"/>
              <w:snapToGrid w:val="0"/>
              <w:spacing w:before="120" w:beforeAutospacing="0" w:after="120" w:afterAutospacing="0" w:line="360" w:lineRule="auto"/>
              <w:ind w:left="0" w:right="0"/>
              <w:jc w:val="center"/>
              <w:outlineLvl w:val="0"/>
              <w:rPr>
                <w:rFonts w:hint="default" w:ascii="宋体" w:hAnsi="宋体" w:eastAsia="等线"/>
                <w:b/>
                <w:snapToGrid w:val="0"/>
                <w:color w:val="auto"/>
                <w:spacing w:val="4"/>
                <w:sz w:val="24"/>
                <w:szCs w:val="24"/>
                <w:highlight w:val="none"/>
                <w:lang w:bidi="en-US"/>
              </w:rPr>
            </w:pPr>
          </w:p>
        </w:tc>
      </w:tr>
      <w:tr w14:paraId="38CA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25" w:type="dxa"/>
            <w:gridSpan w:val="11"/>
            <w:vAlign w:val="center"/>
          </w:tcPr>
          <w:p w14:paraId="1AF53826">
            <w:pPr>
              <w:keepNext w:val="0"/>
              <w:keepLines w:val="0"/>
              <w:widowControl/>
              <w:suppressLineNumbers w:val="0"/>
              <w:topLinePunct/>
              <w:adjustRightInd w:val="0"/>
              <w:snapToGrid w:val="0"/>
              <w:spacing w:before="240" w:beforeAutospacing="0" w:after="200" w:afterAutospacing="0"/>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业绩简介</w:t>
            </w:r>
          </w:p>
        </w:tc>
      </w:tr>
      <w:tr w14:paraId="1897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548" w:type="dxa"/>
            <w:gridSpan w:val="2"/>
            <w:vAlign w:val="center"/>
          </w:tcPr>
          <w:p w14:paraId="48A03D13">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建设单位</w:t>
            </w:r>
            <w:bookmarkEnd w:id="78"/>
            <w:bookmarkEnd w:id="79"/>
            <w:bookmarkEnd w:id="80"/>
            <w:bookmarkEnd w:id="81"/>
            <w:bookmarkEnd w:id="82"/>
            <w:bookmarkEnd w:id="83"/>
            <w:bookmarkEnd w:id="84"/>
            <w:bookmarkEnd w:id="85"/>
            <w:bookmarkEnd w:id="86"/>
            <w:bookmarkEnd w:id="87"/>
            <w:bookmarkEnd w:id="88"/>
            <w:bookmarkEnd w:id="89"/>
          </w:p>
        </w:tc>
        <w:tc>
          <w:tcPr>
            <w:tcW w:w="1547" w:type="dxa"/>
            <w:vAlign w:val="center"/>
          </w:tcPr>
          <w:p w14:paraId="3CE6B68D">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项目名称</w:t>
            </w:r>
          </w:p>
        </w:tc>
        <w:tc>
          <w:tcPr>
            <w:tcW w:w="1549" w:type="dxa"/>
            <w:gridSpan w:val="2"/>
            <w:vAlign w:val="center"/>
          </w:tcPr>
          <w:p w14:paraId="6F2E12C4">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建设规模</w:t>
            </w:r>
          </w:p>
        </w:tc>
        <w:tc>
          <w:tcPr>
            <w:tcW w:w="1783" w:type="dxa"/>
            <w:gridSpan w:val="2"/>
            <w:vAlign w:val="center"/>
          </w:tcPr>
          <w:p w14:paraId="40805D03">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开、竣工日期</w:t>
            </w:r>
          </w:p>
        </w:tc>
        <w:tc>
          <w:tcPr>
            <w:tcW w:w="1547" w:type="dxa"/>
            <w:gridSpan w:val="3"/>
            <w:vAlign w:val="center"/>
          </w:tcPr>
          <w:p w14:paraId="0268FA17">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在建或已完</w:t>
            </w:r>
          </w:p>
        </w:tc>
        <w:tc>
          <w:tcPr>
            <w:tcW w:w="1551" w:type="dxa"/>
            <w:vAlign w:val="center"/>
          </w:tcPr>
          <w:p w14:paraId="6D24B2EC">
            <w:pPr>
              <w:keepNext w:val="0"/>
              <w:keepLines w:val="0"/>
              <w:widowControl/>
              <w:suppressLineNumbers w:val="0"/>
              <w:spacing w:before="0" w:beforeAutospacing="0" w:after="200" w:afterAutospacing="0" w:line="276" w:lineRule="auto"/>
              <w:ind w:left="0" w:right="0"/>
              <w:jc w:val="center"/>
              <w:rPr>
                <w:rFonts w:hint="default" w:ascii="宋体" w:hAnsi="宋体"/>
                <w:b/>
                <w:color w:val="auto"/>
                <w:kern w:val="0"/>
                <w:sz w:val="24"/>
                <w:szCs w:val="24"/>
                <w:highlight w:val="none"/>
                <w:lang w:eastAsia="en-US" w:bidi="en-US"/>
              </w:rPr>
            </w:pPr>
            <w:r>
              <w:rPr>
                <w:rFonts w:hint="eastAsia" w:ascii="宋体" w:hAnsi="宋体"/>
                <w:b/>
                <w:color w:val="auto"/>
                <w:kern w:val="0"/>
                <w:sz w:val="24"/>
                <w:szCs w:val="24"/>
                <w:highlight w:val="none"/>
                <w:lang w:eastAsia="en-US" w:bidi="en-US"/>
              </w:rPr>
              <w:t>工程质量</w:t>
            </w:r>
          </w:p>
        </w:tc>
      </w:tr>
      <w:tr w14:paraId="2DD9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48" w:type="dxa"/>
            <w:gridSpan w:val="2"/>
            <w:vAlign w:val="center"/>
          </w:tcPr>
          <w:p w14:paraId="39221D12">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47" w:type="dxa"/>
            <w:vAlign w:val="center"/>
          </w:tcPr>
          <w:p w14:paraId="07755A69">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49" w:type="dxa"/>
            <w:gridSpan w:val="2"/>
            <w:vAlign w:val="center"/>
          </w:tcPr>
          <w:p w14:paraId="4693D140">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783" w:type="dxa"/>
            <w:gridSpan w:val="2"/>
            <w:vAlign w:val="center"/>
          </w:tcPr>
          <w:p w14:paraId="224A479F">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47" w:type="dxa"/>
            <w:gridSpan w:val="3"/>
            <w:vAlign w:val="center"/>
          </w:tcPr>
          <w:p w14:paraId="32C2C364">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c>
          <w:tcPr>
            <w:tcW w:w="1551" w:type="dxa"/>
            <w:vAlign w:val="center"/>
          </w:tcPr>
          <w:p w14:paraId="6DD6EDA7">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b/>
                <w:snapToGrid w:val="0"/>
                <w:color w:val="auto"/>
                <w:spacing w:val="4"/>
                <w:sz w:val="24"/>
                <w:szCs w:val="24"/>
                <w:highlight w:val="none"/>
                <w:lang w:bidi="en-US"/>
              </w:rPr>
            </w:pPr>
          </w:p>
        </w:tc>
      </w:tr>
      <w:tr w14:paraId="15B8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48" w:type="dxa"/>
            <w:gridSpan w:val="2"/>
            <w:vAlign w:val="center"/>
          </w:tcPr>
          <w:p w14:paraId="1B309E86">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47" w:type="dxa"/>
            <w:vAlign w:val="center"/>
          </w:tcPr>
          <w:p w14:paraId="29007995">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49" w:type="dxa"/>
            <w:gridSpan w:val="2"/>
            <w:vAlign w:val="center"/>
          </w:tcPr>
          <w:p w14:paraId="1F98ADCB">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783" w:type="dxa"/>
            <w:gridSpan w:val="2"/>
            <w:vAlign w:val="center"/>
          </w:tcPr>
          <w:p w14:paraId="486BFF5D">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47" w:type="dxa"/>
            <w:gridSpan w:val="3"/>
            <w:vAlign w:val="center"/>
          </w:tcPr>
          <w:p w14:paraId="46028680">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c>
          <w:tcPr>
            <w:tcW w:w="1551" w:type="dxa"/>
            <w:vAlign w:val="center"/>
          </w:tcPr>
          <w:p w14:paraId="34C5FC2A">
            <w:pPr>
              <w:keepNext w:val="0"/>
              <w:keepLines w:val="0"/>
              <w:widowControl/>
              <w:suppressLineNumbers w:val="0"/>
              <w:topLinePunct/>
              <w:adjustRightInd w:val="0"/>
              <w:snapToGrid w:val="0"/>
              <w:spacing w:before="0" w:beforeAutospacing="0" w:after="200" w:afterAutospacing="0" w:line="360" w:lineRule="auto"/>
              <w:ind w:left="0" w:right="0"/>
              <w:jc w:val="center"/>
              <w:rPr>
                <w:rFonts w:hint="default" w:ascii="宋体" w:hAnsi="宋体" w:eastAsia="等线"/>
                <w:snapToGrid w:val="0"/>
                <w:color w:val="auto"/>
                <w:spacing w:val="4"/>
                <w:sz w:val="24"/>
                <w:szCs w:val="24"/>
                <w:highlight w:val="none"/>
                <w:lang w:bidi="en-US"/>
              </w:rPr>
            </w:pPr>
          </w:p>
        </w:tc>
      </w:tr>
    </w:tbl>
    <w:p w14:paraId="01413C50">
      <w:pPr>
        <w:ind w:firstLine="551" w:firstLineChars="196"/>
        <w:rPr>
          <w:rFonts w:ascii="仿宋" w:hAnsi="仿宋" w:eastAsia="仿宋"/>
          <w:b/>
          <w:bCs/>
          <w:color w:val="auto"/>
          <w:sz w:val="28"/>
          <w:szCs w:val="28"/>
          <w:highlight w:val="none"/>
        </w:rPr>
      </w:pPr>
    </w:p>
    <w:p w14:paraId="39F38B34">
      <w:pPr>
        <w:widowControl/>
        <w:topLinePunct/>
        <w:adjustRightInd w:val="0"/>
        <w:snapToGrid w:val="0"/>
        <w:spacing w:after="200" w:line="360" w:lineRule="auto"/>
        <w:ind w:firstLine="198" w:firstLineChars="80"/>
        <w:jc w:val="left"/>
        <w:rPr>
          <w:rFonts w:ascii="宋体" w:hAnsi="宋体"/>
          <w:color w:val="auto"/>
          <w:spacing w:val="4"/>
          <w:kern w:val="0"/>
          <w:sz w:val="24"/>
          <w:szCs w:val="24"/>
          <w:highlight w:val="none"/>
        </w:rPr>
      </w:pPr>
    </w:p>
    <w:p w14:paraId="527B285F">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1A7DDB02">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15E1341D">
      <w:pPr>
        <w:widowControl/>
        <w:topLinePunct/>
        <w:adjustRightInd w:val="0"/>
        <w:snapToGrid w:val="0"/>
        <w:spacing w:after="200" w:line="240" w:lineRule="auto"/>
        <w:jc w:val="left"/>
        <w:outlineLvl w:val="2"/>
        <w:rPr>
          <w:rFonts w:hint="eastAsia" w:ascii="宋体" w:hAnsi="宋体" w:cs="Times New Roman"/>
          <w:b w:val="0"/>
          <w:bCs w:val="0"/>
          <w:color w:val="auto"/>
          <w:spacing w:val="4"/>
          <w:kern w:val="0"/>
          <w:sz w:val="24"/>
          <w:szCs w:val="24"/>
          <w:highlight w:val="none"/>
        </w:rPr>
      </w:pPr>
      <w:r>
        <w:rPr>
          <w:rFonts w:hint="eastAsia" w:ascii="宋体" w:hAnsi="宋体" w:cs="宋体"/>
          <w:color w:val="auto"/>
          <w:szCs w:val="21"/>
          <w:highlight w:val="none"/>
        </w:rPr>
        <w:br w:type="page"/>
      </w:r>
      <w:bookmarkStart w:id="90" w:name="_Toc12738"/>
      <w:r>
        <w:rPr>
          <w:rFonts w:hint="eastAsia" w:ascii="宋体" w:hAnsi="宋体"/>
          <w:color w:val="auto"/>
          <w:spacing w:val="4"/>
          <w:kern w:val="0"/>
          <w:sz w:val="24"/>
          <w:szCs w:val="24"/>
          <w:highlight w:val="none"/>
        </w:rPr>
        <w:t>格式</w:t>
      </w:r>
      <w:r>
        <w:rPr>
          <w:rFonts w:hint="eastAsia" w:ascii="宋体" w:hAnsi="宋体"/>
          <w:color w:val="auto"/>
          <w:spacing w:val="4"/>
          <w:kern w:val="0"/>
          <w:sz w:val="24"/>
          <w:szCs w:val="24"/>
          <w:highlight w:val="none"/>
          <w:lang w:val="en-US" w:eastAsia="zh-CN"/>
        </w:rPr>
        <w:t>七</w:t>
      </w:r>
      <w:r>
        <w:rPr>
          <w:rFonts w:hint="eastAsia" w:ascii="宋体" w:hAnsi="宋体"/>
          <w:color w:val="auto"/>
          <w:spacing w:val="4"/>
          <w:kern w:val="0"/>
          <w:sz w:val="24"/>
          <w:szCs w:val="24"/>
          <w:highlight w:val="none"/>
        </w:rPr>
        <w:t>：</w:t>
      </w:r>
      <w:bookmarkEnd w:id="90"/>
      <w:r>
        <w:rPr>
          <w:rFonts w:hint="eastAsia" w:ascii="宋体" w:hAnsi="宋体" w:cs="Times New Roman"/>
          <w:b w:val="0"/>
          <w:bCs w:val="0"/>
          <w:color w:val="auto"/>
          <w:spacing w:val="4"/>
          <w:kern w:val="0"/>
          <w:sz w:val="24"/>
          <w:szCs w:val="24"/>
          <w:highlight w:val="none"/>
        </w:rPr>
        <w:t>类似业绩一览表</w:t>
      </w:r>
    </w:p>
    <w:p w14:paraId="4959F4F1">
      <w:pPr>
        <w:widowControl/>
        <w:topLinePunct/>
        <w:adjustRightInd w:val="0"/>
        <w:snapToGrid w:val="0"/>
        <w:spacing w:after="200" w:line="360" w:lineRule="auto"/>
        <w:jc w:val="center"/>
        <w:rPr>
          <w:rFonts w:hint="eastAsia" w:ascii="宋体" w:hAnsi="宋体" w:eastAsia="宋体" w:cs="Times New Roman"/>
          <w:b/>
          <w:bCs w:val="0"/>
          <w:color w:val="auto"/>
          <w:spacing w:val="4"/>
          <w:kern w:val="0"/>
          <w:sz w:val="32"/>
          <w:szCs w:val="32"/>
          <w:highlight w:val="none"/>
          <w:lang w:val="en-US" w:eastAsia="zh-CN"/>
        </w:rPr>
      </w:pPr>
      <w:r>
        <w:rPr>
          <w:rFonts w:hint="eastAsia" w:ascii="宋体" w:hAnsi="宋体" w:eastAsia="宋体" w:cs="Times New Roman"/>
          <w:b/>
          <w:bCs w:val="0"/>
          <w:color w:val="auto"/>
          <w:spacing w:val="4"/>
          <w:kern w:val="0"/>
          <w:sz w:val="32"/>
          <w:szCs w:val="32"/>
          <w:highlight w:val="none"/>
          <w:lang w:val="en-US" w:eastAsia="zh-CN"/>
        </w:rPr>
        <w:t>类似业绩一览表</w:t>
      </w:r>
    </w:p>
    <w:p w14:paraId="338A7EC5">
      <w:pPr>
        <w:tabs>
          <w:tab w:val="left" w:pos="720"/>
        </w:tabs>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广州国际文化中心项目10KV备用回路工程施工专业承包</w:t>
      </w:r>
    </w:p>
    <w:tbl>
      <w:tblPr>
        <w:tblStyle w:val="39"/>
        <w:tblW w:w="5066"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398"/>
        <w:gridCol w:w="2424"/>
        <w:gridCol w:w="2424"/>
      </w:tblGrid>
      <w:tr w14:paraId="5D2D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82" w:type="dxa"/>
            <w:vAlign w:val="center"/>
          </w:tcPr>
          <w:p w14:paraId="31C6AD65">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2398" w:type="dxa"/>
            <w:vAlign w:val="center"/>
          </w:tcPr>
          <w:p w14:paraId="30F72C3C">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2424" w:type="dxa"/>
            <w:vAlign w:val="center"/>
          </w:tcPr>
          <w:p w14:paraId="579BC084">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合同总价（万元）</w:t>
            </w:r>
          </w:p>
        </w:tc>
        <w:tc>
          <w:tcPr>
            <w:tcW w:w="2424" w:type="dxa"/>
            <w:vAlign w:val="center"/>
          </w:tcPr>
          <w:p w14:paraId="65DA73E4">
            <w:pPr>
              <w:keepNext w:val="0"/>
              <w:keepLines w:val="0"/>
              <w:suppressLineNumbers w:val="0"/>
              <w:tabs>
                <w:tab w:val="left" w:pos="720"/>
              </w:tabs>
              <w:snapToGrid w:val="0"/>
              <w:spacing w:before="0" w:beforeAutospacing="0" w:after="0" w:afterAutospacing="0"/>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完成时间</w:t>
            </w:r>
          </w:p>
        </w:tc>
      </w:tr>
      <w:tr w14:paraId="0FC4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36C11F8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0AE8541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5B0947F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7FFDD184">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780B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1382" w:type="dxa"/>
          </w:tcPr>
          <w:p w14:paraId="4A82131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0B02838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5164DCC0">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1B6984F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0B54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1382" w:type="dxa"/>
          </w:tcPr>
          <w:p w14:paraId="099ACEF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398" w:type="dxa"/>
          </w:tcPr>
          <w:p w14:paraId="4B06A9D7">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2FAF97EB">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2424" w:type="dxa"/>
          </w:tcPr>
          <w:p w14:paraId="4001D4CE">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3DFED2CA">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注：按技术标详细审查的评审要求提供，如无符合要求类似业绩的，在项目栏中填写“无”。</w:t>
      </w:r>
    </w:p>
    <w:p w14:paraId="2DB7524D">
      <w:pPr>
        <w:widowControl/>
        <w:topLinePunct/>
        <w:adjustRightInd w:val="0"/>
        <w:snapToGrid w:val="0"/>
        <w:spacing w:after="200" w:line="360" w:lineRule="auto"/>
        <w:ind w:firstLine="3596" w:firstLineChars="1450"/>
        <w:jc w:val="left"/>
        <w:rPr>
          <w:rFonts w:hint="eastAsia" w:ascii="宋体" w:hAnsi="宋体"/>
          <w:color w:val="auto"/>
          <w:spacing w:val="4"/>
          <w:kern w:val="0"/>
          <w:sz w:val="24"/>
          <w:szCs w:val="24"/>
          <w:highlight w:val="none"/>
        </w:rPr>
      </w:pPr>
    </w:p>
    <w:p w14:paraId="03AAB518">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5DD9C162">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78905F49">
      <w:pPr>
        <w:widowControl/>
        <w:topLinePunct/>
        <w:adjustRightInd w:val="0"/>
        <w:snapToGrid w:val="0"/>
        <w:spacing w:after="200" w:line="240" w:lineRule="auto"/>
        <w:jc w:val="left"/>
        <w:outlineLvl w:val="2"/>
        <w:rPr>
          <w:rFonts w:hint="eastAsia" w:ascii="宋体" w:hAnsi="宋体" w:cs="宋体"/>
          <w:b/>
          <w:bCs/>
          <w:color w:val="auto"/>
          <w:sz w:val="24"/>
          <w:szCs w:val="24"/>
          <w:highlight w:val="none"/>
        </w:rPr>
      </w:pPr>
      <w:r>
        <w:rPr>
          <w:rFonts w:hint="eastAsia" w:ascii="宋体" w:hAnsi="宋体" w:cs="Times New Roman"/>
          <w:b/>
          <w:bCs w:val="0"/>
          <w:color w:val="auto"/>
          <w:spacing w:val="4"/>
          <w:kern w:val="0"/>
          <w:sz w:val="36"/>
          <w:szCs w:val="36"/>
          <w:highlight w:val="none"/>
          <w:lang w:val="en-US" w:eastAsia="zh-CN"/>
        </w:rPr>
        <w:br w:type="page"/>
      </w:r>
      <w:r>
        <w:rPr>
          <w:rFonts w:hint="eastAsia" w:ascii="宋体" w:hAnsi="宋体" w:cs="Times New Roman"/>
          <w:b w:val="0"/>
          <w:bCs w:val="0"/>
          <w:color w:val="auto"/>
          <w:spacing w:val="4"/>
          <w:kern w:val="0"/>
          <w:sz w:val="24"/>
          <w:szCs w:val="24"/>
          <w:highlight w:val="none"/>
        </w:rPr>
        <w:t>格式</w:t>
      </w:r>
      <w:r>
        <w:rPr>
          <w:rFonts w:hint="eastAsia" w:ascii="宋体" w:hAnsi="宋体" w:cs="Times New Roman"/>
          <w:b w:val="0"/>
          <w:bCs w:val="0"/>
          <w:color w:val="auto"/>
          <w:spacing w:val="4"/>
          <w:kern w:val="0"/>
          <w:sz w:val="24"/>
          <w:szCs w:val="24"/>
          <w:highlight w:val="none"/>
          <w:lang w:val="en-US" w:eastAsia="zh-CN"/>
        </w:rPr>
        <w:t>八</w:t>
      </w:r>
      <w:r>
        <w:rPr>
          <w:rFonts w:hint="eastAsia" w:ascii="宋体" w:hAnsi="宋体" w:cs="Times New Roman"/>
          <w:b w:val="0"/>
          <w:bCs w:val="0"/>
          <w:color w:val="auto"/>
          <w:spacing w:val="4"/>
          <w:kern w:val="0"/>
          <w:sz w:val="24"/>
          <w:szCs w:val="24"/>
          <w:highlight w:val="none"/>
        </w:rPr>
        <w:t>：工程奖项一览表</w:t>
      </w:r>
    </w:p>
    <w:p w14:paraId="2FD10764">
      <w:pPr>
        <w:widowControl/>
        <w:topLinePunct/>
        <w:adjustRightInd w:val="0"/>
        <w:snapToGrid w:val="0"/>
        <w:spacing w:after="200" w:line="360" w:lineRule="auto"/>
        <w:jc w:val="center"/>
        <w:rPr>
          <w:rFonts w:hint="eastAsia" w:ascii="宋体" w:hAnsi="宋体" w:cs="Times New Roman"/>
          <w:b/>
          <w:bCs w:val="0"/>
          <w:color w:val="auto"/>
          <w:spacing w:val="4"/>
          <w:kern w:val="0"/>
          <w:sz w:val="32"/>
          <w:szCs w:val="32"/>
          <w:highlight w:val="none"/>
        </w:rPr>
      </w:pPr>
      <w:r>
        <w:rPr>
          <w:rFonts w:hint="eastAsia" w:ascii="宋体" w:hAnsi="宋体" w:cs="Times New Roman"/>
          <w:b/>
          <w:bCs w:val="0"/>
          <w:color w:val="auto"/>
          <w:spacing w:val="4"/>
          <w:kern w:val="0"/>
          <w:sz w:val="32"/>
          <w:szCs w:val="32"/>
          <w:highlight w:val="none"/>
        </w:rPr>
        <w:t>工程奖项一览表</w:t>
      </w:r>
    </w:p>
    <w:p w14:paraId="7135256B">
      <w:pPr>
        <w:tabs>
          <w:tab w:val="left" w:pos="720"/>
        </w:tabs>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广州国际文化中心项目10KV备用回路工程施工专业承包</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3311"/>
        <w:gridCol w:w="3317"/>
      </w:tblGrid>
      <w:tr w14:paraId="5DD8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85" w:type="dxa"/>
            <w:vAlign w:val="center"/>
          </w:tcPr>
          <w:p w14:paraId="7D9282EB">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3311" w:type="dxa"/>
            <w:vAlign w:val="center"/>
          </w:tcPr>
          <w:p w14:paraId="5236E61E">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317" w:type="dxa"/>
            <w:vAlign w:val="center"/>
          </w:tcPr>
          <w:p w14:paraId="58380E3C">
            <w:pPr>
              <w:keepNext w:val="0"/>
              <w:keepLines w:val="0"/>
              <w:suppressLineNumbers w:val="0"/>
              <w:tabs>
                <w:tab w:val="left" w:pos="720"/>
              </w:tabs>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获得奖项</w:t>
            </w:r>
          </w:p>
        </w:tc>
      </w:tr>
      <w:tr w14:paraId="2786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14:paraId="38CE7385">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0985443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70F92E3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7E25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1885" w:type="dxa"/>
          </w:tcPr>
          <w:p w14:paraId="19AF6CC8">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1649F5FF">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47F02DAC">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r w14:paraId="12D5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trPr>
        <w:tc>
          <w:tcPr>
            <w:tcW w:w="1885" w:type="dxa"/>
          </w:tcPr>
          <w:p w14:paraId="3FB0970D">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1" w:type="dxa"/>
          </w:tcPr>
          <w:p w14:paraId="1C81E682">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c>
          <w:tcPr>
            <w:tcW w:w="3317" w:type="dxa"/>
          </w:tcPr>
          <w:p w14:paraId="7E478BFA">
            <w:pPr>
              <w:keepNext w:val="0"/>
              <w:keepLines w:val="0"/>
              <w:suppressLineNumbers w:val="0"/>
              <w:tabs>
                <w:tab w:val="left" w:pos="720"/>
              </w:tabs>
              <w:snapToGrid w:val="0"/>
              <w:spacing w:before="0" w:beforeAutospacing="0" w:after="0" w:afterAutospacing="0"/>
              <w:ind w:left="0" w:right="0"/>
              <w:rPr>
                <w:rFonts w:hint="default" w:ascii="宋体" w:hAnsi="宋体" w:cs="宋体"/>
                <w:color w:val="auto"/>
                <w:sz w:val="24"/>
                <w:highlight w:val="none"/>
              </w:rPr>
            </w:pPr>
          </w:p>
        </w:tc>
      </w:tr>
    </w:tbl>
    <w:p w14:paraId="50E4C72E">
      <w:pPr>
        <w:tabs>
          <w:tab w:val="left" w:pos="720"/>
        </w:tabs>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注：按技术标详细审查的评审要求提供证明材料，如无符合要求的工程奖项的，在项目栏中填写“无”。</w:t>
      </w:r>
    </w:p>
    <w:p w14:paraId="5F4BFF9F">
      <w:pPr>
        <w:widowControl/>
        <w:topLinePunct/>
        <w:adjustRightInd w:val="0"/>
        <w:snapToGrid w:val="0"/>
        <w:spacing w:after="200" w:line="360" w:lineRule="auto"/>
        <w:ind w:firstLine="3596" w:firstLineChars="1450"/>
        <w:jc w:val="left"/>
        <w:rPr>
          <w:rFonts w:ascii="宋体" w:hAnsi="宋体"/>
          <w:color w:val="auto"/>
          <w:spacing w:val="4"/>
          <w:kern w:val="0"/>
          <w:sz w:val="24"/>
          <w:szCs w:val="24"/>
          <w:highlight w:val="none"/>
        </w:rPr>
      </w:pPr>
      <w:r>
        <w:rPr>
          <w:rFonts w:hint="eastAsia" w:ascii="宋体" w:hAnsi="宋体"/>
          <w:color w:val="auto"/>
          <w:spacing w:val="4"/>
          <w:kern w:val="0"/>
          <w:sz w:val="24"/>
          <w:szCs w:val="24"/>
          <w:highlight w:val="none"/>
        </w:rPr>
        <w:t>投标人：　　</w:t>
      </w:r>
    </w:p>
    <w:p w14:paraId="5027CDDB">
      <w:pPr>
        <w:ind w:right="420" w:firstLine="3596" w:firstLineChars="1450"/>
        <w:rPr>
          <w:color w:val="auto"/>
          <w:highlight w:val="none"/>
        </w:rPr>
      </w:pPr>
      <w:r>
        <w:rPr>
          <w:rFonts w:hint="eastAsia" w:ascii="宋体" w:hAnsi="宋体"/>
          <w:color w:val="auto"/>
          <w:spacing w:val="4"/>
          <w:kern w:val="0"/>
          <w:sz w:val="24"/>
          <w:szCs w:val="24"/>
          <w:highlight w:val="none"/>
        </w:rPr>
        <w:t xml:space="preserve">日   期：    年    月    日 </w:t>
      </w:r>
    </w:p>
    <w:p w14:paraId="52B27B01">
      <w:pPr>
        <w:widowControl/>
        <w:topLinePunct/>
        <w:adjustRightInd w:val="0"/>
        <w:snapToGrid w:val="0"/>
        <w:spacing w:after="200" w:line="240" w:lineRule="auto"/>
        <w:jc w:val="left"/>
        <w:outlineLvl w:val="2"/>
        <w:rPr>
          <w:rFonts w:hint="eastAsia" w:ascii="宋体" w:hAnsi="宋体" w:eastAsia="宋体" w:cs="Times New Roman"/>
          <w:b w:val="0"/>
          <w:bCs w:val="0"/>
          <w:color w:val="auto"/>
          <w:spacing w:val="4"/>
          <w:kern w:val="0"/>
          <w:sz w:val="24"/>
          <w:szCs w:val="24"/>
          <w:highlight w:val="none"/>
        </w:rPr>
      </w:pPr>
      <w:r>
        <w:rPr>
          <w:rFonts w:hint="eastAsia" w:ascii="宋体" w:hAnsi="宋体" w:cs="宋体"/>
          <w:snapToGrid w:val="0"/>
          <w:color w:val="auto"/>
          <w:highlight w:val="none"/>
        </w:rPr>
        <w:br w:type="page"/>
      </w:r>
      <w:bookmarkStart w:id="91" w:name="_Toc32404"/>
      <w:r>
        <w:rPr>
          <w:rFonts w:hint="eastAsia" w:ascii="宋体" w:hAnsi="宋体" w:cs="Times New Roman"/>
          <w:b w:val="0"/>
          <w:bCs w:val="0"/>
          <w:color w:val="auto"/>
          <w:spacing w:val="4"/>
          <w:kern w:val="0"/>
          <w:sz w:val="24"/>
          <w:szCs w:val="24"/>
          <w:highlight w:val="none"/>
        </w:rPr>
        <w:t>格式</w:t>
      </w:r>
      <w:r>
        <w:rPr>
          <w:rFonts w:hint="eastAsia" w:ascii="宋体" w:hAnsi="宋体" w:cs="Times New Roman"/>
          <w:b w:val="0"/>
          <w:bCs w:val="0"/>
          <w:color w:val="auto"/>
          <w:spacing w:val="4"/>
          <w:kern w:val="0"/>
          <w:sz w:val="24"/>
          <w:szCs w:val="24"/>
          <w:highlight w:val="none"/>
          <w:lang w:val="en-US" w:eastAsia="zh-CN"/>
        </w:rPr>
        <w:t>九</w:t>
      </w:r>
      <w:r>
        <w:rPr>
          <w:rFonts w:hint="eastAsia" w:ascii="宋体" w:hAnsi="宋体" w:cs="Times New Roman"/>
          <w:b w:val="0"/>
          <w:bCs w:val="0"/>
          <w:color w:val="auto"/>
          <w:spacing w:val="4"/>
          <w:kern w:val="0"/>
          <w:sz w:val="24"/>
          <w:szCs w:val="24"/>
          <w:highlight w:val="none"/>
        </w:rPr>
        <w:t>：</w:t>
      </w:r>
      <w:r>
        <w:rPr>
          <w:rFonts w:hint="eastAsia" w:ascii="宋体" w:hAnsi="宋体" w:eastAsia="宋体" w:cs="Times New Roman"/>
          <w:b w:val="0"/>
          <w:bCs w:val="0"/>
          <w:color w:val="auto"/>
          <w:spacing w:val="4"/>
          <w:kern w:val="0"/>
          <w:sz w:val="24"/>
          <w:szCs w:val="24"/>
          <w:highlight w:val="none"/>
        </w:rPr>
        <w:t>主要设备、材料拟选用品牌表</w:t>
      </w:r>
      <w:bookmarkEnd w:id="91"/>
    </w:p>
    <w:p w14:paraId="6A80224F">
      <w:pPr>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主要设备、材料拟选用品牌表</w:t>
      </w:r>
    </w:p>
    <w:tbl>
      <w:tblPr>
        <w:tblStyle w:val="39"/>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6"/>
        <w:gridCol w:w="1733"/>
        <w:gridCol w:w="1135"/>
        <w:gridCol w:w="3013"/>
        <w:gridCol w:w="1976"/>
      </w:tblGrid>
      <w:tr w14:paraId="5F19DD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656" w:type="dxa"/>
            <w:tcBorders>
              <w:tl2br w:val="nil"/>
              <w:tr2bl w:val="nil"/>
            </w:tcBorders>
            <w:shd w:val="clear" w:color="auto" w:fill="auto"/>
            <w:vAlign w:val="center"/>
          </w:tcPr>
          <w:p w14:paraId="111F1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733" w:type="dxa"/>
            <w:tcBorders>
              <w:tl2br w:val="nil"/>
              <w:tr2bl w:val="nil"/>
            </w:tcBorders>
            <w:shd w:val="clear" w:color="auto" w:fill="auto"/>
            <w:vAlign w:val="center"/>
          </w:tcPr>
          <w:p w14:paraId="26169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材料、设备名称</w:t>
            </w:r>
          </w:p>
        </w:tc>
        <w:tc>
          <w:tcPr>
            <w:tcW w:w="1135" w:type="dxa"/>
            <w:tcBorders>
              <w:tl2br w:val="nil"/>
              <w:tr2bl w:val="nil"/>
            </w:tcBorders>
            <w:shd w:val="clear" w:color="auto" w:fill="auto"/>
            <w:vAlign w:val="center"/>
          </w:tcPr>
          <w:p w14:paraId="127859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使用区域</w:t>
            </w:r>
          </w:p>
        </w:tc>
        <w:tc>
          <w:tcPr>
            <w:tcW w:w="3013" w:type="dxa"/>
            <w:tcBorders>
              <w:tl2br w:val="nil"/>
              <w:tr2bl w:val="nil"/>
            </w:tcBorders>
            <w:shd w:val="clear" w:color="auto" w:fill="auto"/>
            <w:vAlign w:val="center"/>
          </w:tcPr>
          <w:p w14:paraId="0DA1E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厂家或品牌</w:t>
            </w:r>
            <w:r>
              <w:rPr>
                <w:rFonts w:hint="eastAsia" w:ascii="宋体" w:hAnsi="宋体" w:cs="宋体"/>
                <w:i w:val="0"/>
                <w:iCs w:val="0"/>
                <w:color w:val="auto"/>
                <w:kern w:val="0"/>
                <w:sz w:val="22"/>
                <w:szCs w:val="22"/>
                <w:highlight w:val="none"/>
                <w:u w:val="none"/>
                <w:lang w:val="en-US" w:eastAsia="zh-CN" w:bidi="ar"/>
              </w:rPr>
              <w:t>（或相当于）</w:t>
            </w:r>
          </w:p>
        </w:tc>
        <w:tc>
          <w:tcPr>
            <w:tcW w:w="1976" w:type="dxa"/>
            <w:tcBorders>
              <w:tl2br w:val="nil"/>
              <w:tr2bl w:val="nil"/>
            </w:tcBorders>
            <w:shd w:val="clear" w:color="auto" w:fill="auto"/>
            <w:vAlign w:val="center"/>
          </w:tcPr>
          <w:p w14:paraId="7A8C7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投标人</w:t>
            </w:r>
            <w:r>
              <w:rPr>
                <w:rFonts w:hint="eastAsia" w:ascii="宋体" w:hAnsi="宋体" w:cs="宋体"/>
                <w:i w:val="0"/>
                <w:iCs w:val="0"/>
                <w:color w:val="auto"/>
                <w:kern w:val="0"/>
                <w:sz w:val="22"/>
                <w:szCs w:val="22"/>
                <w:highlight w:val="none"/>
                <w:u w:val="none"/>
                <w:lang w:val="en-US" w:eastAsia="zh-CN" w:bidi="ar"/>
              </w:rPr>
              <w:t>拟</w:t>
            </w:r>
            <w:r>
              <w:rPr>
                <w:rFonts w:hint="eastAsia" w:ascii="宋体" w:hAnsi="宋体" w:eastAsia="宋体" w:cs="宋体"/>
                <w:i w:val="0"/>
                <w:iCs w:val="0"/>
                <w:color w:val="auto"/>
                <w:kern w:val="0"/>
                <w:sz w:val="22"/>
                <w:szCs w:val="22"/>
                <w:highlight w:val="none"/>
                <w:u w:val="none"/>
                <w:lang w:val="en-US" w:eastAsia="zh-CN" w:bidi="ar"/>
              </w:rPr>
              <w:t>选用品牌</w:t>
            </w:r>
          </w:p>
        </w:tc>
      </w:tr>
      <w:tr w14:paraId="495C3C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6" w:type="dxa"/>
            <w:tcBorders>
              <w:tl2br w:val="nil"/>
              <w:tr2bl w:val="nil"/>
            </w:tcBorders>
            <w:shd w:val="clear" w:color="auto" w:fill="auto"/>
            <w:vAlign w:val="center"/>
          </w:tcPr>
          <w:p w14:paraId="6E64A8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1</w:t>
            </w:r>
          </w:p>
        </w:tc>
        <w:tc>
          <w:tcPr>
            <w:tcW w:w="1733" w:type="dxa"/>
            <w:tcBorders>
              <w:tl2br w:val="nil"/>
              <w:tr2bl w:val="nil"/>
            </w:tcBorders>
            <w:shd w:val="clear" w:color="auto" w:fill="auto"/>
            <w:vAlign w:val="center"/>
          </w:tcPr>
          <w:p w14:paraId="0C03D9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sz w:val="22"/>
                <w:szCs w:val="22"/>
                <w:highlight w:val="none"/>
                <w:u w:val="none"/>
                <w:lang w:val="en-US" w:eastAsia="zh-CN"/>
              </w:rPr>
              <w:t>电缆</w:t>
            </w:r>
          </w:p>
        </w:tc>
        <w:tc>
          <w:tcPr>
            <w:tcW w:w="1135" w:type="dxa"/>
            <w:tcBorders>
              <w:tl2br w:val="nil"/>
              <w:tr2bl w:val="nil"/>
            </w:tcBorders>
            <w:shd w:val="clear" w:color="auto" w:fill="auto"/>
            <w:vAlign w:val="center"/>
          </w:tcPr>
          <w:p w14:paraId="7D5DDC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sz w:val="22"/>
                <w:szCs w:val="22"/>
                <w:highlight w:val="none"/>
                <w:u w:val="none"/>
              </w:rPr>
              <w:t>备用回路</w:t>
            </w:r>
          </w:p>
        </w:tc>
        <w:tc>
          <w:tcPr>
            <w:tcW w:w="3013" w:type="dxa"/>
            <w:tcBorders>
              <w:tl2br w:val="nil"/>
              <w:tr2bl w:val="nil"/>
            </w:tcBorders>
            <w:shd w:val="clear" w:color="auto" w:fill="auto"/>
            <w:vAlign w:val="center"/>
          </w:tcPr>
          <w:p w14:paraId="01F8163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cs="宋体"/>
                <w:color w:val="auto"/>
                <w:sz w:val="22"/>
                <w:highlight w:val="none"/>
                <w:u w:val="none"/>
              </w:rPr>
            </w:pPr>
            <w:r>
              <w:rPr>
                <w:rFonts w:hint="eastAsia" w:ascii="宋体" w:hAnsi="宋体" w:cs="宋体"/>
                <w:color w:val="auto"/>
                <w:sz w:val="22"/>
                <w:highlight w:val="none"/>
                <w:u w:val="none"/>
              </w:rPr>
              <w:t>南洋电缆集团有限公司</w:t>
            </w:r>
          </w:p>
          <w:p w14:paraId="40E0E85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cs="宋体"/>
                <w:color w:val="auto"/>
                <w:sz w:val="22"/>
                <w:highlight w:val="none"/>
                <w:u w:val="none"/>
              </w:rPr>
            </w:pPr>
            <w:r>
              <w:rPr>
                <w:rFonts w:hint="eastAsia" w:ascii="宋体" w:hAnsi="宋体" w:cs="宋体"/>
                <w:color w:val="auto"/>
                <w:sz w:val="22"/>
                <w:highlight w:val="none"/>
                <w:u w:val="none"/>
              </w:rPr>
              <w:t>广州电缆有限公司</w:t>
            </w:r>
          </w:p>
          <w:p w14:paraId="754267A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cs="宋体"/>
                <w:color w:val="auto"/>
                <w:sz w:val="22"/>
                <w:highlight w:val="none"/>
                <w:u w:val="none"/>
              </w:rPr>
            </w:pPr>
            <w:r>
              <w:rPr>
                <w:rFonts w:hint="eastAsia" w:ascii="宋体" w:hAnsi="宋体" w:cs="宋体"/>
                <w:color w:val="auto"/>
                <w:sz w:val="22"/>
                <w:highlight w:val="none"/>
                <w:u w:val="none"/>
              </w:rPr>
              <w:t>广州番禺电缆集团有限公司</w:t>
            </w:r>
          </w:p>
          <w:p w14:paraId="6B77F67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color w:val="auto"/>
                <w:sz w:val="22"/>
                <w:highlight w:val="none"/>
                <w:u w:val="none"/>
              </w:rPr>
              <w:t>广东电缆厂有限公司</w:t>
            </w:r>
          </w:p>
        </w:tc>
        <w:tc>
          <w:tcPr>
            <w:tcW w:w="1976" w:type="dxa"/>
            <w:tcBorders>
              <w:tl2br w:val="nil"/>
              <w:tr2bl w:val="nil"/>
            </w:tcBorders>
            <w:shd w:val="clear" w:color="auto" w:fill="auto"/>
            <w:vAlign w:val="center"/>
          </w:tcPr>
          <w:p w14:paraId="246D1C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p>
        </w:tc>
      </w:tr>
    </w:tbl>
    <w:p w14:paraId="436E7294">
      <w:pPr>
        <w:spacing w:line="360" w:lineRule="auto"/>
        <w:rPr>
          <w:rFonts w:ascii="宋体" w:hAnsi="宋体" w:cs="宋体"/>
          <w:color w:val="auto"/>
          <w:szCs w:val="21"/>
          <w:highlight w:val="none"/>
        </w:rPr>
      </w:pPr>
      <w:r>
        <w:rPr>
          <w:rFonts w:hint="eastAsia" w:ascii="宋体" w:hAnsi="宋体" w:cs="宋体"/>
          <w:color w:val="auto"/>
          <w:szCs w:val="21"/>
          <w:highlight w:val="none"/>
        </w:rPr>
        <w:t>注： 1、本表中选用的主要材料、设备由投标人视本工程具体实际情况自行填报。</w:t>
      </w:r>
    </w:p>
    <w:p w14:paraId="7946F8F1">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2、投标人若在技术标投标文件中选用的材料、设备与经济标投标文件中选用材料、设备不一致的，中标后，招标人有权选用质量性能较优、质量档次高的品牌/生产厂家，投标人不能因此向招标人要求调整价差。</w:t>
      </w:r>
    </w:p>
    <w:p w14:paraId="6C6C55E5">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投标人选用的材料设备品牌或生产厂家应按上述《主要设备、材料拟选用品牌表》或相当于（或优于）《主要设备、材料拟选用品牌表》档次和质量的产品进行选用填报。如选用相当于或优于招标文件中推荐品牌（厂家）的，需提供有效的证明材料，有效证明材料需能充分证明其选用品牌的质量档次相当于或优于招标文件要求，且在采购前必须经招标人审批同意，否则，视为自行更换品牌，按招标文件和合同规定承担违约责任。</w:t>
      </w:r>
    </w:p>
    <w:p w14:paraId="0099D1F8">
      <w:pPr>
        <w:widowControl/>
        <w:topLinePunct w:val="0"/>
        <w:adjustRightInd/>
        <w:snapToGrid/>
        <w:spacing w:after="0" w:line="360" w:lineRule="auto"/>
        <w:ind w:firstLine="4620" w:firstLineChars="2200"/>
        <w:jc w:val="left"/>
        <w:rPr>
          <w:rFonts w:hint="eastAsia" w:ascii="宋体" w:hAnsi="宋体" w:cs="宋体"/>
          <w:color w:val="auto"/>
          <w:spacing w:val="0"/>
          <w:kern w:val="2"/>
          <w:sz w:val="21"/>
          <w:szCs w:val="21"/>
          <w:highlight w:val="none"/>
        </w:rPr>
      </w:pPr>
    </w:p>
    <w:p w14:paraId="6B2C2DBD">
      <w:pPr>
        <w:widowControl/>
        <w:topLinePunct w:val="0"/>
        <w:adjustRightInd/>
        <w:snapToGrid/>
        <w:spacing w:after="0" w:line="360" w:lineRule="auto"/>
        <w:ind w:firstLine="4620" w:firstLineChars="2200"/>
        <w:jc w:val="left"/>
        <w:rPr>
          <w:rFonts w:hint="eastAsia"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投标人：　</w:t>
      </w:r>
    </w:p>
    <w:p w14:paraId="17BE7043">
      <w:pPr>
        <w:spacing w:line="360" w:lineRule="auto"/>
        <w:ind w:right="0" w:firstLine="4620" w:firstLineChars="2200"/>
        <w:jc w:val="left"/>
        <w:rPr>
          <w:rFonts w:hint="eastAsia" w:ascii="宋体" w:hAnsi="宋体" w:cs="宋体"/>
          <w:color w:val="auto"/>
          <w:szCs w:val="21"/>
          <w:highlight w:val="none"/>
        </w:rPr>
      </w:pPr>
      <w:r>
        <w:rPr>
          <w:rFonts w:hint="eastAsia" w:ascii="宋体" w:hAnsi="宋体" w:cs="宋体"/>
          <w:color w:val="auto"/>
          <w:spacing w:val="0"/>
          <w:kern w:val="2"/>
          <w:sz w:val="21"/>
          <w:szCs w:val="21"/>
          <w:highlight w:val="none"/>
        </w:rPr>
        <w:t xml:space="preserve">日   期：    年    月    日 </w:t>
      </w:r>
    </w:p>
    <w:p w14:paraId="6ABF2697">
      <w:pPr>
        <w:widowControl/>
        <w:topLinePunct/>
        <w:adjustRightInd w:val="0"/>
        <w:snapToGrid w:val="0"/>
        <w:spacing w:after="200"/>
        <w:jc w:val="left"/>
        <w:outlineLvl w:val="2"/>
        <w:rPr>
          <w:rFonts w:ascii="宋体" w:hAnsi="宋体" w:eastAsia="宋体" w:cs="宋体"/>
          <w:b w:val="0"/>
          <w:color w:val="auto"/>
          <w:spacing w:val="0"/>
          <w:kern w:val="2"/>
          <w:sz w:val="24"/>
          <w:szCs w:val="24"/>
          <w:highlight w:val="none"/>
        </w:rPr>
      </w:pPr>
      <w:r>
        <w:rPr>
          <w:rFonts w:hint="eastAsia" w:ascii="宋体" w:hAnsi="宋体" w:eastAsia="宋体" w:cs="Times New Roman"/>
          <w:b w:val="0"/>
          <w:bCs w:val="0"/>
          <w:color w:val="auto"/>
          <w:spacing w:val="4"/>
          <w:kern w:val="0"/>
          <w:sz w:val="24"/>
          <w:szCs w:val="24"/>
          <w:highlight w:val="none"/>
        </w:rPr>
        <w:br w:type="page"/>
      </w:r>
      <w:r>
        <w:rPr>
          <w:rFonts w:hint="eastAsia" w:ascii="宋体" w:hAnsi="宋体" w:eastAsia="宋体" w:cs="Times New Roman"/>
          <w:b w:val="0"/>
          <w:bCs w:val="0"/>
          <w:color w:val="auto"/>
          <w:spacing w:val="4"/>
          <w:kern w:val="0"/>
          <w:sz w:val="24"/>
          <w:szCs w:val="24"/>
          <w:highlight w:val="none"/>
        </w:rPr>
        <w:t>格式</w:t>
      </w:r>
      <w:r>
        <w:rPr>
          <w:rFonts w:hint="eastAsia" w:ascii="宋体" w:hAnsi="宋体" w:eastAsia="宋体" w:cs="Times New Roman"/>
          <w:b w:val="0"/>
          <w:bCs w:val="0"/>
          <w:color w:val="auto"/>
          <w:spacing w:val="4"/>
          <w:kern w:val="0"/>
          <w:sz w:val="24"/>
          <w:szCs w:val="24"/>
          <w:highlight w:val="none"/>
          <w:lang w:val="en-US" w:eastAsia="zh-CN"/>
        </w:rPr>
        <w:t>十</w:t>
      </w:r>
      <w:r>
        <w:rPr>
          <w:rFonts w:hint="eastAsia" w:ascii="宋体" w:hAnsi="宋体" w:eastAsia="宋体" w:cs="Times New Roman"/>
          <w:b w:val="0"/>
          <w:bCs w:val="0"/>
          <w:color w:val="auto"/>
          <w:spacing w:val="4"/>
          <w:kern w:val="0"/>
          <w:sz w:val="24"/>
          <w:szCs w:val="24"/>
          <w:highlight w:val="none"/>
        </w:rPr>
        <w:t>：危险性较大的分部分项工程清单及超过一定规模的危险性较大的分部分项工程清单</w:t>
      </w:r>
    </w:p>
    <w:p w14:paraId="298D5E47">
      <w:pPr>
        <w:autoSpaceDE w:val="0"/>
        <w:autoSpaceDN w:val="0"/>
        <w:adjustRightInd w:val="0"/>
        <w:jc w:val="center"/>
        <w:rPr>
          <w:rFonts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危险性较大的分部分项工程清单及超过一定规模的危险性较大的分部分项工程清单</w:t>
      </w:r>
    </w:p>
    <w:p w14:paraId="6DBA7C1A">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1、根据中华人民共和国住房和城乡建设部令第37号《危险性较大的分部分项工程安全管理规定》（以下简称“37号文”），投标人在投标时须补充完善危大工程清单并明确相应的安全管理措施。</w:t>
      </w:r>
    </w:p>
    <w:p w14:paraId="200EF994">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2、招标人根据设计文件的要求及37号文的规定列出“危险性较大的分部分项工程清单及超过一定规模的危险性较大的分部分项工程清单”中与本招标项目相关的清单项，具体详见第5点“打√”标识。</w:t>
      </w:r>
    </w:p>
    <w:p w14:paraId="5E1B52B0">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（1）投标单位同意建设单位在清单中标识的该项请在对应项打“√”标识，并于投标文件中提供相应的安全管理措施。</w:t>
      </w:r>
    </w:p>
    <w:p w14:paraId="49F7272E">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（2）投标单位对清单中认为需要补充的该项请在对应项打“√”标识，并于投标文件中提供相应的安全管理措施。</w:t>
      </w:r>
    </w:p>
    <w:p w14:paraId="564B9F39">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（3）投标单位不同意建设单位在清单中标识的该项请在对应项打“×”标识，并在备注栏填上相关说明。</w:t>
      </w:r>
    </w:p>
    <w:p w14:paraId="42EF5409">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3、投标单位应当在投标时根据招标人提供的下述第5点清单，在中标后提供的施工组织中编制专项施工方案。</w:t>
      </w:r>
    </w:p>
    <w:p w14:paraId="382BD261">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EAC7D5F">
      <w:pPr>
        <w:pStyle w:val="111"/>
        <w:autoSpaceDE/>
        <w:autoSpaceDN/>
        <w:adjustRightInd w:val="0"/>
        <w:spacing w:line="288" w:lineRule="auto"/>
        <w:ind w:firstLine="480"/>
        <w:jc w:val="left"/>
        <w:rPr>
          <w:rFonts w:ascii="宋体" w:hAnsi="宋体" w:cs="宋体"/>
          <w:color w:val="auto"/>
          <w:sz w:val="24"/>
          <w:szCs w:val="28"/>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39"/>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14:paraId="3A8B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14:paraId="446007DA">
            <w:pPr>
              <w:pStyle w:val="111"/>
              <w:keepNext w:val="0"/>
              <w:keepLines w:val="0"/>
              <w:suppressLineNumbers w:val="0"/>
              <w:autoSpaceDE w:val="0"/>
              <w:autoSpaceDN w:val="0"/>
              <w:adjustRightInd w:val="0"/>
              <w:spacing w:before="0" w:beforeAutospacing="0" w:after="0" w:afterAutospacing="0" w:line="240" w:lineRule="auto"/>
              <w:ind w:left="0" w:right="0" w:firstLine="482"/>
              <w:jc w:val="left"/>
              <w:rPr>
                <w:rFonts w:hint="default" w:ascii="宋体" w:hAnsi="宋体" w:cs="宋体"/>
                <w:b/>
                <w:color w:val="auto"/>
                <w:sz w:val="24"/>
                <w:highlight w:val="none"/>
              </w:rPr>
            </w:pPr>
            <w:r>
              <w:rPr>
                <w:rFonts w:hint="eastAsia" w:ascii="宋体" w:hAnsi="宋体" w:cs="宋体"/>
                <w:b/>
                <w:color w:val="auto"/>
                <w:sz w:val="24"/>
                <w:highlight w:val="none"/>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598BAA8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14:paraId="21EF4142">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14:paraId="65E8DDB4">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备注</w:t>
            </w:r>
          </w:p>
        </w:tc>
      </w:tr>
      <w:tr w14:paraId="20F1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9716647">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14:paraId="53054BE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B1097A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4581CDC">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288D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A460CB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05B7F49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21DB50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15BD9F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1A3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7F9731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779D3FCA">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0B9B286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C2EE31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F89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DCA9A0F">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4B2ECD2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A6A14B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A882E4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DB4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5A55DF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71CA5D8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3755509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0CAB7D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928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1903BB7">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14:paraId="24CCF4C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2788D7B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E266077">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CE7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BD9D6C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764D6A2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3EBE6E0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A64D91A">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0F0B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8FC174E">
            <w:pPr>
              <w:keepNext w:val="0"/>
              <w:keepLines w:val="0"/>
              <w:widowControl/>
              <w:suppressLineNumbers w:val="0"/>
              <w:spacing w:before="0" w:beforeAutospacing="0" w:after="0" w:afterAutospacing="0" w:line="240" w:lineRule="auto"/>
              <w:ind w:left="0" w:right="0"/>
              <w:jc w:val="left"/>
              <w:rPr>
                <w:rFonts w:hint="default"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523FCFA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4CAD3A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F5A7858">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FC1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271CE0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37041D1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1F242A5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C8F1D28">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D94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E0582A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vAlign w:val="center"/>
          </w:tcPr>
          <w:p w14:paraId="2846039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E88AC2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D77B5F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986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0FD5963">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4EA93B4A">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18D623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9DA7B9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61F7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0B8788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17F1AEF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127C28A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C965109">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57E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F4DC757">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14:paraId="5D7BCB1F">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272CC4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B432A7F">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DFB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035CA7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03ADB18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B1662A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2353C34">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25F5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03C25A4">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38A6D1C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69AEB3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313065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73F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F18C54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（四）高处作业吊篮。</w:t>
            </w:r>
          </w:p>
        </w:tc>
        <w:tc>
          <w:tcPr>
            <w:tcW w:w="1177" w:type="dxa"/>
            <w:tcBorders>
              <w:top w:val="single" w:color="auto" w:sz="4" w:space="0"/>
              <w:left w:val="single" w:color="auto" w:sz="4" w:space="0"/>
              <w:bottom w:val="single" w:color="auto" w:sz="4" w:space="0"/>
              <w:right w:val="single" w:color="auto" w:sz="4" w:space="0"/>
            </w:tcBorders>
            <w:vAlign w:val="center"/>
          </w:tcPr>
          <w:p w14:paraId="6CC773A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C5164A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1B2257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5E0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576BE55">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1CD890E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37E9974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6C4C80D">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EFE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6C5EBA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34DF3B5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24B93AE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3E7804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84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tcPr>
          <w:p w14:paraId="79D369C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18A29B3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871AA7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D9BED5B">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A5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3890C42">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eastAsia="宋体" w:cs="宋体"/>
                <w:color w:val="auto"/>
                <w:sz w:val="22"/>
                <w:szCs w:val="21"/>
                <w:highlight w:val="none"/>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2970087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46FAAEC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5E1B22E">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682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CE7125">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0779B00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64B24C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94253BA">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A81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749E529">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eastAsia="宋体" w:cs="宋体"/>
                <w:color w:val="auto"/>
                <w:sz w:val="22"/>
                <w:szCs w:val="21"/>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7D24A19F">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w:t>
            </w:r>
            <w:r>
              <w:rPr>
                <w:rFonts w:hint="eastAsia" w:ascii="宋体" w:hAnsi="宋体" w:cs="宋体"/>
                <w:color w:val="auto"/>
                <w:sz w:val="24"/>
                <w:szCs w:val="36"/>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75CC6FF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C54E694">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EC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91F50BF">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2D7C673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1950A2A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3DA39C3">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D1F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A0D2A96">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117224F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8FE6E6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F4C49E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7736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B681576">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32C60A0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9A281DA">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B7DCACC">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23F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85FE77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1738B1C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19148A7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68DB956">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CE5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06BBB27">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58A255B2">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08D3D4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85C047E">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CEC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406398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206B97E0">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475C22C">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315474C">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699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5D8E34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4B407A3A">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6D36703">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0499F5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4A6B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14:paraId="4B2DD015">
            <w:pPr>
              <w:keepNext w:val="0"/>
              <w:keepLines w:val="0"/>
              <w:widowControl/>
              <w:suppressLineNumbers w:val="0"/>
              <w:spacing w:before="0" w:beforeAutospacing="0" w:after="0" w:afterAutospacing="0" w:line="240" w:lineRule="auto"/>
              <w:ind w:left="0" w:right="0"/>
              <w:rPr>
                <w:rFonts w:hint="default" w:ascii="宋体" w:hAnsi="宋体" w:cs="宋体"/>
                <w:b/>
                <w:color w:val="auto"/>
                <w:sz w:val="24"/>
                <w:highlight w:val="none"/>
              </w:rPr>
            </w:pPr>
            <w:r>
              <w:rPr>
                <w:rFonts w:hint="eastAsia" w:ascii="宋体" w:hAnsi="宋体" w:cs="宋体"/>
                <w:b/>
                <w:bCs/>
                <w:color w:val="auto"/>
                <w:sz w:val="24"/>
                <w:highlight w:val="none"/>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14:paraId="3E4B5B6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7BDD49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C0A015B">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27A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7E71A38">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14:paraId="7C32BD09">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3F199D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64D0FD4">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C0E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4D26E8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14:paraId="17315F9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A505266">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E77C45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4E25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C30FBBD">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14:paraId="7527927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7BFEB5D">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D9AC322">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04B2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0F6E6B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14:paraId="1DFFDAD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7BDE46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543E660">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1251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57ED7AE">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14:paraId="1949885E">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11B50A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EBDCEE6">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62E9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2625458">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14:paraId="73F73B8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5CC03F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6B85A27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7908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8158340">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64418CF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D0BD551">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555916D1">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A6C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B884EA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14:paraId="78FBFBB8">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E3E41AA">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DC66E2D">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4C92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5E27307">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14:paraId="13919FBF">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B5C0CD6">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9EF4E7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555C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A4EB0E9">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3942BD76">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DC66ED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F358240">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19CF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5FDFF89">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612EFC85">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B852D14">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DAF3B3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5533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7E3EE776">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14:paraId="56D8FEBC">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2BB4FD7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7B98D5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638C4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D804A34">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14:paraId="2B223449">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D210416">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60507D1">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0D1B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FE100BC">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465FEB0B">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02B7D394">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5EE6D15">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6CB8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6926C2A">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32D933B3">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w:t>
            </w:r>
            <w:r>
              <w:rPr>
                <w:rFonts w:hint="eastAsia" w:ascii="宋体" w:hAnsi="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628A4A67">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F27E638">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20EC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4F76C3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14:paraId="6E7838DD">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C1E23F1">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38B9568F">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79A3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68D32B2C">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14:paraId="3E9ADE38">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1E5F1D47">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121A0738">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3B09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5FCADBB">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14:paraId="4EC87902">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xml:space="preserve">( </w:t>
            </w:r>
            <w:r>
              <w:rPr>
                <w:rFonts w:hint="eastAsia" w:ascii="宋体" w:hAnsi="宋体" w:cs="宋体"/>
                <w:color w:val="auto"/>
                <w:sz w:val="24"/>
                <w:szCs w:val="28"/>
                <w:highlight w:val="none"/>
              </w:rPr>
              <w:t>√</w:t>
            </w:r>
            <w:r>
              <w:rPr>
                <w:rFonts w:hint="eastAsia" w:ascii="宋体" w:hAnsi="宋体" w:eastAsia="宋体" w:cs="宋体"/>
                <w:color w:val="auto"/>
                <w:sz w:val="22"/>
                <w:szCs w:val="21"/>
                <w:highlight w:val="none"/>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14:paraId="5279ED50">
            <w:pPr>
              <w:keepNext w:val="0"/>
              <w:keepLines w:val="0"/>
              <w:suppressLineNumbers w:val="0"/>
              <w:spacing w:before="0" w:beforeAutospacing="0" w:after="0" w:afterAutospacing="0"/>
              <w:ind w:left="0" w:right="0"/>
              <w:jc w:val="center"/>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0C211F4C">
            <w:pPr>
              <w:keepNext w:val="0"/>
              <w:keepLines w:val="0"/>
              <w:suppressLineNumbers w:val="0"/>
              <w:spacing w:before="0" w:beforeAutospacing="0" w:after="0" w:afterAutospacing="0"/>
              <w:ind w:left="0" w:right="0"/>
              <w:jc w:val="left"/>
              <w:rPr>
                <w:rFonts w:hint="eastAsia" w:ascii="宋体" w:hAnsi="宋体" w:eastAsia="宋体" w:cs="宋体"/>
                <w:color w:val="auto"/>
                <w:sz w:val="22"/>
                <w:szCs w:val="21"/>
                <w:highlight w:val="none"/>
              </w:rPr>
            </w:pPr>
          </w:p>
        </w:tc>
      </w:tr>
      <w:tr w14:paraId="69AA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2E261078">
            <w:pPr>
              <w:keepNext w:val="0"/>
              <w:keepLines w:val="0"/>
              <w:suppressLineNumbers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七、其它</w:t>
            </w:r>
          </w:p>
        </w:tc>
        <w:tc>
          <w:tcPr>
            <w:tcW w:w="1177" w:type="dxa"/>
            <w:tcBorders>
              <w:top w:val="single" w:color="auto" w:sz="4" w:space="0"/>
              <w:left w:val="single" w:color="auto" w:sz="4" w:space="0"/>
              <w:bottom w:val="single" w:color="auto" w:sz="4" w:space="0"/>
              <w:right w:val="single" w:color="auto" w:sz="4" w:space="0"/>
            </w:tcBorders>
            <w:vAlign w:val="center"/>
          </w:tcPr>
          <w:p w14:paraId="0F1C53FE">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80DA865">
            <w:pPr>
              <w:keepNext w:val="0"/>
              <w:keepLines w:val="0"/>
              <w:suppressLineNumbers w:val="0"/>
              <w:spacing w:before="0" w:beforeAutospacing="0" w:after="0" w:afterAutospacing="0"/>
              <w:ind w:left="0" w:right="0"/>
              <w:jc w:val="center"/>
              <w:rPr>
                <w:rFonts w:hint="default" w:ascii="宋体" w:hAnsi="宋体" w:cs="宋体"/>
                <w:color w:val="auto"/>
                <w:highlight w:val="none"/>
              </w:rPr>
            </w:pPr>
            <w:r>
              <w:rPr>
                <w:rFonts w:hint="eastAsia" w:ascii="宋体" w:hAnsi="宋体" w:cs="宋体"/>
                <w:color w:val="auto"/>
                <w:sz w:val="24"/>
                <w:szCs w:val="36"/>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66743D0">
            <w:pPr>
              <w:keepNext w:val="0"/>
              <w:keepLines w:val="0"/>
              <w:suppressLineNumbers w:val="0"/>
              <w:spacing w:before="0" w:beforeAutospacing="0" w:after="0" w:afterAutospacing="0"/>
              <w:ind w:left="0" w:right="0"/>
              <w:jc w:val="center"/>
              <w:rPr>
                <w:rFonts w:hint="default" w:ascii="宋体" w:hAnsi="宋体" w:cs="宋体"/>
                <w:color w:val="auto"/>
                <w:sz w:val="24"/>
                <w:szCs w:val="36"/>
                <w:highlight w:val="none"/>
              </w:rPr>
            </w:pPr>
          </w:p>
        </w:tc>
      </w:tr>
      <w:tr w14:paraId="572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E7E4BE4">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730CF548">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5F9E634F">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00286FD">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58C3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1306FF22">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14:paraId="650A8A9C">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183F0FC">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E2B40C4">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2C1D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0E882AB1">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14:paraId="4853D988">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E29CF52">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27631033">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2370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422016A5">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14:paraId="605903EC">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452F6FB3">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205D3B7">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58A0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3E486F25">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14:paraId="13BC3026">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63D2A54F">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7E22B773">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r w14:paraId="1DEE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14:paraId="5982EE9F">
            <w:pPr>
              <w:keepNext w:val="0"/>
              <w:keepLines w:val="0"/>
              <w:suppressLineNumbers w:val="0"/>
              <w:spacing w:before="0" w:beforeAutospacing="0" w:after="0" w:afterAutospacing="0"/>
              <w:ind w:left="0" w:right="0"/>
              <w:jc w:val="left"/>
              <w:rPr>
                <w:rFonts w:hint="default" w:ascii="宋体" w:hAnsi="宋体" w:cs="宋体"/>
                <w:color w:val="auto"/>
                <w:sz w:val="22"/>
                <w:szCs w:val="21"/>
                <w:highlight w:val="none"/>
              </w:rPr>
            </w:pPr>
            <w:r>
              <w:rPr>
                <w:rFonts w:hint="eastAsia" w:ascii="宋体" w:hAnsi="宋体" w:cs="宋体"/>
                <w:color w:val="auto"/>
                <w:sz w:val="22"/>
                <w:szCs w:val="21"/>
                <w:highlight w:val="none"/>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14:paraId="10993E89">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361" w:type="dxa"/>
            <w:tcBorders>
              <w:top w:val="single" w:color="auto" w:sz="4" w:space="0"/>
              <w:left w:val="single" w:color="auto" w:sz="4" w:space="0"/>
              <w:bottom w:val="single" w:color="auto" w:sz="4" w:space="0"/>
              <w:right w:val="single" w:color="auto" w:sz="4" w:space="0"/>
            </w:tcBorders>
            <w:vAlign w:val="center"/>
          </w:tcPr>
          <w:p w14:paraId="70D46A85">
            <w:pPr>
              <w:keepNext w:val="0"/>
              <w:keepLines w:val="0"/>
              <w:suppressLineNumbers w:val="0"/>
              <w:spacing w:before="0" w:beforeAutospacing="0" w:after="0" w:afterAutospacing="0"/>
              <w:ind w:left="0" w:right="0"/>
              <w:jc w:val="center"/>
              <w:rPr>
                <w:rFonts w:hint="default" w:ascii="宋体" w:hAnsi="宋体" w:cs="宋体"/>
                <w:color w:val="auto"/>
                <w:sz w:val="20"/>
                <w:szCs w:val="21"/>
                <w:highlight w:val="none"/>
              </w:rPr>
            </w:pPr>
            <w:r>
              <w:rPr>
                <w:rFonts w:hint="eastAsia" w:ascii="宋体" w:hAnsi="宋体" w:cs="宋体"/>
                <w:color w:val="auto"/>
                <w:sz w:val="22"/>
                <w:szCs w:val="32"/>
                <w:highlight w:val="none"/>
              </w:rPr>
              <w:t>(    )</w:t>
            </w:r>
          </w:p>
        </w:tc>
        <w:tc>
          <w:tcPr>
            <w:tcW w:w="1063" w:type="dxa"/>
            <w:tcBorders>
              <w:top w:val="single" w:color="auto" w:sz="4" w:space="0"/>
              <w:left w:val="single" w:color="auto" w:sz="4" w:space="0"/>
              <w:bottom w:val="single" w:color="auto" w:sz="4" w:space="0"/>
              <w:right w:val="single" w:color="auto" w:sz="4" w:space="0"/>
            </w:tcBorders>
            <w:vAlign w:val="center"/>
          </w:tcPr>
          <w:p w14:paraId="44A351A5">
            <w:pPr>
              <w:keepNext w:val="0"/>
              <w:keepLines w:val="0"/>
              <w:suppressLineNumbers w:val="0"/>
              <w:spacing w:before="0" w:beforeAutospacing="0" w:after="0" w:afterAutospacing="0"/>
              <w:ind w:left="0" w:right="0"/>
              <w:jc w:val="center"/>
              <w:rPr>
                <w:rFonts w:hint="default" w:ascii="宋体" w:hAnsi="宋体" w:cs="宋体"/>
                <w:color w:val="auto"/>
                <w:sz w:val="22"/>
                <w:szCs w:val="32"/>
                <w:highlight w:val="none"/>
              </w:rPr>
            </w:pPr>
          </w:p>
        </w:tc>
      </w:tr>
    </w:tbl>
    <w:p w14:paraId="252F92CC">
      <w:pPr>
        <w:pStyle w:val="111"/>
        <w:autoSpaceDE w:val="0"/>
        <w:autoSpaceDN w:val="0"/>
        <w:adjustRightInd w:val="0"/>
        <w:spacing w:line="240" w:lineRule="auto"/>
        <w:ind w:firstLine="480"/>
        <w:jc w:val="left"/>
        <w:rPr>
          <w:rFonts w:ascii="宋体" w:hAnsi="宋体" w:cs="宋体"/>
          <w:color w:val="auto"/>
          <w:sz w:val="24"/>
          <w:szCs w:val="28"/>
          <w:highlight w:val="none"/>
        </w:rPr>
      </w:pPr>
    </w:p>
    <w:p w14:paraId="57C58824">
      <w:pPr>
        <w:spacing w:line="24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投标人名称：</w:t>
      </w:r>
    </w:p>
    <w:p w14:paraId="16FC541C">
      <w:pPr>
        <w:spacing w:line="240" w:lineRule="auto"/>
        <w:ind w:firstLine="3000" w:firstLineChars="1250"/>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法定代表人或被授权人（签字或盖章）：</w:t>
      </w:r>
    </w:p>
    <w:p w14:paraId="61BD2268">
      <w:pPr>
        <w:spacing w:line="240" w:lineRule="auto"/>
        <w:ind w:firstLine="3000" w:firstLineChars="1250"/>
        <w:rPr>
          <w:rFonts w:ascii="宋体" w:hAnsi="宋体" w:cs="宋体"/>
          <w:color w:val="auto"/>
          <w:highlight w:val="none"/>
        </w:rPr>
      </w:pPr>
      <w:r>
        <w:rPr>
          <w:rFonts w:hint="eastAsia" w:ascii="宋体" w:hAnsi="宋体" w:cs="宋体"/>
          <w:color w:val="auto"/>
          <w:sz w:val="24"/>
          <w:szCs w:val="20"/>
          <w:highlight w:val="none"/>
        </w:rPr>
        <w:t>日期：   年  月  日</w:t>
      </w:r>
    </w:p>
    <w:p w14:paraId="33F493C1">
      <w:pPr>
        <w:widowControl/>
        <w:tabs>
          <w:tab w:val="left" w:pos="720"/>
        </w:tabs>
        <w:topLinePunct w:val="0"/>
        <w:adjustRightInd/>
        <w:snapToGrid w:val="0"/>
        <w:spacing w:after="0" w:line="360" w:lineRule="auto"/>
        <w:jc w:val="left"/>
        <w:outlineLvl w:val="9"/>
        <w:rPr>
          <w:rFonts w:hint="eastAsia" w:ascii="宋体" w:hAnsi="宋体" w:eastAsia="宋体" w:cs="Times New Roman"/>
          <w:b w:val="0"/>
          <w:bCs w:val="0"/>
          <w:color w:val="auto"/>
          <w:spacing w:val="4"/>
          <w:kern w:val="0"/>
          <w:sz w:val="24"/>
          <w:szCs w:val="24"/>
          <w:highlight w:val="none"/>
        </w:rPr>
      </w:pPr>
      <w:r>
        <w:rPr>
          <w:rFonts w:hint="eastAsia" w:ascii="宋体" w:hAnsi="宋体" w:cs="宋体"/>
          <w:color w:val="auto"/>
          <w:highlight w:val="none"/>
        </w:rPr>
        <w:br w:type="page"/>
      </w:r>
      <w:r>
        <w:rPr>
          <w:rFonts w:hint="eastAsia" w:ascii="宋体" w:hAnsi="宋体" w:eastAsia="宋体" w:cs="Times New Roman"/>
          <w:b w:val="0"/>
          <w:bCs w:val="0"/>
          <w:color w:val="auto"/>
          <w:spacing w:val="4"/>
          <w:kern w:val="0"/>
          <w:sz w:val="24"/>
          <w:szCs w:val="24"/>
          <w:highlight w:val="none"/>
        </w:rPr>
        <w:t>格式</w:t>
      </w:r>
      <w:r>
        <w:rPr>
          <w:rFonts w:hint="eastAsia" w:ascii="宋体" w:hAnsi="宋体" w:eastAsia="宋体" w:cs="Times New Roman"/>
          <w:b w:val="0"/>
          <w:bCs w:val="0"/>
          <w:color w:val="auto"/>
          <w:spacing w:val="4"/>
          <w:kern w:val="0"/>
          <w:sz w:val="24"/>
          <w:szCs w:val="24"/>
          <w:highlight w:val="none"/>
          <w:lang w:val="en-US" w:eastAsia="zh-CN"/>
        </w:rPr>
        <w:t>十一</w:t>
      </w:r>
      <w:r>
        <w:rPr>
          <w:rFonts w:hint="eastAsia" w:ascii="宋体" w:hAnsi="宋体" w:eastAsia="宋体" w:cs="Times New Roman"/>
          <w:b w:val="0"/>
          <w:bCs w:val="0"/>
          <w:color w:val="auto"/>
          <w:spacing w:val="4"/>
          <w:kern w:val="0"/>
          <w:sz w:val="24"/>
          <w:szCs w:val="24"/>
          <w:highlight w:val="none"/>
        </w:rPr>
        <w:t>：参与编制技术标投标文件人员名单</w:t>
      </w:r>
    </w:p>
    <w:p w14:paraId="3E365C99">
      <w:pPr>
        <w:tabs>
          <w:tab w:val="left" w:pos="720"/>
        </w:tabs>
        <w:snapToGrid w:val="0"/>
        <w:spacing w:line="360" w:lineRule="auto"/>
        <w:jc w:val="center"/>
        <w:rPr>
          <w:rFonts w:hint="eastAsia"/>
          <w:b/>
          <w:bCs/>
          <w:color w:val="auto"/>
          <w:sz w:val="24"/>
          <w:szCs w:val="24"/>
          <w:highlight w:val="none"/>
        </w:rPr>
      </w:pPr>
    </w:p>
    <w:p w14:paraId="7AC52F0C">
      <w:pPr>
        <w:tabs>
          <w:tab w:val="left" w:pos="720"/>
        </w:tabs>
        <w:snapToGrid w:val="0"/>
        <w:spacing w:line="360" w:lineRule="auto"/>
        <w:jc w:val="center"/>
        <w:rPr>
          <w:b/>
          <w:bCs/>
          <w:color w:val="auto"/>
          <w:sz w:val="24"/>
          <w:szCs w:val="24"/>
          <w:highlight w:val="none"/>
        </w:rPr>
      </w:pPr>
      <w:r>
        <w:rPr>
          <w:rFonts w:hint="eastAsia"/>
          <w:b/>
          <w:bCs/>
          <w:color w:val="auto"/>
          <w:sz w:val="24"/>
          <w:szCs w:val="24"/>
          <w:highlight w:val="none"/>
        </w:rPr>
        <w:t>参与编制技术标投标文件人员名单</w:t>
      </w:r>
    </w:p>
    <w:tbl>
      <w:tblPr>
        <w:tblStyle w:val="3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528"/>
        <w:gridCol w:w="2581"/>
        <w:gridCol w:w="2476"/>
        <w:gridCol w:w="1514"/>
      </w:tblGrid>
      <w:tr w14:paraId="701C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20" w:type="dxa"/>
            <w:gridSpan w:val="5"/>
            <w:tcBorders>
              <w:top w:val="single" w:color="auto" w:sz="4" w:space="0"/>
              <w:left w:val="single" w:color="auto" w:sz="4" w:space="0"/>
              <w:bottom w:val="single" w:color="auto" w:sz="4" w:space="0"/>
              <w:right w:val="single" w:color="auto" w:sz="4" w:space="0"/>
            </w:tcBorders>
            <w:vAlign w:val="center"/>
          </w:tcPr>
          <w:p w14:paraId="55E3258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14:paraId="20D0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5B7205A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528" w:type="dxa"/>
            <w:tcBorders>
              <w:top w:val="single" w:color="auto" w:sz="4" w:space="0"/>
              <w:left w:val="single" w:color="auto" w:sz="4" w:space="0"/>
              <w:bottom w:val="single" w:color="auto" w:sz="4" w:space="0"/>
              <w:right w:val="single" w:color="auto" w:sz="4" w:space="0"/>
            </w:tcBorders>
            <w:vAlign w:val="center"/>
          </w:tcPr>
          <w:p w14:paraId="6D712C6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581" w:type="dxa"/>
            <w:tcBorders>
              <w:top w:val="single" w:color="auto" w:sz="4" w:space="0"/>
              <w:left w:val="single" w:color="auto" w:sz="4" w:space="0"/>
              <w:bottom w:val="single" w:color="auto" w:sz="4" w:space="0"/>
              <w:right w:val="single" w:color="auto" w:sz="4" w:space="0"/>
            </w:tcBorders>
            <w:vAlign w:val="center"/>
          </w:tcPr>
          <w:p w14:paraId="18CCF36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476" w:type="dxa"/>
            <w:tcBorders>
              <w:top w:val="single" w:color="auto" w:sz="4" w:space="0"/>
              <w:left w:val="single" w:color="auto" w:sz="4" w:space="0"/>
              <w:bottom w:val="single" w:color="auto" w:sz="4" w:space="0"/>
              <w:right w:val="single" w:color="auto" w:sz="4" w:space="0"/>
            </w:tcBorders>
            <w:vAlign w:val="center"/>
          </w:tcPr>
          <w:p w14:paraId="1E9C453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514" w:type="dxa"/>
            <w:tcBorders>
              <w:top w:val="single" w:color="auto" w:sz="4" w:space="0"/>
              <w:left w:val="single" w:color="auto" w:sz="4" w:space="0"/>
              <w:bottom w:val="single" w:color="auto" w:sz="4" w:space="0"/>
              <w:right w:val="single" w:color="auto" w:sz="4" w:space="0"/>
            </w:tcBorders>
            <w:vAlign w:val="center"/>
          </w:tcPr>
          <w:p w14:paraId="12D8451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14:paraId="427C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0A3C543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24AC711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6C327A9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094E72C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235A40B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A15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6A5CC98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5171B55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2945070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CDBC9B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611E35D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7395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53FB82B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64EE803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2B9B32E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A605C0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7DF311B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0910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6AA270F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1DE33B6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750AC43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068CD8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355E26A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17C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5F35490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38363E8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4402AEF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1F4164B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17F5A39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254F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6049528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6EFFB01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5EB29E0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8F92EE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7191BCF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1BF3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5ECDEB5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20799D5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39679B9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2CC2B69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58AB000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1C79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21" w:type="dxa"/>
            <w:tcBorders>
              <w:top w:val="single" w:color="auto" w:sz="4" w:space="0"/>
              <w:left w:val="single" w:color="auto" w:sz="4" w:space="0"/>
              <w:bottom w:val="single" w:color="auto" w:sz="4" w:space="0"/>
              <w:right w:val="single" w:color="auto" w:sz="4" w:space="0"/>
            </w:tcBorders>
            <w:vAlign w:val="center"/>
          </w:tcPr>
          <w:p w14:paraId="6417CB4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28" w:type="dxa"/>
            <w:tcBorders>
              <w:top w:val="single" w:color="auto" w:sz="4" w:space="0"/>
              <w:left w:val="single" w:color="auto" w:sz="4" w:space="0"/>
              <w:bottom w:val="single" w:color="auto" w:sz="4" w:space="0"/>
              <w:right w:val="single" w:color="auto" w:sz="4" w:space="0"/>
            </w:tcBorders>
            <w:vAlign w:val="center"/>
          </w:tcPr>
          <w:p w14:paraId="7B6E03A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581" w:type="dxa"/>
            <w:tcBorders>
              <w:top w:val="single" w:color="auto" w:sz="4" w:space="0"/>
              <w:left w:val="single" w:color="auto" w:sz="4" w:space="0"/>
              <w:bottom w:val="single" w:color="auto" w:sz="4" w:space="0"/>
              <w:right w:val="single" w:color="auto" w:sz="4" w:space="0"/>
            </w:tcBorders>
            <w:vAlign w:val="center"/>
          </w:tcPr>
          <w:p w14:paraId="5A95D88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476" w:type="dxa"/>
            <w:tcBorders>
              <w:top w:val="single" w:color="auto" w:sz="4" w:space="0"/>
              <w:left w:val="single" w:color="auto" w:sz="4" w:space="0"/>
              <w:bottom w:val="single" w:color="auto" w:sz="4" w:space="0"/>
              <w:right w:val="single" w:color="auto" w:sz="4" w:space="0"/>
            </w:tcBorders>
            <w:vAlign w:val="center"/>
          </w:tcPr>
          <w:p w14:paraId="7E8873E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514" w:type="dxa"/>
            <w:tcBorders>
              <w:top w:val="single" w:color="auto" w:sz="4" w:space="0"/>
              <w:left w:val="single" w:color="auto" w:sz="4" w:space="0"/>
              <w:bottom w:val="single" w:color="auto" w:sz="4" w:space="0"/>
              <w:right w:val="single" w:color="auto" w:sz="4" w:space="0"/>
            </w:tcBorders>
            <w:vAlign w:val="center"/>
          </w:tcPr>
          <w:p w14:paraId="1555040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14:paraId="5D0BCB4B">
      <w:pPr>
        <w:tabs>
          <w:tab w:val="left" w:pos="720"/>
        </w:tabs>
        <w:snapToGrid w:val="0"/>
        <w:spacing w:line="360" w:lineRule="auto"/>
        <w:rPr>
          <w:b/>
          <w:bCs/>
          <w:color w:val="auto"/>
          <w:sz w:val="24"/>
          <w:szCs w:val="24"/>
          <w:highlight w:val="none"/>
        </w:rPr>
      </w:pPr>
      <w:r>
        <w:rPr>
          <w:rFonts w:hint="eastAsia" w:ascii="宋体" w:hAnsi="宋体"/>
          <w:b/>
          <w:bCs/>
          <w:color w:val="auto"/>
          <w:szCs w:val="21"/>
          <w:highlight w:val="none"/>
        </w:rPr>
        <w:t>注：参与编制技术标投标文件所有人员名单应包括如编制技术投标方案、负责清样校对、负责打印及复印等所有人员在内的人员名单。</w:t>
      </w:r>
    </w:p>
    <w:p w14:paraId="15F2EB09">
      <w:pPr>
        <w:widowControl/>
        <w:topLinePunct/>
        <w:adjustRightInd w:val="0"/>
        <w:snapToGrid w:val="0"/>
        <w:spacing w:after="200"/>
        <w:jc w:val="left"/>
        <w:outlineLvl w:val="1"/>
        <w:rPr>
          <w:rFonts w:ascii="宋体" w:hAnsi="宋体"/>
          <w:b/>
          <w:color w:val="auto"/>
          <w:sz w:val="28"/>
          <w:highlight w:val="none"/>
        </w:rPr>
      </w:pPr>
      <w:r>
        <w:rPr>
          <w:rFonts w:hint="eastAsia" w:ascii="宋体" w:hAnsi="宋体" w:cs="宋体"/>
          <w:color w:val="auto"/>
          <w:highlight w:val="none"/>
        </w:rPr>
        <w:br w:type="page"/>
      </w:r>
      <w:bookmarkStart w:id="92" w:name="_Toc62056047"/>
      <w:bookmarkStart w:id="93" w:name="_Toc504722518"/>
      <w:bookmarkStart w:id="94" w:name="_Toc1507"/>
      <w:r>
        <w:rPr>
          <w:rFonts w:hint="eastAsia" w:ascii="宋体" w:hAnsi="宋体"/>
          <w:b/>
          <w:color w:val="auto"/>
          <w:sz w:val="28"/>
          <w:highlight w:val="none"/>
        </w:rPr>
        <w:t>二、经济标投标文件格式</w:t>
      </w:r>
      <w:bookmarkEnd w:id="92"/>
      <w:bookmarkEnd w:id="93"/>
      <w:bookmarkEnd w:id="94"/>
    </w:p>
    <w:p w14:paraId="17431FD9">
      <w:pPr>
        <w:widowControl/>
        <w:topLinePunct/>
        <w:adjustRightInd w:val="0"/>
        <w:snapToGrid w:val="0"/>
        <w:spacing w:after="200"/>
        <w:jc w:val="left"/>
        <w:outlineLvl w:val="2"/>
        <w:rPr>
          <w:rFonts w:ascii="宋体" w:hAnsi="宋体"/>
          <w:color w:val="auto"/>
          <w:spacing w:val="4"/>
          <w:kern w:val="0"/>
          <w:sz w:val="24"/>
          <w:szCs w:val="24"/>
          <w:highlight w:val="none"/>
        </w:rPr>
      </w:pPr>
      <w:bookmarkStart w:id="95" w:name="_Toc22912"/>
      <w:bookmarkStart w:id="96" w:name="_Toc29476922"/>
      <w:bookmarkStart w:id="97" w:name="_Toc504722519"/>
      <w:bookmarkStart w:id="98" w:name="_Toc62056048"/>
      <w:bookmarkStart w:id="99" w:name="_Toc4489953"/>
      <w:r>
        <w:rPr>
          <w:rFonts w:hint="eastAsia" w:ascii="宋体" w:hAnsi="宋体"/>
          <w:color w:val="auto"/>
          <w:spacing w:val="4"/>
          <w:kern w:val="0"/>
          <w:sz w:val="24"/>
          <w:szCs w:val="24"/>
          <w:highlight w:val="none"/>
        </w:rPr>
        <w:t>格式一：经济标封面</w:t>
      </w:r>
      <w:bookmarkEnd w:id="95"/>
      <w:bookmarkEnd w:id="96"/>
      <w:bookmarkEnd w:id="97"/>
      <w:bookmarkEnd w:id="98"/>
      <w:bookmarkEnd w:id="99"/>
    </w:p>
    <w:p w14:paraId="1341F7C5">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5C856C57">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2CDD36E2">
      <w:pPr>
        <w:widowControl/>
        <w:topLinePunct/>
        <w:adjustRightInd w:val="0"/>
        <w:snapToGrid w:val="0"/>
        <w:spacing w:after="200" w:line="360" w:lineRule="auto"/>
        <w:jc w:val="center"/>
        <w:rPr>
          <w:rFonts w:ascii="宋体" w:hAnsi="宋体"/>
          <w:color w:val="auto"/>
          <w:spacing w:val="4"/>
          <w:kern w:val="0"/>
          <w:sz w:val="36"/>
          <w:szCs w:val="36"/>
          <w:highlight w:val="none"/>
          <w:u w:val="single"/>
        </w:rPr>
      </w:pPr>
      <w:r>
        <w:rPr>
          <w:rFonts w:hint="eastAsia" w:ascii="宋体" w:hAnsi="宋体"/>
          <w:color w:val="auto"/>
          <w:spacing w:val="4"/>
          <w:kern w:val="0"/>
          <w:sz w:val="36"/>
          <w:szCs w:val="36"/>
          <w:highlight w:val="none"/>
          <w:u w:val="single"/>
        </w:rPr>
        <w:t xml:space="preserve">[工程名称] </w:t>
      </w:r>
    </w:p>
    <w:p w14:paraId="3F6FBE4C">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1B0E9E16">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0D57A485">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2641EF5B">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64EBB7BF">
      <w:pPr>
        <w:widowControl/>
        <w:topLinePunct/>
        <w:adjustRightInd w:val="0"/>
        <w:snapToGrid w:val="0"/>
        <w:spacing w:after="200" w:line="360" w:lineRule="auto"/>
        <w:jc w:val="center"/>
        <w:rPr>
          <w:rFonts w:ascii="宋体" w:hAnsi="宋体"/>
          <w:color w:val="auto"/>
          <w:spacing w:val="4"/>
          <w:kern w:val="0"/>
          <w:sz w:val="84"/>
          <w:szCs w:val="84"/>
          <w:highlight w:val="none"/>
        </w:rPr>
      </w:pPr>
      <w:r>
        <w:rPr>
          <w:rFonts w:hint="eastAsia" w:ascii="宋体" w:hAnsi="宋体"/>
          <w:color w:val="auto"/>
          <w:spacing w:val="4"/>
          <w:kern w:val="0"/>
          <w:sz w:val="84"/>
          <w:szCs w:val="84"/>
          <w:highlight w:val="none"/>
        </w:rPr>
        <w:t>投标文件</w:t>
      </w:r>
    </w:p>
    <w:p w14:paraId="28A2EC10">
      <w:pPr>
        <w:widowControl/>
        <w:topLinePunct/>
        <w:adjustRightInd w:val="0"/>
        <w:snapToGrid w:val="0"/>
        <w:spacing w:after="200" w:line="360" w:lineRule="auto"/>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第二册 （经济标书）</w:t>
      </w:r>
    </w:p>
    <w:p w14:paraId="270D9C92">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7798CA4D">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投标人：</w:t>
      </w:r>
      <w:bookmarkStart w:id="100" w:name="_Toc239311767"/>
      <w:bookmarkStart w:id="101" w:name="_Toc239216052"/>
      <w:bookmarkStart w:id="102" w:name="_Toc318924517"/>
      <w:bookmarkStart w:id="103" w:name="_Toc226209025"/>
      <w:bookmarkStart w:id="104" w:name="_Toc337720111"/>
      <w:bookmarkStart w:id="105" w:name="_Toc163337643"/>
      <w:bookmarkStart w:id="106" w:name="_Toc464131240"/>
      <w:bookmarkStart w:id="107" w:name="_Toc369536788"/>
      <w:bookmarkStart w:id="108" w:name="_Toc352240543"/>
      <w:bookmarkStart w:id="109" w:name="_Toc358370596"/>
      <w:bookmarkStart w:id="110" w:name="_Toc484958710"/>
      <w:bookmarkStart w:id="111" w:name="_Toc352623441"/>
      <w:bookmarkStart w:id="112" w:name="_Toc449308436"/>
      <w:bookmarkStart w:id="113" w:name="_Toc395261116"/>
      <w:r>
        <w:rPr>
          <w:rFonts w:hint="eastAsia" w:ascii="宋体" w:hAnsi="宋体"/>
          <w:color w:val="auto"/>
          <w:spacing w:val="4"/>
          <w:kern w:val="0"/>
          <w:sz w:val="30"/>
          <w:szCs w:val="30"/>
          <w:highlight w:val="none"/>
          <w:u w:val="single"/>
        </w:rPr>
        <w:t xml:space="preserve">       （填写投标人单位</w:t>
      </w:r>
      <w:bookmarkEnd w:id="100"/>
      <w:bookmarkEnd w:id="101"/>
      <w:bookmarkEnd w:id="102"/>
      <w:bookmarkEnd w:id="103"/>
      <w:bookmarkEnd w:id="104"/>
      <w:bookmarkEnd w:id="105"/>
      <w:r>
        <w:rPr>
          <w:rFonts w:hint="eastAsia" w:ascii="宋体" w:hAnsi="宋体"/>
          <w:color w:val="auto"/>
          <w:spacing w:val="4"/>
          <w:kern w:val="0"/>
          <w:sz w:val="30"/>
          <w:szCs w:val="30"/>
          <w:highlight w:val="none"/>
          <w:u w:val="single"/>
        </w:rPr>
        <w:t xml:space="preserve">名称）  </w:t>
      </w:r>
      <w:bookmarkEnd w:id="106"/>
      <w:bookmarkEnd w:id="107"/>
      <w:bookmarkEnd w:id="108"/>
      <w:bookmarkEnd w:id="109"/>
      <w:bookmarkEnd w:id="110"/>
      <w:bookmarkEnd w:id="111"/>
      <w:bookmarkEnd w:id="112"/>
      <w:bookmarkEnd w:id="113"/>
      <w:r>
        <w:rPr>
          <w:rFonts w:hint="eastAsia" w:ascii="宋体" w:hAnsi="宋体"/>
          <w:color w:val="auto"/>
          <w:spacing w:val="4"/>
          <w:kern w:val="0"/>
          <w:sz w:val="30"/>
          <w:szCs w:val="30"/>
          <w:highlight w:val="none"/>
          <w:u w:val="single"/>
        </w:rPr>
        <w:t xml:space="preserve">     </w:t>
      </w:r>
    </w:p>
    <w:p w14:paraId="1038F9D1">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p>
    <w:p w14:paraId="2F07E83F">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法定代表人或</w:t>
      </w:r>
    </w:p>
    <w:p w14:paraId="5CD25864">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其委托代理人：</w:t>
      </w:r>
      <w:r>
        <w:rPr>
          <w:rFonts w:hint="eastAsia" w:ascii="宋体" w:hAnsi="宋体"/>
          <w:color w:val="auto"/>
          <w:spacing w:val="4"/>
          <w:kern w:val="0"/>
          <w:sz w:val="30"/>
          <w:szCs w:val="30"/>
          <w:highlight w:val="none"/>
          <w:u w:val="single"/>
        </w:rPr>
        <w:t xml:space="preserve">                       （签字或盖章）</w:t>
      </w:r>
    </w:p>
    <w:p w14:paraId="1CB68479">
      <w:pPr>
        <w:widowControl/>
        <w:topLinePunct/>
        <w:adjustRightInd w:val="0"/>
        <w:snapToGrid w:val="0"/>
        <w:spacing w:after="200" w:line="360" w:lineRule="auto"/>
        <w:ind w:firstLine="616" w:firstLineChars="200"/>
        <w:jc w:val="left"/>
        <w:rPr>
          <w:rFonts w:ascii="宋体" w:hAnsi="宋体"/>
          <w:color w:val="auto"/>
          <w:spacing w:val="4"/>
          <w:kern w:val="0"/>
          <w:sz w:val="30"/>
          <w:szCs w:val="30"/>
          <w:highlight w:val="none"/>
        </w:rPr>
      </w:pPr>
      <w:r>
        <w:rPr>
          <w:rFonts w:hint="eastAsia" w:ascii="宋体" w:hAnsi="宋体"/>
          <w:color w:val="auto"/>
          <w:spacing w:val="4"/>
          <w:kern w:val="0"/>
          <w:sz w:val="30"/>
          <w:szCs w:val="30"/>
          <w:highlight w:val="none"/>
        </w:rPr>
        <w:t>日  期：</w:t>
      </w:r>
      <w:r>
        <w:rPr>
          <w:rFonts w:hint="eastAsia" w:ascii="宋体" w:hAnsi="宋体"/>
          <w:color w:val="auto"/>
          <w:spacing w:val="4"/>
          <w:kern w:val="0"/>
          <w:sz w:val="30"/>
          <w:szCs w:val="30"/>
          <w:highlight w:val="none"/>
          <w:u w:val="single"/>
        </w:rPr>
        <w:t xml:space="preserve">                                        </w:t>
      </w:r>
      <w:r>
        <w:rPr>
          <w:rFonts w:ascii="宋体" w:hAnsi="宋体"/>
          <w:color w:val="auto"/>
          <w:spacing w:val="4"/>
          <w:kern w:val="0"/>
          <w:sz w:val="30"/>
          <w:szCs w:val="30"/>
          <w:highlight w:val="none"/>
        </w:rPr>
        <w:t xml:space="preserve"> </w:t>
      </w:r>
    </w:p>
    <w:p w14:paraId="625281C1">
      <w:pPr>
        <w:widowControl/>
        <w:topLinePunct/>
        <w:adjustRightInd w:val="0"/>
        <w:snapToGrid w:val="0"/>
        <w:spacing w:after="200"/>
        <w:jc w:val="left"/>
        <w:outlineLvl w:val="2"/>
        <w:rPr>
          <w:rFonts w:ascii="黑体" w:hAnsi="宋体" w:eastAsia="黑体"/>
          <w:b/>
          <w:color w:val="auto"/>
          <w:spacing w:val="4"/>
          <w:kern w:val="0"/>
          <w:sz w:val="24"/>
          <w:szCs w:val="24"/>
          <w:highlight w:val="none"/>
        </w:rPr>
      </w:pPr>
      <w:r>
        <w:rPr>
          <w:rFonts w:ascii="宋体" w:hAnsi="宋体"/>
          <w:color w:val="auto"/>
          <w:spacing w:val="4"/>
          <w:kern w:val="0"/>
          <w:sz w:val="24"/>
          <w:szCs w:val="24"/>
          <w:highlight w:val="none"/>
        </w:rPr>
        <w:br w:type="page"/>
      </w:r>
      <w:bookmarkStart w:id="114" w:name="_Toc29476923"/>
      <w:bookmarkStart w:id="115" w:name="_Toc62056049"/>
      <w:bookmarkStart w:id="116" w:name="_Toc4489954"/>
      <w:r>
        <w:rPr>
          <w:rFonts w:hint="eastAsia" w:ascii="宋体" w:hAnsi="宋体"/>
          <w:color w:val="auto"/>
          <w:spacing w:val="4"/>
          <w:kern w:val="0"/>
          <w:sz w:val="24"/>
          <w:szCs w:val="24"/>
          <w:highlight w:val="none"/>
        </w:rPr>
        <w:t>格式二</w:t>
      </w:r>
      <w:bookmarkStart w:id="117" w:name="_Toc504722521"/>
      <w:bookmarkStart w:id="118" w:name="_Toc29524"/>
      <w:r>
        <w:rPr>
          <w:rFonts w:hint="eastAsia" w:ascii="宋体" w:hAnsi="宋体"/>
          <w:color w:val="auto"/>
          <w:spacing w:val="4"/>
          <w:kern w:val="0"/>
          <w:sz w:val="24"/>
          <w:szCs w:val="24"/>
          <w:highlight w:val="none"/>
        </w:rPr>
        <w:t>：工程量清单计价表</w:t>
      </w:r>
      <w:bookmarkEnd w:id="114"/>
      <w:bookmarkEnd w:id="115"/>
      <w:bookmarkEnd w:id="116"/>
      <w:bookmarkEnd w:id="117"/>
      <w:bookmarkEnd w:id="118"/>
    </w:p>
    <w:p w14:paraId="303E676D">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17903A68">
      <w:pPr>
        <w:widowControl/>
        <w:topLinePunct/>
        <w:adjustRightInd w:val="0"/>
        <w:snapToGrid w:val="0"/>
        <w:spacing w:after="200" w:line="360" w:lineRule="auto"/>
        <w:ind w:firstLine="617"/>
        <w:jc w:val="center"/>
        <w:rPr>
          <w:rFonts w:ascii="宋体" w:hAnsi="宋体"/>
          <w:color w:val="auto"/>
          <w:spacing w:val="4"/>
          <w:kern w:val="0"/>
          <w:sz w:val="36"/>
          <w:szCs w:val="36"/>
          <w:highlight w:val="none"/>
        </w:rPr>
      </w:pPr>
      <w:r>
        <w:rPr>
          <w:rFonts w:hint="eastAsia" w:ascii="宋体" w:hAnsi="宋体"/>
          <w:color w:val="auto"/>
          <w:spacing w:val="4"/>
          <w:kern w:val="0"/>
          <w:sz w:val="36"/>
          <w:szCs w:val="36"/>
          <w:highlight w:val="none"/>
        </w:rPr>
        <w:t>工程量清单计价表</w:t>
      </w:r>
    </w:p>
    <w:p w14:paraId="03B349F7">
      <w:pPr>
        <w:widowControl/>
        <w:topLinePunct/>
        <w:adjustRightInd w:val="0"/>
        <w:snapToGrid w:val="0"/>
        <w:spacing w:after="200" w:line="360" w:lineRule="auto"/>
        <w:ind w:firstLine="496" w:firstLineChars="200"/>
        <w:jc w:val="left"/>
        <w:rPr>
          <w:rFonts w:ascii="宋体" w:hAnsi="宋体"/>
          <w:color w:val="auto"/>
          <w:spacing w:val="4"/>
          <w:kern w:val="0"/>
          <w:sz w:val="24"/>
          <w:szCs w:val="24"/>
          <w:highlight w:val="none"/>
        </w:rPr>
      </w:pPr>
    </w:p>
    <w:p w14:paraId="3393FE8C">
      <w:pPr>
        <w:tabs>
          <w:tab w:val="left" w:pos="720"/>
        </w:tabs>
        <w:snapToGrid w:val="0"/>
        <w:spacing w:line="360" w:lineRule="auto"/>
        <w:jc w:val="center"/>
        <w:rPr>
          <w:rFonts w:ascii="宋体" w:hAnsi="宋体"/>
          <w:color w:val="auto"/>
          <w:highlight w:val="none"/>
        </w:rPr>
      </w:pPr>
      <w:r>
        <w:rPr>
          <w:rFonts w:hint="eastAsia" w:ascii="宋体" w:hAnsi="宋体"/>
          <w:color w:val="auto"/>
          <w:highlight w:val="none"/>
        </w:rPr>
        <w:t>本部分内容详见招标文件第七章工程量清单。</w:t>
      </w:r>
    </w:p>
    <w:p w14:paraId="545594CD">
      <w:pPr>
        <w:tabs>
          <w:tab w:val="left" w:pos="720"/>
        </w:tabs>
        <w:snapToGrid w:val="0"/>
        <w:spacing w:line="360" w:lineRule="auto"/>
        <w:outlineLvl w:val="2"/>
        <w:rPr>
          <w:rFonts w:ascii="宋体" w:hAnsi="宋体"/>
          <w:snapToGrid w:val="0"/>
          <w:color w:val="auto"/>
          <w:spacing w:val="4"/>
          <w:kern w:val="0"/>
          <w:sz w:val="24"/>
          <w:szCs w:val="24"/>
          <w:highlight w:val="none"/>
        </w:rPr>
      </w:pPr>
      <w:r>
        <w:rPr>
          <w:color w:val="auto"/>
          <w:highlight w:val="none"/>
        </w:rPr>
        <w:br w:type="page"/>
      </w:r>
      <w:bookmarkStart w:id="119" w:name="_Toc62056050"/>
      <w:r>
        <w:rPr>
          <w:rFonts w:hint="eastAsia" w:ascii="宋体" w:hAnsi="宋体"/>
          <w:snapToGrid w:val="0"/>
          <w:color w:val="auto"/>
          <w:spacing w:val="4"/>
          <w:kern w:val="0"/>
          <w:sz w:val="24"/>
          <w:szCs w:val="24"/>
          <w:highlight w:val="none"/>
        </w:rPr>
        <w:t>格式三：</w:t>
      </w:r>
      <w:r>
        <w:rPr>
          <w:rFonts w:hint="eastAsia"/>
          <w:color w:val="auto"/>
          <w:sz w:val="24"/>
          <w:szCs w:val="24"/>
          <w:highlight w:val="none"/>
        </w:rPr>
        <w:t>参与编制经济标投标文件人员名单</w:t>
      </w:r>
      <w:bookmarkEnd w:id="119"/>
    </w:p>
    <w:p w14:paraId="72D648B6">
      <w:pPr>
        <w:tabs>
          <w:tab w:val="left" w:pos="720"/>
        </w:tabs>
        <w:snapToGrid w:val="0"/>
        <w:spacing w:line="360" w:lineRule="auto"/>
        <w:jc w:val="center"/>
        <w:rPr>
          <w:b/>
          <w:color w:val="auto"/>
          <w:szCs w:val="21"/>
          <w:highlight w:val="none"/>
        </w:rPr>
      </w:pPr>
      <w:r>
        <w:rPr>
          <w:rFonts w:hint="eastAsia"/>
          <w:b/>
          <w:color w:val="auto"/>
          <w:szCs w:val="21"/>
          <w:highlight w:val="none"/>
        </w:rPr>
        <w:t>参与编制经济标投标文件人员名单</w:t>
      </w:r>
    </w:p>
    <w:tbl>
      <w:tblPr>
        <w:tblStyle w:val="3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14:paraId="6524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522" w:type="dxa"/>
            <w:gridSpan w:val="5"/>
            <w:tcBorders>
              <w:top w:val="single" w:color="auto" w:sz="4" w:space="0"/>
              <w:left w:val="single" w:color="auto" w:sz="4" w:space="0"/>
              <w:bottom w:val="single" w:color="auto" w:sz="4" w:space="0"/>
              <w:right w:val="single" w:color="auto" w:sz="4" w:space="0"/>
            </w:tcBorders>
            <w:vAlign w:val="center"/>
          </w:tcPr>
          <w:p w14:paraId="1FAD270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投标人名称</w:t>
            </w:r>
          </w:p>
        </w:tc>
      </w:tr>
      <w:tr w14:paraId="270F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2E4B63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vAlign w:val="center"/>
          </w:tcPr>
          <w:p w14:paraId="5904566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vAlign w:val="center"/>
          </w:tcPr>
          <w:p w14:paraId="5A99ECC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14:paraId="33839C1C">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14:paraId="0F9106C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r>
              <w:rPr>
                <w:rFonts w:hint="eastAsia" w:ascii="宋体" w:hAnsi="宋体"/>
                <w:color w:val="auto"/>
                <w:szCs w:val="21"/>
                <w:highlight w:val="none"/>
              </w:rPr>
              <w:t>本人签名栏</w:t>
            </w:r>
          </w:p>
        </w:tc>
      </w:tr>
      <w:tr w14:paraId="06E3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A8175A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7D742E54">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C1AEC1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2FFE149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78B050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4B9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3F68862">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13AC327">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6DA17AF3">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B5DC94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F07B63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6CA8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7D83BA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45BEEF4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6777B3B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1B4CA9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E30D98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982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A14887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49374A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46FA059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1B04C42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0DE36D0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1D06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11D870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DFBA1E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16CF1EDE">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6FE5110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747A936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4F80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559832ED">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56C25C8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6462A475">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0A390A98">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0705D84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03B5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057AD2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6B054010">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1315ADEB">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0F2984EA">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3AE32091">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r w14:paraId="1502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5FB187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vAlign w:val="center"/>
          </w:tcPr>
          <w:p w14:paraId="39FF6C09">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vAlign w:val="center"/>
          </w:tcPr>
          <w:p w14:paraId="529134D6">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vAlign w:val="center"/>
          </w:tcPr>
          <w:p w14:paraId="43D8071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1FDAA20F">
            <w:pPr>
              <w:keepNext w:val="0"/>
              <w:keepLines w:val="0"/>
              <w:suppressLineNumbers w:val="0"/>
              <w:tabs>
                <w:tab w:val="left" w:pos="720"/>
              </w:tabs>
              <w:snapToGrid w:val="0"/>
              <w:spacing w:before="0" w:beforeAutospacing="0" w:after="0" w:afterAutospacing="0" w:line="360" w:lineRule="auto"/>
              <w:ind w:left="0" w:right="0"/>
              <w:jc w:val="center"/>
              <w:rPr>
                <w:rFonts w:hint="default" w:ascii="宋体" w:hAnsi="宋体"/>
                <w:color w:val="auto"/>
                <w:szCs w:val="21"/>
                <w:highlight w:val="none"/>
              </w:rPr>
            </w:pPr>
          </w:p>
        </w:tc>
      </w:tr>
    </w:tbl>
    <w:p w14:paraId="17BD6246">
      <w:pPr>
        <w:tabs>
          <w:tab w:val="left" w:pos="720"/>
        </w:tabs>
        <w:snapToGrid w:val="0"/>
        <w:spacing w:line="360" w:lineRule="auto"/>
        <w:rPr>
          <w:color w:val="auto"/>
          <w:sz w:val="24"/>
          <w:szCs w:val="24"/>
          <w:highlight w:val="none"/>
        </w:rPr>
      </w:pPr>
    </w:p>
    <w:p w14:paraId="5AC2D3E9">
      <w:pPr>
        <w:spacing w:line="360" w:lineRule="auto"/>
        <w:ind w:left="-2" w:leftChars="-1" w:firstLine="350" w:firstLineChars="175"/>
        <w:jc w:val="left"/>
        <w:rPr>
          <w:color w:val="auto"/>
          <w:kern w:val="0"/>
          <w:sz w:val="20"/>
          <w:szCs w:val="21"/>
          <w:highlight w:val="none"/>
        </w:rPr>
      </w:pPr>
      <w:r>
        <w:rPr>
          <w:rFonts w:hint="eastAsia"/>
          <w:color w:val="auto"/>
          <w:kern w:val="0"/>
          <w:sz w:val="20"/>
          <w:szCs w:val="21"/>
          <w:highlight w:val="none"/>
        </w:rPr>
        <w:t>注：参与编制经济标投标文件所有人员名单应包括编制各种专业工程量清单投标报价、负责清样校对、负责打印及复印等所有人员在内的人员名单。</w:t>
      </w:r>
    </w:p>
    <w:p w14:paraId="011CCA43">
      <w:pPr>
        <w:spacing w:line="360" w:lineRule="auto"/>
        <w:ind w:left="-2" w:leftChars="-1" w:firstLine="420" w:firstLineChars="175"/>
        <w:jc w:val="center"/>
        <w:rPr>
          <w:color w:val="auto"/>
          <w:kern w:val="0"/>
          <w:sz w:val="24"/>
          <w:szCs w:val="24"/>
          <w:highlight w:val="none"/>
        </w:rPr>
      </w:pPr>
    </w:p>
    <w:p w14:paraId="165BC218">
      <w:pPr>
        <w:autoSpaceDE w:val="0"/>
        <w:autoSpaceDN w:val="0"/>
        <w:adjustRightInd w:val="0"/>
        <w:outlineLvl w:val="2"/>
        <w:rPr>
          <w:color w:val="auto"/>
          <w:szCs w:val="21"/>
          <w:highlight w:val="none"/>
        </w:rPr>
      </w:pPr>
      <w:r>
        <w:rPr>
          <w:color w:val="auto"/>
          <w:szCs w:val="21"/>
          <w:highlight w:val="none"/>
        </w:rPr>
        <w:br w:type="page"/>
      </w:r>
      <w:bookmarkStart w:id="120" w:name="_Toc62056051"/>
      <w:r>
        <w:rPr>
          <w:rFonts w:hint="eastAsia" w:ascii="宋体" w:hAnsi="宋体"/>
          <w:snapToGrid w:val="0"/>
          <w:color w:val="auto"/>
          <w:spacing w:val="4"/>
          <w:kern w:val="0"/>
          <w:sz w:val="24"/>
          <w:szCs w:val="24"/>
          <w:highlight w:val="none"/>
        </w:rPr>
        <w:t>格式四：对投标文件编制的承诺</w:t>
      </w:r>
      <w:bookmarkEnd w:id="120"/>
    </w:p>
    <w:p w14:paraId="5FB3F8C1">
      <w:pPr>
        <w:spacing w:line="360" w:lineRule="auto"/>
        <w:jc w:val="center"/>
        <w:rPr>
          <w:color w:val="auto"/>
          <w:kern w:val="0"/>
          <w:sz w:val="32"/>
          <w:szCs w:val="32"/>
          <w:highlight w:val="none"/>
        </w:rPr>
      </w:pPr>
      <w:r>
        <w:rPr>
          <w:rFonts w:hint="eastAsia"/>
          <w:b/>
          <w:color w:val="auto"/>
          <w:kern w:val="0"/>
          <w:sz w:val="32"/>
          <w:szCs w:val="32"/>
          <w:highlight w:val="none"/>
        </w:rPr>
        <w:t>对投标文件编制的承诺</w:t>
      </w:r>
    </w:p>
    <w:p w14:paraId="372D78C9">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本公司授权</w:t>
      </w:r>
      <w:r>
        <w:rPr>
          <w:rFonts w:hint="eastAsia" w:ascii="宋体" w:hAnsi="宋体"/>
          <w:color w:val="auto"/>
          <w:kern w:val="0"/>
          <w:sz w:val="24"/>
          <w:szCs w:val="24"/>
          <w:highlight w:val="none"/>
          <w:u w:val="single"/>
        </w:rPr>
        <w:t xml:space="preserve">         （身份证号：               ）</w:t>
      </w:r>
      <w:r>
        <w:rPr>
          <w:rFonts w:hint="eastAsia" w:ascii="宋体" w:hAnsi="宋体"/>
          <w:color w:val="auto"/>
          <w:kern w:val="0"/>
          <w:sz w:val="24"/>
          <w:szCs w:val="24"/>
          <w:highlight w:val="none"/>
        </w:rPr>
        <w:t>负责对投标文件的编制及内容进行解释、说明，并承诺以下事项：</w:t>
      </w:r>
    </w:p>
    <w:p w14:paraId="5F32BECC">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1.被授权人清楚投标文件编制的具体情况，包括技术方案文件、工程量清单、以及投标文件的加密打包的理解；</w:t>
      </w:r>
    </w:p>
    <w:p w14:paraId="6DB12F8C">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2.在本项目开标至评标结束前，努力确保被授权人在项目评标所在地附近；</w:t>
      </w:r>
    </w:p>
    <w:p w14:paraId="1D23D009">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3.从评标委员会要求澄清起二小时内，被授权人应如实地书面澄清。</w:t>
      </w:r>
    </w:p>
    <w:p w14:paraId="2E549A3A">
      <w:pPr>
        <w:spacing w:line="360" w:lineRule="auto"/>
        <w:ind w:left="-2" w:leftChars="-1" w:firstLine="540" w:firstLineChars="225"/>
        <w:rPr>
          <w:rFonts w:ascii="宋体" w:hAnsi="宋体"/>
          <w:color w:val="auto"/>
          <w:kern w:val="0"/>
          <w:sz w:val="24"/>
          <w:szCs w:val="24"/>
          <w:highlight w:val="none"/>
        </w:rPr>
      </w:pPr>
      <w:r>
        <w:rPr>
          <w:rFonts w:hint="eastAsia" w:ascii="宋体" w:hAnsi="宋体"/>
          <w:color w:val="auto"/>
          <w:kern w:val="0"/>
          <w:sz w:val="24"/>
          <w:szCs w:val="24"/>
          <w:highlight w:val="none"/>
        </w:rPr>
        <w:t>如由于未遵守上述承诺内容之一导致无法进行澄清的，我公司认可和接受评标委员会作出的评审结论。</w:t>
      </w:r>
    </w:p>
    <w:p w14:paraId="193AC2EA">
      <w:pPr>
        <w:spacing w:line="360" w:lineRule="auto"/>
        <w:ind w:firstLine="360" w:firstLineChars="150"/>
        <w:rPr>
          <w:rFonts w:ascii="宋体" w:hAnsi="宋体"/>
          <w:color w:val="auto"/>
          <w:kern w:val="0"/>
          <w:sz w:val="24"/>
          <w:szCs w:val="24"/>
          <w:highlight w:val="none"/>
        </w:rPr>
      </w:pPr>
      <w:r>
        <w:rPr>
          <w:rFonts w:hint="eastAsia" w:ascii="宋体" w:hAnsi="宋体"/>
          <w:color w:val="auto"/>
          <w:kern w:val="0"/>
          <w:sz w:val="24"/>
          <w:szCs w:val="24"/>
          <w:highlight w:val="none"/>
        </w:rPr>
        <w:t xml:space="preserve"> </w:t>
      </w:r>
    </w:p>
    <w:p w14:paraId="1AE2C016">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附件：《投标文件编制情况》</w:t>
      </w:r>
    </w:p>
    <w:p w14:paraId="5374C04B">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w:t>
      </w:r>
      <w:r>
        <w:rPr>
          <w:rFonts w:hint="eastAsia" w:ascii="宋体" w:hAnsi="宋体"/>
          <w:color w:val="auto"/>
          <w:sz w:val="24"/>
          <w:szCs w:val="24"/>
          <w:highlight w:val="none"/>
          <w:u w:val="single"/>
        </w:rPr>
        <w:t xml:space="preserve">                  </w:t>
      </w:r>
    </w:p>
    <w:p w14:paraId="148A10D0">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r>
        <w:rPr>
          <w:rFonts w:hint="eastAsia" w:ascii="宋体" w:hAnsi="宋体"/>
          <w:color w:val="auto"/>
          <w:sz w:val="24"/>
          <w:szCs w:val="24"/>
          <w:highlight w:val="none"/>
          <w:u w:val="single"/>
        </w:rPr>
        <w:t xml:space="preserve">                  </w:t>
      </w:r>
    </w:p>
    <w:p w14:paraId="5C9F9F99">
      <w:pPr>
        <w:spacing w:line="360" w:lineRule="auto"/>
        <w:ind w:firstLine="4440" w:firstLineChars="1850"/>
        <w:jc w:val="center"/>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16679577">
      <w:pPr>
        <w:spacing w:line="360" w:lineRule="auto"/>
        <w:rPr>
          <w:b/>
          <w:color w:val="auto"/>
          <w:kern w:val="0"/>
          <w:sz w:val="32"/>
          <w:szCs w:val="32"/>
          <w:highlight w:val="none"/>
        </w:rPr>
      </w:pPr>
    </w:p>
    <w:p w14:paraId="736931D5">
      <w:pPr>
        <w:spacing w:line="360" w:lineRule="auto"/>
        <w:ind w:firstLine="643" w:firstLineChars="200"/>
        <w:jc w:val="center"/>
        <w:rPr>
          <w:color w:val="auto"/>
          <w:kern w:val="0"/>
          <w:sz w:val="18"/>
          <w:szCs w:val="18"/>
          <w:highlight w:val="none"/>
        </w:rPr>
      </w:pPr>
      <w:r>
        <w:rPr>
          <w:rFonts w:hint="eastAsia"/>
          <w:b/>
          <w:color w:val="auto"/>
          <w:kern w:val="0"/>
          <w:sz w:val="32"/>
          <w:szCs w:val="32"/>
          <w:highlight w:val="none"/>
        </w:rPr>
        <w:t>投标文件编制情况</w:t>
      </w:r>
    </w:p>
    <w:p w14:paraId="08F928F0">
      <w:pPr>
        <w:spacing w:line="360" w:lineRule="auto"/>
        <w:ind w:firstLine="480" w:firstLineChars="200"/>
        <w:rPr>
          <w:rFonts w:ascii="宋体" w:hAnsi="宋体"/>
          <w:color w:val="auto"/>
          <w:kern w:val="0"/>
          <w:sz w:val="24"/>
          <w:szCs w:val="24"/>
          <w:highlight w:val="none"/>
          <w:u w:val="single"/>
        </w:rPr>
      </w:pPr>
      <w:r>
        <w:rPr>
          <w:rFonts w:hint="eastAsia" w:ascii="宋体" w:hAnsi="宋体"/>
          <w:color w:val="auto"/>
          <w:kern w:val="0"/>
          <w:sz w:val="24"/>
          <w:szCs w:val="24"/>
          <w:highlight w:val="none"/>
        </w:rPr>
        <w:t>1.投标文件报价编制方式： □自行编制的，编制的负责人：</w:t>
      </w:r>
      <w:r>
        <w:rPr>
          <w:rFonts w:hint="eastAsia" w:ascii="宋体" w:hAnsi="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olor w:val="auto"/>
          <w:kern w:val="0"/>
          <w:sz w:val="24"/>
          <w:szCs w:val="24"/>
          <w:highlight w:val="none"/>
        </w:rPr>
        <w:t>。□委托编制的，受委托单位</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，编制的负责人：</w:t>
      </w:r>
      <w:r>
        <w:rPr>
          <w:rFonts w:hint="eastAsia" w:ascii="宋体" w:hAnsi="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olor w:val="auto"/>
          <w:kern w:val="0"/>
          <w:sz w:val="24"/>
          <w:szCs w:val="24"/>
          <w:highlight w:val="none"/>
        </w:rPr>
        <w:t>。</w:t>
      </w:r>
    </w:p>
    <w:p w14:paraId="3130AA6D">
      <w:pPr>
        <w:spacing w:line="360" w:lineRule="auto"/>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2.投标文件加密打包的电脑情况</w:t>
      </w:r>
    </w:p>
    <w:tbl>
      <w:tblPr>
        <w:tblStyle w:val="39"/>
        <w:tblW w:w="8522" w:type="dxa"/>
        <w:tblInd w:w="0" w:type="dxa"/>
        <w:tblLayout w:type="fixed"/>
        <w:tblCellMar>
          <w:top w:w="0" w:type="dxa"/>
          <w:left w:w="108" w:type="dxa"/>
          <w:bottom w:w="0" w:type="dxa"/>
          <w:right w:w="108" w:type="dxa"/>
        </w:tblCellMar>
      </w:tblPr>
      <w:tblGrid>
        <w:gridCol w:w="8522"/>
      </w:tblGrid>
      <w:tr w14:paraId="688F46AD">
        <w:tblPrEx>
          <w:tblCellMar>
            <w:top w:w="0" w:type="dxa"/>
            <w:left w:w="108" w:type="dxa"/>
            <w:bottom w:w="0" w:type="dxa"/>
            <w:right w:w="108" w:type="dxa"/>
          </w:tblCellMar>
        </w:tblPrEx>
        <w:trPr>
          <w:trHeight w:val="2819" w:hRule="atLeast"/>
        </w:trPr>
        <w:tc>
          <w:tcPr>
            <w:tcW w:w="8522" w:type="dxa"/>
          </w:tcPr>
          <w:p w14:paraId="35C71753">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7FE22D0B">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电脑类型</w:t>
            </w:r>
          </w:p>
          <w:p w14:paraId="245A51EC">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电脑所属单位</w:t>
            </w:r>
          </w:p>
          <w:p w14:paraId="2C647DB8">
            <w:pPr>
              <w:keepNext w:val="0"/>
              <w:keepLines w:val="0"/>
              <w:suppressLineNumbers w:val="0"/>
              <w:spacing w:before="0" w:beforeAutospacing="0" w:after="0" w:afterAutospacing="0" w:line="360" w:lineRule="auto"/>
              <w:ind w:left="0" w:right="0"/>
              <w:rPr>
                <w:rFonts w:hint="default"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748C2938">
      <w:pPr>
        <w:jc w:val="center"/>
        <w:rPr>
          <w:rStyle w:val="54"/>
          <w:rFonts w:ascii="宋体" w:hAnsi="宋体" w:cs="宋体"/>
          <w:color w:val="auto"/>
          <w:highlight w:val="none"/>
        </w:rPr>
      </w:pPr>
      <w:r>
        <w:rPr>
          <w:rFonts w:hint="eastAsia" w:ascii="宋体" w:hAnsi="宋体" w:cs="宋体"/>
          <w:color w:val="auto"/>
          <w:highlight w:val="none"/>
        </w:rPr>
        <w:br w:type="page"/>
      </w:r>
      <w:bookmarkStart w:id="121" w:name="_Toc22889"/>
      <w:r>
        <w:rPr>
          <w:rStyle w:val="54"/>
          <w:rFonts w:hint="eastAsia" w:ascii="宋体" w:hAnsi="宋体" w:cs="宋体"/>
          <w:color w:val="auto"/>
          <w:highlight w:val="none"/>
        </w:rPr>
        <w:t>第五章  技术条件（工程建设标准）</w:t>
      </w:r>
      <w:bookmarkEnd w:id="121"/>
    </w:p>
    <w:p w14:paraId="25E447A0">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rPr>
      </w:pPr>
      <w:bookmarkStart w:id="122" w:name="_Toc17006"/>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具体按施工图纸、中华人民共和国现行技术和验收规范、图纸中规定的其它技术和验收标准、遵照招标人相关规定要求为准</w:t>
      </w:r>
    </w:p>
    <w:p w14:paraId="22EF0689">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依据招标文件及相关文件的要求，本招标工程项目的材料、设备、施工须达到中华人民共和国以及省、市或行业的工程建设标准、规范的要求。</w:t>
      </w:r>
    </w:p>
    <w:p w14:paraId="031058C4">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施工现场建筑垃圾源头减量的具体要求和建筑垃圾综合利用产品的使用要求。</w:t>
      </w:r>
    </w:p>
    <w:p w14:paraId="7E523D8E">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3.1工程</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lang w:val="en-US" w:eastAsia="zh-CN"/>
        </w:rPr>
        <w:t>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297F5583">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3.2建筑垃圾应当按照国家有关规定进行分类，实行分类收集、分类贮存、分类运输、分类处置。</w:t>
      </w:r>
    </w:p>
    <w:p w14:paraId="085BF705">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3.3建设单位应当建立建筑垃圾分类收集、贮存以及台账管理等制度，督促施工单位开展建筑垃圾分类和合法装载，并及时向工程所在地县级人民政府建筑垃圾主管部门报送建筑垃圾处理方案。</w:t>
      </w:r>
    </w:p>
    <w:p w14:paraId="7D362862">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施工单位应当建立建筑垃圾管理台账，分类收集、贮存和及时清运施工过程中产生的建筑垃圾，采取有效措施防止混合已分类的建筑垃圾。</w:t>
      </w:r>
    </w:p>
    <w:p w14:paraId="07575519">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工程施工单位应当将建筑垃圾的产生量与种类、清运时间、最终去向等信息在施工现场公示，接受社会监督。</w:t>
      </w:r>
    </w:p>
    <w:p w14:paraId="7AF95DCF">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569E5CE2">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建筑垃圾运输车辆、船舶应当符合相应的载运技术条件。建筑垃圾处置场所为陆域的，不得采用开底式船舶运输建筑垃圾。</w:t>
      </w:r>
    </w:p>
    <w:p w14:paraId="0A6C09F1">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3.5工程泥浆应当在施工现场进行脱水固化处理。施工现场不具备条件的，应当采用罐装器具密闭运输至依法设置的建筑垃圾处置场所进行处置。水上工程中依法无需经脱水处理的除外。</w:t>
      </w:r>
    </w:p>
    <w:p w14:paraId="1911E21C">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14:paraId="3981837B">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具备现场综合利用条件的建设工程，应当进行建筑垃圾现场综合利用。</w:t>
      </w:r>
    </w:p>
    <w:p w14:paraId="387DA389">
      <w:pPr>
        <w:numPr>
          <w:ilvl w:val="0"/>
          <w:numId w:val="0"/>
        </w:numPr>
        <w:shd w:val="clear" w:color="auto" w:fill="auto"/>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3.7建设单位和施工单位严格遵守并执行《广东省建筑垃圾管理条例》。</w:t>
      </w:r>
    </w:p>
    <w:p w14:paraId="6CF23890">
      <w:pPr>
        <w:numPr>
          <w:ilvl w:val="0"/>
          <w:numId w:val="0"/>
        </w:numPr>
        <w:shd w:val="clear" w:color="auto" w:fill="auto"/>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4.其他要求详见《广州国际文化中心项目10KV备用回路工程专业承包用户需求书》。</w:t>
      </w:r>
    </w:p>
    <w:p w14:paraId="226F4953">
      <w:pPr>
        <w:tabs>
          <w:tab w:val="left" w:pos="840"/>
        </w:tabs>
        <w:jc w:val="center"/>
        <w:rPr>
          <w:rFonts w:hint="eastAsia" w:ascii="仿宋" w:hAnsi="仿宋" w:eastAsia="仿宋" w:cs="仿宋"/>
          <w:color w:val="auto"/>
          <w:sz w:val="18"/>
          <w:szCs w:val="20"/>
          <w:highlight w:val="none"/>
        </w:rPr>
      </w:pPr>
      <w:r>
        <w:rPr>
          <w:rFonts w:hint="eastAsia" w:ascii="方正小标宋简体" w:hAnsi="方正小标宋简体" w:eastAsia="方正小标宋简体" w:cs="方正小标宋简体"/>
          <w:b w:val="0"/>
          <w:bCs w:val="0"/>
          <w:color w:val="auto"/>
          <w:sz w:val="36"/>
          <w:szCs w:val="36"/>
          <w:highlight w:val="none"/>
        </w:rPr>
        <w:br w:type="page"/>
      </w:r>
      <w:r>
        <w:rPr>
          <w:rFonts w:hint="eastAsia" w:ascii="仿宋" w:hAnsi="仿宋" w:eastAsia="仿宋" w:cs="仿宋"/>
          <w:b/>
          <w:color w:val="auto"/>
          <w:sz w:val="40"/>
          <w:szCs w:val="40"/>
          <w:highlight w:val="none"/>
        </w:rPr>
        <w:t>广州国际文化中心项目10KV备用回路工程专业承包用户需求书</w:t>
      </w:r>
      <w:r>
        <w:rPr>
          <w:rFonts w:hint="eastAsia" w:ascii="仿宋" w:hAnsi="仿宋" w:eastAsia="仿宋" w:cs="仿宋"/>
          <w:b/>
          <w:color w:val="auto"/>
          <w:sz w:val="44"/>
          <w:szCs w:val="44"/>
          <w:highlight w:val="none"/>
        </w:rPr>
        <w:br w:type="textWrapping"/>
      </w:r>
    </w:p>
    <w:p w14:paraId="292B6FBF">
      <w:pPr>
        <w:pStyle w:val="9"/>
        <w:tabs>
          <w:tab w:val="left" w:pos="840"/>
        </w:tabs>
        <w:spacing w:before="0" w:after="0" w:line="560" w:lineRule="exact"/>
        <w:ind w:firstLine="482"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一、专业分包工程概况</w:t>
      </w:r>
    </w:p>
    <w:p w14:paraId="38D9EFF9">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：广州国际文化中心项目10KV备用回路工程施工专业承包。</w:t>
      </w:r>
    </w:p>
    <w:p w14:paraId="1C60ACB4">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rPr>
        <w:t>广州市海珠区琶洲西区AH040245地块。</w:t>
      </w:r>
    </w:p>
    <w:p w14:paraId="1FA22B11">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rPr>
        <w:t>广东省企业投资项目备案证（编号2018-440105-70-03-848377）。</w:t>
      </w:r>
    </w:p>
    <w:p w14:paraId="7E671C1D">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rPr>
        <w:t>企业自筹</w:t>
      </w:r>
      <w:r>
        <w:rPr>
          <w:rFonts w:hint="eastAsia" w:ascii="仿宋" w:hAnsi="仿宋" w:eastAsia="仿宋" w:cs="仿宋"/>
          <w:bCs/>
          <w:color w:val="auto"/>
          <w:sz w:val="24"/>
          <w:szCs w:val="24"/>
          <w:highlight w:val="none"/>
        </w:rPr>
        <w:t>。</w:t>
      </w:r>
    </w:p>
    <w:p w14:paraId="3D817DB5">
      <w:pPr>
        <w:tabs>
          <w:tab w:val="left" w:pos="840"/>
        </w:tabs>
        <w:spacing w:line="56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5.工程概况：广州国际文化中心，总建筑面积约16万平方米，主楼建筑高度320米，地上54层，地下5层。</w:t>
      </w:r>
      <w:r>
        <w:rPr>
          <w:rFonts w:hint="eastAsia" w:ascii="仿宋" w:hAnsi="仿宋" w:eastAsia="仿宋" w:cs="仿宋"/>
          <w:bCs/>
          <w:color w:val="auto"/>
          <w:sz w:val="24"/>
          <w:szCs w:val="24"/>
          <w:highlight w:val="none"/>
          <w:lang w:val="en-US" w:eastAsia="zh-CN"/>
        </w:rPr>
        <w:t>本标段主要为</w:t>
      </w:r>
      <w:r>
        <w:rPr>
          <w:rFonts w:hint="eastAsia" w:ascii="仿宋" w:hAnsi="仿宋" w:eastAsia="仿宋" w:cs="仿宋"/>
          <w:bCs/>
          <w:color w:val="auto"/>
          <w:sz w:val="24"/>
          <w:szCs w:val="24"/>
          <w:highlight w:val="none"/>
        </w:rPr>
        <w:t>广州国际文化中心10KV备用回路工程</w:t>
      </w:r>
      <w:r>
        <w:rPr>
          <w:rFonts w:hint="eastAsia" w:ascii="仿宋" w:hAnsi="仿宋" w:eastAsia="仿宋" w:cs="仿宋"/>
          <w:bCs/>
          <w:color w:val="auto"/>
          <w:sz w:val="24"/>
          <w:szCs w:val="24"/>
          <w:highlight w:val="none"/>
          <w:lang w:val="en-US" w:eastAsia="zh-CN"/>
        </w:rPr>
        <w:t>施工。</w:t>
      </w:r>
    </w:p>
    <w:p w14:paraId="4DFD4CDB">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6.工程内容:负责本项目10KV备用回路工程报批报建工作，并负责工程实施、取得用电许可和供电工作，包括但不限于以下内容:</w:t>
      </w:r>
    </w:p>
    <w:p w14:paraId="63AF31D4">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（1）</w:t>
      </w:r>
      <w:r>
        <w:rPr>
          <w:rFonts w:hint="eastAsia" w:ascii="仿宋" w:hAnsi="仿宋" w:eastAsia="仿宋" w:cs="仿宋"/>
          <w:bCs/>
          <w:color w:val="auto"/>
          <w:sz w:val="24"/>
          <w:szCs w:val="24"/>
          <w:highlight w:val="none"/>
        </w:rPr>
        <w:t>负责本项目涉及的所有报批报建等工作（包括但不限于涉及穿过猎德大道新建管线的开挖施工方案、防护方案、安全监测方案、保障公路、公路附属设施质量和安全技术评价报告等）;</w:t>
      </w:r>
    </w:p>
    <w:p w14:paraId="15CDBD37">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（2）</w:t>
      </w:r>
      <w:r>
        <w:rPr>
          <w:rFonts w:hint="eastAsia" w:ascii="仿宋" w:hAnsi="仿宋" w:eastAsia="仿宋" w:cs="仿宋"/>
          <w:bCs/>
          <w:color w:val="auto"/>
          <w:sz w:val="24"/>
          <w:szCs w:val="24"/>
          <w:highlight w:val="none"/>
        </w:rPr>
        <w:t>负责由供电部门批准的电源接驳点艺苑站F15出线柜新敷设10KV回路电缆至项目新建开关房的</w:t>
      </w:r>
      <w:bookmarkStart w:id="125" w:name="_GoBack"/>
      <w:bookmarkEnd w:id="125"/>
      <w:r>
        <w:rPr>
          <w:rFonts w:hint="eastAsia" w:ascii="仿宋" w:hAnsi="仿宋" w:eastAsia="仿宋" w:cs="仿宋"/>
          <w:bCs/>
          <w:color w:val="auto"/>
          <w:sz w:val="24"/>
          <w:szCs w:val="24"/>
          <w:highlight w:val="none"/>
        </w:rPr>
        <w:t>施工任务</w:t>
      </w:r>
      <w:ins w:id="0" w:author="招标代理" w:date="2025-08-06T11:13:04Z">
        <w:r>
          <w:rPr>
            <w:rFonts w:hint="eastAsia" w:ascii="仿宋" w:hAnsi="仿宋" w:eastAsia="仿宋" w:cs="仿宋"/>
            <w:bCs/>
            <w:color w:val="auto"/>
            <w:sz w:val="24"/>
            <w:szCs w:val="24"/>
            <w:highlight w:val="none"/>
          </w:rPr>
          <w:t>及电缆试验活动</w:t>
        </w:r>
      </w:ins>
      <w:r>
        <w:rPr>
          <w:rFonts w:hint="eastAsia" w:ascii="仿宋" w:hAnsi="仿宋" w:eastAsia="仿宋" w:cs="仿宋"/>
          <w:bCs/>
          <w:color w:val="auto"/>
          <w:sz w:val="24"/>
          <w:szCs w:val="24"/>
          <w:highlight w:val="none"/>
        </w:rPr>
        <w:t>(详见用户需求书和供电方案协议)，并通过甲方及供电部门的验收，取得用电许可及供电工作;</w:t>
      </w:r>
    </w:p>
    <w:p w14:paraId="16289006">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kern w:val="2"/>
          <w:sz w:val="24"/>
          <w:szCs w:val="24"/>
          <w:highlight w:val="none"/>
          <w:lang w:val="en-US" w:eastAsia="zh-CN" w:bidi="ar-SA"/>
        </w:rPr>
        <w:t>（3）</w:t>
      </w:r>
      <w:r>
        <w:rPr>
          <w:rFonts w:hint="eastAsia" w:ascii="仿宋" w:hAnsi="仿宋" w:eastAsia="仿宋" w:cs="仿宋"/>
          <w:bCs/>
          <w:color w:val="auto"/>
          <w:sz w:val="24"/>
          <w:szCs w:val="24"/>
          <w:highlight w:val="none"/>
        </w:rPr>
        <w:t>负责10KV备用回路管线过路、管线入廊施工的报建报批等工作（入廊费用由用户缴付，专业承包人协助办理）。负责工程实施验收工作。</w:t>
      </w:r>
    </w:p>
    <w:p w14:paraId="725F2971">
      <w:pPr>
        <w:tabs>
          <w:tab w:val="left" w:pos="840"/>
        </w:tabs>
        <w:spacing w:line="560" w:lineRule="exact"/>
        <w:ind w:firstLine="480" w:firstLineChars="200"/>
        <w:outlineLvl w:val="0"/>
        <w:rPr>
          <w:rFonts w:hint="eastAsia" w:ascii="仿宋" w:hAnsi="仿宋" w:eastAsia="仿宋" w:cs="仿宋"/>
          <w:color w:val="auto"/>
          <w:sz w:val="18"/>
          <w:szCs w:val="20"/>
          <w:highlight w:val="none"/>
        </w:rPr>
      </w:pPr>
      <w:r>
        <w:rPr>
          <w:rFonts w:hint="eastAsia" w:ascii="仿宋" w:hAnsi="仿宋" w:eastAsia="仿宋" w:cs="仿宋"/>
          <w:bCs/>
          <w:color w:val="auto"/>
          <w:sz w:val="24"/>
          <w:szCs w:val="24"/>
          <w:highlight w:val="none"/>
        </w:rPr>
        <w:t>上述所描述的工作内容仅是概括性的，不能视为是完整无缺的。专业承包人应参阅合同文件中的其他部分，去完全了解工程的实际范围与工作内容。根据本合同所需进行施工的工程包括合同文件、合同图纸（技术说明书及技术规格书）及项目需求书、工程技术要求及工程量清单内所显示的一切项目。承包人有责任现场踏勘，细阅合同图纸、项目需求书及工程技术要求，务求对所有施工工程的所有内容做到完全清楚了解。此外专业承包人还须负责与本合同工程施工有关的安全监测、环境清理、市容维护、交通、噪音、扰民调停、垃圾清理外运、路面修复等工作，相关费用已包含在合同签约价中。</w:t>
      </w:r>
    </w:p>
    <w:p w14:paraId="32C320B2">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7.工程承包范围：</w:t>
      </w:r>
    </w:p>
    <w:p w14:paraId="7443695D">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专业承包人按发包人确认的设计图纸（含技术说明书及技术规格书等相关技术要求）、图纸会审记录和有关变更文件、资料、招标文件、工程量清单以及双方签订的有关协议所包含的内容。</w:t>
      </w:r>
    </w:p>
    <w:p w14:paraId="6769FD1A">
      <w:pPr>
        <w:pStyle w:val="9"/>
        <w:tabs>
          <w:tab w:val="left" w:pos="840"/>
        </w:tabs>
        <w:spacing w:before="0" w:after="0" w:line="560" w:lineRule="exact"/>
        <w:ind w:firstLine="480" w:firstLineChars="200"/>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二、合同工期</w:t>
      </w:r>
    </w:p>
    <w:p w14:paraId="16541330">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计划开工日期：2025年9月</w:t>
      </w:r>
      <w:r>
        <w:rPr>
          <w:rFonts w:hint="eastAsia" w:ascii="仿宋" w:hAnsi="仿宋" w:eastAsia="仿宋" w:cs="仿宋"/>
          <w:bCs/>
          <w:color w:val="auto"/>
          <w:sz w:val="24"/>
          <w:szCs w:val="24"/>
          <w:highlight w:val="none"/>
          <w:lang w:val="en-US" w:eastAsia="zh-CN"/>
        </w:rPr>
        <w:t>22</w:t>
      </w:r>
      <w:r>
        <w:rPr>
          <w:rFonts w:hint="eastAsia" w:ascii="仿宋" w:hAnsi="仿宋" w:eastAsia="仿宋" w:cs="仿宋"/>
          <w:bCs/>
          <w:color w:val="auto"/>
          <w:sz w:val="24"/>
          <w:szCs w:val="24"/>
          <w:highlight w:val="none"/>
        </w:rPr>
        <w:t>日（具体开工时间以开工令为准）。</w:t>
      </w:r>
    </w:p>
    <w:p w14:paraId="29FFDBD0">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计划竣工日期：2026年3月31日。</w:t>
      </w:r>
    </w:p>
    <w:p w14:paraId="2086C178">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工期总日历天数：</w:t>
      </w:r>
      <w:r>
        <w:rPr>
          <w:rFonts w:hint="eastAsia" w:ascii="仿宋" w:hAnsi="仿宋" w:eastAsia="仿宋" w:cs="仿宋"/>
          <w:bCs/>
          <w:color w:val="auto"/>
          <w:sz w:val="24"/>
          <w:szCs w:val="24"/>
          <w:highlight w:val="none"/>
          <w:lang w:val="en-US" w:eastAsia="zh-CN"/>
        </w:rPr>
        <w:t>190</w:t>
      </w:r>
      <w:r>
        <w:rPr>
          <w:rFonts w:hint="eastAsia" w:ascii="仿宋" w:hAnsi="仿宋" w:eastAsia="仿宋" w:cs="仿宋"/>
          <w:bCs/>
          <w:color w:val="auto"/>
          <w:sz w:val="24"/>
          <w:szCs w:val="24"/>
          <w:highlight w:val="none"/>
        </w:rPr>
        <w:t>天。工期总日历天数与根据前述计划开竣工日期计算的工期天数不一致的，以工期总日历天数为准。</w:t>
      </w:r>
    </w:p>
    <w:p w14:paraId="421C503A">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关键节点工期：</w:t>
      </w:r>
    </w:p>
    <w:p w14:paraId="443B3069">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1、2025年12月31日前完成管线过路、管线入廊的报批报建手续，过路管线完成施工；</w:t>
      </w:r>
    </w:p>
    <w:p w14:paraId="57A3C57E">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2026年3月31日前完成10KV备用回路工程施工和取得供电部门验收送电。</w:t>
      </w:r>
    </w:p>
    <w:p w14:paraId="1F2A8057">
      <w:pPr>
        <w:tabs>
          <w:tab w:val="left" w:pos="840"/>
        </w:tabs>
        <w:spacing w:line="56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专业承包人须配合总承包人的施工进度，并满足总承包人之总工期及关键节点要求，以使整体工程能在合同约定的竣工验收日或之前完成。</w:t>
      </w:r>
    </w:p>
    <w:p w14:paraId="7C54EFE2">
      <w:pPr>
        <w:pStyle w:val="9"/>
        <w:tabs>
          <w:tab w:val="left" w:pos="840"/>
        </w:tabs>
        <w:spacing w:before="0" w:after="0" w:line="5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三、质量、安全标准</w:t>
      </w:r>
    </w:p>
    <w:p w14:paraId="794A3327">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照《城市桥梁隧道结构安全保护技术规范》(DBJ/T15-213-2021)“在城市桥梁隧道周边进行外部作业时，应制定包含城市桥梁隧道保护内容的外部作业设计和施工方案，对于重大影响外部作业应加强管理，并编制安全保护专项方案，外部作业不得影响城市桥梁隧道的正常使用”。请承包人在完善项目设计和施工方案时，同步制定对既有桥梁的安全保护专项方案(应开展安全评估论证)、施工监测方案、《广东省交通运输厅关于公路路政许可涉路施工质量和安全技术评价的管理办法》相关要求、应急预案等并报相关部门备案，以确保桥梁结构安全不受影响。</w:t>
      </w:r>
    </w:p>
    <w:p w14:paraId="2452AD78">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标准：质量一次性验收合格，专业承包人确保本合同项下的专业工程质量达到“广东省建设工程金匠奖”及“中国建设工程鲁班奖”标准和要求，同时须配合总承包人获得“广东省建设工程金匠奖”“中国建设工程鲁班奖”。</w:t>
      </w:r>
    </w:p>
    <w:p w14:paraId="6F410C99">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文明施工目标标准：确保责任事故死亡率为零，工程无重大安全事故，工伤频率控制在广州市建筑施工安全管理法规及相关法律规定的指标要求范围内，专业承包人确保本专业工程的现场安全文明施工达到“广州市建设工程安全文明绿色施工标准化示范工地、广东省房屋市政工程安全生产文明施工示范工地”标准和要求，配合总承包人获得“广州市建设工程安全文明绿色施工标准化示范工地、广东省房屋市政工程安全生产文明施工示范工地”奖项。</w:t>
      </w:r>
    </w:p>
    <w:p w14:paraId="6BEBD682">
      <w:pPr>
        <w:pStyle w:val="9"/>
        <w:tabs>
          <w:tab w:val="left" w:pos="840"/>
        </w:tabs>
        <w:spacing w:before="0" w:after="0" w:line="5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四、国家及行业设计、施工依据：</w:t>
      </w:r>
    </w:p>
    <w:p w14:paraId="7767C7E5">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《供配电系统设计规范》GB50052-2009</w:t>
      </w:r>
    </w:p>
    <w:p w14:paraId="2BA1BCD2">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《20kV及以下变电所设计规范》GB50053-2013</w:t>
      </w:r>
    </w:p>
    <w:p w14:paraId="3B4ED2FA">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《电力工程电缆设计规范》GB50217-2018 </w:t>
      </w:r>
    </w:p>
    <w:p w14:paraId="785E7459">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《3-110kV高压配电装置设计规范》GB50060-200</w:t>
      </w:r>
    </w:p>
    <w:p w14:paraId="5201506F">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《并联电容器装置设计规范》GB50227-2017</w:t>
      </w:r>
    </w:p>
    <w:p w14:paraId="56FAE436">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《电力装置的继电保护和自动装置设计规范》GB/T50062-2008</w:t>
      </w:r>
    </w:p>
    <w:p w14:paraId="29AFD603">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《低压配电设计规范》CB50054-2011</w:t>
      </w:r>
    </w:p>
    <w:p w14:paraId="6B580E14">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《建筑设计防火规范》GB50016-2014(2018版)</w:t>
      </w:r>
    </w:p>
    <w:p w14:paraId="113211E2">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《民用建筑电气设计标准+条文说明》GB 51348-2019</w:t>
      </w:r>
    </w:p>
    <w:p w14:paraId="56C2DB34">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《城市工程管线综合规划规范》GB50289-2016</w:t>
      </w:r>
    </w:p>
    <w:p w14:paraId="29211A74">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《66kV及以下架空电力线路设计规范》GB50061-2010</w:t>
      </w:r>
    </w:p>
    <w:p w14:paraId="22501B95">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《导体和电器选择设计技术规范》DL/T5222-2005</w:t>
      </w:r>
    </w:p>
    <w:p w14:paraId="3A945BC0">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《电力装置的电测量仪表装置设计规范》GB/T50063-2017</w:t>
      </w:r>
    </w:p>
    <w:p w14:paraId="0F454AD4">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《电力工程直流系统设计技术规程》DL/T5044-2014</w:t>
      </w:r>
    </w:p>
    <w:p w14:paraId="0911107F">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《交流电气装置的接地设计规范》GB/T50065-2011 </w:t>
      </w:r>
    </w:p>
    <w:p w14:paraId="58D9A3A2">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《交流电气装置的过电压保护和绝缘配合》GB/T 50064-2014</w:t>
      </w:r>
    </w:p>
    <w:p w14:paraId="7B52F294">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《建筑物防雷设计规范》GB50057-2010</w:t>
      </w:r>
    </w:p>
    <w:p w14:paraId="3F3DCC1B">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《中国南方电网10kV及以下业扩受电工程典型设计(2018版)技术导则》:</w:t>
      </w:r>
    </w:p>
    <w:p w14:paraId="7E63E42F">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《中国南方电网10KV及以下业扩受电工程典型设计(2018版)图集》:</w:t>
      </w:r>
    </w:p>
    <w:p w14:paraId="538E55C2">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《中国南方电网电能计量装置典型设计图集》:</w:t>
      </w:r>
    </w:p>
    <w:p w14:paraId="7DE31ED4">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《中国南方电网广州地区电能计量装置典型设计、安装及验收实施细则(10kV用电客户)》:《中国南方电网广州地区电能计量装置典型设计实施细则(低压计量用电客户)》;</w:t>
      </w:r>
    </w:p>
    <w:p w14:paraId="1D95B24E">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《广东省10kV及以下业扩工程设备技术规范(2010版)》:</w:t>
      </w:r>
    </w:p>
    <w:p w14:paraId="22B142F8">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《广东省10kV及以下业扩工程设备选型规范(2010版)》;</w:t>
      </w:r>
    </w:p>
    <w:p w14:paraId="3B15CF22">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《广州供电局业务扩充配电技术原则(初稿)》</w:t>
      </w:r>
    </w:p>
    <w:p w14:paraId="5FE6AAD2">
      <w:pPr>
        <w:tabs>
          <w:tab w:val="left" w:pos="840"/>
        </w:tabs>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《08000080000052969973用电咨询服务答复书》。</w:t>
      </w:r>
    </w:p>
    <w:p w14:paraId="04C8B997">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《城市桥梁隧道结构安全保护技术规范》(DBJ/T15-213-2021)</w:t>
      </w:r>
    </w:p>
    <w:p w14:paraId="5D258801">
      <w:pPr>
        <w:tabs>
          <w:tab w:val="left" w:pos="84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广东省交通运输厅关于公路路政许可涉路施工质量和安全技术评价的管理办法》</w:t>
      </w:r>
    </w:p>
    <w:p w14:paraId="62C56ABE">
      <w:pPr>
        <w:pStyle w:val="9"/>
        <w:tabs>
          <w:tab w:val="left" w:pos="840"/>
        </w:tabs>
        <w:spacing w:before="0" w:after="0" w:line="5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人员配置要求</w:t>
      </w:r>
    </w:p>
    <w:p w14:paraId="41CDD2BE">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1.要求承包人进场即成立项目管理部，负责工程现场施工管理工作；</w:t>
      </w:r>
    </w:p>
    <w:p w14:paraId="55C6E73F">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2.承包人进场后1周之内，根据合同要求及现场实际情况，报审项目组织架构及项目人员组织实施计划。项目管理架构如需调整，需书面报监理单位及发包人审核；</w:t>
      </w:r>
    </w:p>
    <w:p w14:paraId="13076652">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3.工程项目管理人员必须满足合同要求，视工程的实施情况，如发现现场实施目标滞后于合同要求时，发包人可提出承包人增加相应的管理人员；</w:t>
      </w:r>
    </w:p>
    <w:p w14:paraId="54DC0FC4">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4.拟投入的项目部人员，中标后不得更换，否则按合同约定承担违约责任；</w:t>
      </w:r>
    </w:p>
    <w:p w14:paraId="34FB65B0">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入人员数量、专业水平、专业配套等达不到需求时，需更换或补充；未能在指定时间内及时更换或补充的，将视为违约行为并予以相应的处罚；人员更换需书面经发包人同意，私自更换的将视为违约行为并予以相应的处罚；</w:t>
      </w:r>
    </w:p>
    <w:p w14:paraId="578FC262">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6.承包人依法分包项目的分包负责人、材料设备供应商负责人应按监理人、发包人要求，参加工程例会。如无故缺席，应按合同约定承担违约责任。</w:t>
      </w:r>
    </w:p>
    <w:p w14:paraId="478B1094">
      <w:pPr>
        <w:pStyle w:val="9"/>
        <w:tabs>
          <w:tab w:val="left" w:pos="840"/>
        </w:tabs>
        <w:spacing w:before="0" w:after="0" w:line="56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六、其他管理要求</w:t>
      </w:r>
    </w:p>
    <w:p w14:paraId="508216F2">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1.本项目施工过程中，如发包人要求增加工程、零星工程、额外工作等，承包人不得以任何理由拒绝施工和工作安排；否则，视为承包人严重违约。增加工程、零星工程额外工作涉及费用等按合同约定处理。</w:t>
      </w:r>
    </w:p>
    <w:p w14:paraId="0391525B">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2.工程例会要求。施工期间原则上每周召开一次例会，具体日期以第一次例会约定为准，并按监理要求参加安全检查和安全例会。</w:t>
      </w:r>
    </w:p>
    <w:p w14:paraId="4B71BDBC">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积极执行广州市住建局《广州市建设领域工人工资支付分账管理实施细则》具体要求，承包人在进场施工前，应当开立工人工资支付专用账户，在用工之日起15日内为每个工人办理工人工资个人账户，并在用工之日起1个月内与建筑工人签订书面劳动合同。</w:t>
      </w:r>
    </w:p>
    <w:p w14:paraId="51E76AA3">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4.考勤管理</w:t>
      </w:r>
    </w:p>
    <w:p w14:paraId="67A638A6">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现场办公考勤采用人脸识别（含指纹）考勤机购置与安装，主要管理人员纳入发包人考勤管理范围；项目部主要管理人员请假需经发包人同意；未购置启用考勤机导致考勤信息缺失的，视同人员不在场；考勤机由监理单位保管，考勤情况经监理单位审核盖章后报发包人备案。</w:t>
      </w:r>
    </w:p>
    <w:p w14:paraId="50FCEC90">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5.承包人应根据合同节点要求合理安排设计进度，积极配合发包人评审、合同签订，中标进场后及时自行完成质量安全监督登记、施工许可证办理等开工准备工作。</w:t>
      </w:r>
    </w:p>
    <w:p w14:paraId="365C567A">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6.进度管理</w:t>
      </w:r>
    </w:p>
    <w:p w14:paraId="41F79624">
      <w:pPr>
        <w:pStyle w:val="2"/>
        <w:tabs>
          <w:tab w:val="left" w:pos="840"/>
          <w:tab w:val="right" w:leader="dot" w:pos="8296"/>
          <w:tab w:val="clear" w:pos="9060"/>
        </w:tabs>
        <w:spacing w:line="56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承包人进场后应按照合同文件规定和工程实际情况编制工程总体进度计划，在工程进行到各阶段，依据总体进度计划编制年度、月度（季度）、周、日报以及分项工程进度计划。总进度计划提交监理、发包人审查，经批准后方可实施。年度、月度报告（含进度计划）以书面的形式报监理单位审批及发包人备案同意后方可实施。周、日报以电子版形式报监理单位审批，审批合格后方可实施并同步发微信群。任何工期总目标和阶段目标的变更均须得到发包人的批准。</w:t>
      </w:r>
    </w:p>
    <w:p w14:paraId="7455659B">
      <w:pPr>
        <w:pStyle w:val="2"/>
        <w:tabs>
          <w:tab w:val="left" w:pos="840"/>
          <w:tab w:val="right" w:leader="dot" w:pos="8296"/>
          <w:tab w:val="clear" w:pos="9060"/>
        </w:tabs>
        <w:spacing w:line="5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7.按广州市及海珠区相关政府部门的最新标准要求，按照不同阶段进行安全文明与绿色施工策划，使用可重复利用周转材料，半成品推广工厂制作到场安装，实现节能减排，积极创新凸显亮点。</w:t>
      </w:r>
    </w:p>
    <w:p w14:paraId="6E8E5F9E">
      <w:pPr>
        <w:tabs>
          <w:tab w:val="left" w:pos="840"/>
        </w:tabs>
        <w:spacing w:line="560" w:lineRule="exact"/>
        <w:ind w:firstLine="480" w:firstLineChars="200"/>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8.开工后每周、每月定期报送施工周报、月报至监理及发包人，内容包括产值完成情况、形象进度、主要施工内容、存在问题与整改情况、下一步安排等内容</w:t>
      </w:r>
      <w:r>
        <w:rPr>
          <w:rFonts w:hint="eastAsia" w:ascii="仿宋" w:hAnsi="仿宋" w:eastAsia="仿宋" w:cs="仿宋"/>
          <w:color w:val="auto"/>
          <w:sz w:val="24"/>
          <w:szCs w:val="24"/>
          <w:highlight w:val="none"/>
          <w:lang w:eastAsia="zh-CN"/>
        </w:rPr>
        <w:t>。</w:t>
      </w:r>
    </w:p>
    <w:p w14:paraId="06FFFF46">
      <w:pPr>
        <w:tabs>
          <w:tab w:val="left" w:pos="840"/>
        </w:tabs>
        <w:spacing w:line="560" w:lineRule="exact"/>
        <w:ind w:firstLine="480" w:firstLineChars="200"/>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9.发包人可对不满足项目建设要求的管理人员、施工班组、分包单位等进行一票否决，承包人在收到发包人指令后无条件执行，立即通知相关人员停止作业，并在2日内完成清场，7日内完成更换，由此引起的工期延误由承包人承担</w:t>
      </w:r>
      <w:r>
        <w:rPr>
          <w:rFonts w:hint="eastAsia" w:ascii="仿宋" w:hAnsi="仿宋" w:eastAsia="仿宋" w:cs="仿宋"/>
          <w:color w:val="auto"/>
          <w:sz w:val="24"/>
          <w:szCs w:val="24"/>
          <w:highlight w:val="none"/>
          <w:lang w:eastAsia="zh-CN"/>
        </w:rPr>
        <w:t>。</w:t>
      </w:r>
    </w:p>
    <w:p w14:paraId="21AC6CBA">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10.承包人要做好施工图纸的保密工作，严禁用本项目的施工图纸对外进行非法活动。下发的施工图纸中含有非承包人承包范围的事项，未经建设单位同意不得泄露给有关经销商或专业生产单位。</w:t>
      </w:r>
    </w:p>
    <w:p w14:paraId="1E3C8B22">
      <w:pPr>
        <w:tabs>
          <w:tab w:val="left" w:pos="840"/>
        </w:tabs>
        <w:spacing w:line="560" w:lineRule="exact"/>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在工程施工前，若涉及占道挖掘许可、地下管线会签等手续需按相应部门规定备齐资料后申办。施工期间至工程验收合格及质保期满前，工程所涉及的空间范围将转交承包单位负责维管，范围内安全由承包单位负责。</w:t>
      </w:r>
    </w:p>
    <w:p w14:paraId="56480242">
      <w:pPr>
        <w:pStyle w:val="3"/>
        <w:ind w:firstLine="420"/>
        <w:jc w:val="center"/>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第六章  图纸及勘察资料</w:t>
      </w:r>
      <w:bookmarkEnd w:id="122"/>
    </w:p>
    <w:p w14:paraId="54C4CBF5">
      <w:pPr>
        <w:jc w:val="center"/>
        <w:rPr>
          <w:rFonts w:ascii="宋体" w:hAnsi="宋体" w:cs="宋体"/>
          <w:b/>
          <w:color w:val="auto"/>
          <w:sz w:val="44"/>
          <w:szCs w:val="44"/>
          <w:highlight w:val="none"/>
        </w:rPr>
      </w:pPr>
      <w:r>
        <w:rPr>
          <w:rFonts w:hint="eastAsia" w:ascii="宋体" w:hAnsi="宋体" w:cs="宋体"/>
          <w:color w:val="auto"/>
          <w:sz w:val="24"/>
          <w:szCs w:val="24"/>
          <w:highlight w:val="none"/>
        </w:rPr>
        <w:t>另册。</w:t>
      </w:r>
    </w:p>
    <w:p w14:paraId="265BA506">
      <w:pPr>
        <w:pStyle w:val="3"/>
        <w:ind w:firstLine="420"/>
        <w:jc w:val="center"/>
        <w:rPr>
          <w:rFonts w:ascii="宋体" w:hAnsi="宋体" w:cs="宋体"/>
          <w:color w:val="auto"/>
          <w:highlight w:val="none"/>
        </w:rPr>
      </w:pPr>
      <w:r>
        <w:rPr>
          <w:rFonts w:hint="eastAsia" w:ascii="宋体" w:hAnsi="宋体" w:cs="宋体"/>
          <w:color w:val="auto"/>
          <w:sz w:val="24"/>
          <w:szCs w:val="24"/>
          <w:highlight w:val="none"/>
        </w:rPr>
        <w:br w:type="page"/>
      </w:r>
      <w:bookmarkStart w:id="123" w:name="_Toc2247"/>
      <w:r>
        <w:rPr>
          <w:rFonts w:hint="eastAsia" w:ascii="宋体" w:hAnsi="宋体" w:cs="宋体"/>
          <w:color w:val="auto"/>
          <w:highlight w:val="none"/>
        </w:rPr>
        <w:t>第七章  工程量清单</w:t>
      </w:r>
      <w:bookmarkEnd w:id="123"/>
    </w:p>
    <w:p w14:paraId="6491DE0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另册。</w:t>
      </w:r>
    </w:p>
    <w:p w14:paraId="6D059DA9">
      <w:pPr>
        <w:pStyle w:val="5"/>
        <w:spacing w:after="0" w:line="360" w:lineRule="auto"/>
        <w:ind w:left="-2" w:leftChars="-1" w:firstLine="960" w:firstLineChars="400"/>
        <w:rPr>
          <w:rFonts w:ascii="宋体" w:hAnsi="宋体" w:cs="宋体"/>
          <w:color w:val="auto"/>
          <w:sz w:val="24"/>
          <w:highlight w:val="none"/>
        </w:rPr>
      </w:pPr>
    </w:p>
    <w:p w14:paraId="32E839BE">
      <w:pPr>
        <w:pStyle w:val="3"/>
        <w:rPr>
          <w:rFonts w:ascii="宋体" w:hAnsi="宋体" w:cs="宋体"/>
          <w:color w:val="auto"/>
          <w:highlight w:val="none"/>
        </w:rPr>
      </w:pPr>
    </w:p>
    <w:p w14:paraId="0C7CF7A9">
      <w:pPr>
        <w:pStyle w:val="3"/>
        <w:jc w:val="center"/>
        <w:rPr>
          <w:rFonts w:ascii="宋体" w:hAnsi="宋体" w:cs="宋体"/>
          <w:color w:val="auto"/>
          <w:highlight w:val="none"/>
        </w:rPr>
      </w:pPr>
      <w:r>
        <w:rPr>
          <w:rFonts w:hint="eastAsia" w:ascii="宋体" w:hAnsi="宋体" w:cs="宋体"/>
          <w:color w:val="auto"/>
          <w:sz w:val="24"/>
          <w:szCs w:val="24"/>
          <w:highlight w:val="none"/>
        </w:rPr>
        <w:br w:type="page"/>
      </w:r>
      <w:bookmarkStart w:id="124" w:name="_Toc10163"/>
      <w:r>
        <w:rPr>
          <w:rFonts w:hint="eastAsia" w:ascii="宋体" w:hAnsi="宋体" w:cs="宋体"/>
          <w:color w:val="auto"/>
          <w:highlight w:val="none"/>
        </w:rPr>
        <w:t>第八章  最高投标限价</w:t>
      </w:r>
      <w:bookmarkEnd w:id="124"/>
    </w:p>
    <w:p w14:paraId="6FF45CA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另册。</w:t>
      </w:r>
    </w:p>
    <w:p w14:paraId="32FDD641">
      <w:pPr>
        <w:rPr>
          <w:rFonts w:ascii="宋体" w:hAnsi="宋体" w:cs="宋体"/>
          <w:color w:val="auto"/>
          <w:highlight w:val="none"/>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宋体..胭..">
    <w:altName w:val="宋体"/>
    <w:panose1 w:val="00000000000000000000"/>
    <w:charset w:val="86"/>
    <w:family w:val="roman"/>
    <w:pitch w:val="default"/>
    <w:sig w:usb0="00000000" w:usb1="00000000" w:usb2="00000010" w:usb3="00000000" w:csb0="00040000" w:csb1="00000000"/>
  </w:font>
  <w:font w:name="simsong">
    <w:altName w:val="宋体"/>
    <w:panose1 w:val="02020300000000000000"/>
    <w:charset w:val="86"/>
    <w:family w:val="auto"/>
    <w:pitch w:val="default"/>
    <w:sig w:usb0="00000000" w:usb1="00000000" w:usb2="00000016" w:usb3="00000000" w:csb0="0004000D"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89538">
    <w:pPr>
      <w:pStyle w:val="28"/>
      <w:ind w:firstLine="392"/>
      <w:rPr>
        <w:rStyle w:val="4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BBBE7">
    <w:pPr>
      <w:pStyle w:val="28"/>
      <w:ind w:firstLine="392"/>
      <w:rPr>
        <w:rStyle w:val="43"/>
      </w:rPr>
    </w:pPr>
    <w:r>
      <w:rPr>
        <w:rStyle w:val="43"/>
      </w:rPr>
      <w:fldChar w:fldCharType="begin"/>
    </w:r>
    <w:r>
      <w:rPr>
        <w:rStyle w:val="43"/>
      </w:rPr>
      <w:instrText xml:space="preserve">PAGE  </w:instrText>
    </w:r>
    <w:r>
      <w:fldChar w:fldCharType="separate"/>
    </w:r>
    <w:r>
      <w:rPr>
        <w:rStyle w:val="43"/>
        <w:rFonts w:hint="eastAsia"/>
      </w:rPr>
      <w:t>一</w:t>
    </w:r>
    <w:r>
      <w:rPr>
        <w:rStyle w:val="43"/>
      </w:rPr>
      <w:t>–2</w:t>
    </w:r>
    <w:r>
      <w:fldChar w:fldCharType="end"/>
    </w:r>
  </w:p>
  <w:p w14:paraId="39D8F060">
    <w:pPr>
      <w:pStyle w:val="28"/>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4106F">
    <w:pPr>
      <w:pStyle w:val="28"/>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0B898">
    <w:pPr>
      <w:pStyle w:val="28"/>
      <w:ind w:firstLine="392"/>
      <w:rPr>
        <w:rStyle w:val="4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B61F3">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83B61F3">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E1FD">
    <w:pPr>
      <w:pStyle w:val="28"/>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1446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81446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E642">
    <w:pPr>
      <w:pStyle w:val="28"/>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4767E">
                          <w:pPr>
                            <w:pStyle w:val="28"/>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E54767E">
                    <w:pPr>
                      <w:pStyle w:val="2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1324">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601B8">
                          <w:pPr>
                            <w:pStyle w:val="2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2A601B8">
                    <w:pPr>
                      <w:pStyle w:val="2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CB93">
    <w:pPr>
      <w:pStyle w:val="29"/>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B977">
    <w:pPr>
      <w:pStyle w:val="29"/>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80D8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2D792">
    <w:pPr>
      <w:pStyle w:val="29"/>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0C2A">
    <w:pPr>
      <w:pStyle w:val="29"/>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代理">
    <w15:presenceInfo w15:providerId="None" w15:userId="招标代理"/>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rsids>
    <w:rsidRoot w:val="00000000"/>
    <w:rsid w:val="00101AE9"/>
    <w:rsid w:val="00692945"/>
    <w:rsid w:val="00920750"/>
    <w:rsid w:val="00C823C4"/>
    <w:rsid w:val="00D451D3"/>
    <w:rsid w:val="019029D6"/>
    <w:rsid w:val="01D54D98"/>
    <w:rsid w:val="022655F4"/>
    <w:rsid w:val="023B6BC5"/>
    <w:rsid w:val="024C492F"/>
    <w:rsid w:val="03035935"/>
    <w:rsid w:val="03082F4B"/>
    <w:rsid w:val="035C6DF3"/>
    <w:rsid w:val="040C25C7"/>
    <w:rsid w:val="049525BD"/>
    <w:rsid w:val="04FC088E"/>
    <w:rsid w:val="05485881"/>
    <w:rsid w:val="05777F14"/>
    <w:rsid w:val="05A607FA"/>
    <w:rsid w:val="06023C82"/>
    <w:rsid w:val="062F07EF"/>
    <w:rsid w:val="06614CDF"/>
    <w:rsid w:val="06BA455D"/>
    <w:rsid w:val="071E2D3E"/>
    <w:rsid w:val="07921036"/>
    <w:rsid w:val="07CF4038"/>
    <w:rsid w:val="07E06245"/>
    <w:rsid w:val="083D71F3"/>
    <w:rsid w:val="0865499C"/>
    <w:rsid w:val="08A94889"/>
    <w:rsid w:val="08B576D2"/>
    <w:rsid w:val="090F79F0"/>
    <w:rsid w:val="091A7535"/>
    <w:rsid w:val="096D58B6"/>
    <w:rsid w:val="098506D5"/>
    <w:rsid w:val="09D122E9"/>
    <w:rsid w:val="09F47D86"/>
    <w:rsid w:val="0A440D9D"/>
    <w:rsid w:val="0A9B46A5"/>
    <w:rsid w:val="0BA23811"/>
    <w:rsid w:val="0BC639A4"/>
    <w:rsid w:val="0C5478CE"/>
    <w:rsid w:val="0C8278CB"/>
    <w:rsid w:val="0C915D60"/>
    <w:rsid w:val="0D766D04"/>
    <w:rsid w:val="0D8C6527"/>
    <w:rsid w:val="0E346049"/>
    <w:rsid w:val="0E527771"/>
    <w:rsid w:val="0E8611C8"/>
    <w:rsid w:val="0F096081"/>
    <w:rsid w:val="0F8A6A96"/>
    <w:rsid w:val="0FDA5C70"/>
    <w:rsid w:val="115D4462"/>
    <w:rsid w:val="128D0D77"/>
    <w:rsid w:val="13051255"/>
    <w:rsid w:val="13196AAF"/>
    <w:rsid w:val="13734411"/>
    <w:rsid w:val="138E2FF9"/>
    <w:rsid w:val="142C45C0"/>
    <w:rsid w:val="14B24AC5"/>
    <w:rsid w:val="14C52A4A"/>
    <w:rsid w:val="15023C9F"/>
    <w:rsid w:val="150B2427"/>
    <w:rsid w:val="151121DB"/>
    <w:rsid w:val="15170DCC"/>
    <w:rsid w:val="157C1125"/>
    <w:rsid w:val="16403644"/>
    <w:rsid w:val="173D69EE"/>
    <w:rsid w:val="17BF5E77"/>
    <w:rsid w:val="18956BD8"/>
    <w:rsid w:val="18C13529"/>
    <w:rsid w:val="18D94D16"/>
    <w:rsid w:val="18EE0096"/>
    <w:rsid w:val="193C7053"/>
    <w:rsid w:val="19F03933"/>
    <w:rsid w:val="1A1A15EC"/>
    <w:rsid w:val="1A491A28"/>
    <w:rsid w:val="1B486183"/>
    <w:rsid w:val="1BAC6712"/>
    <w:rsid w:val="1BEA548C"/>
    <w:rsid w:val="1BFB1D99"/>
    <w:rsid w:val="1C4F50A5"/>
    <w:rsid w:val="1CD203FA"/>
    <w:rsid w:val="1CD35F20"/>
    <w:rsid w:val="1D5E3C92"/>
    <w:rsid w:val="1DAD0520"/>
    <w:rsid w:val="1E033133"/>
    <w:rsid w:val="1E423876"/>
    <w:rsid w:val="1E546BED"/>
    <w:rsid w:val="1E6376FB"/>
    <w:rsid w:val="1ECA6EAF"/>
    <w:rsid w:val="1ECB3353"/>
    <w:rsid w:val="1F10520A"/>
    <w:rsid w:val="1F7312F5"/>
    <w:rsid w:val="1FE73CCD"/>
    <w:rsid w:val="20076707"/>
    <w:rsid w:val="203046DB"/>
    <w:rsid w:val="20482782"/>
    <w:rsid w:val="2059673D"/>
    <w:rsid w:val="20A43E5C"/>
    <w:rsid w:val="20D62634"/>
    <w:rsid w:val="210448FA"/>
    <w:rsid w:val="21182154"/>
    <w:rsid w:val="219739C1"/>
    <w:rsid w:val="21BE2CFB"/>
    <w:rsid w:val="220D5A31"/>
    <w:rsid w:val="226B2757"/>
    <w:rsid w:val="232474D6"/>
    <w:rsid w:val="24942439"/>
    <w:rsid w:val="2584600A"/>
    <w:rsid w:val="25BC1C48"/>
    <w:rsid w:val="25FA62CC"/>
    <w:rsid w:val="262D044F"/>
    <w:rsid w:val="2670658E"/>
    <w:rsid w:val="26C8461C"/>
    <w:rsid w:val="27BA54EB"/>
    <w:rsid w:val="284877C3"/>
    <w:rsid w:val="29600B3C"/>
    <w:rsid w:val="298F4F7D"/>
    <w:rsid w:val="29BB3FC4"/>
    <w:rsid w:val="2AA6133D"/>
    <w:rsid w:val="2AF57AF4"/>
    <w:rsid w:val="2B1E0CAF"/>
    <w:rsid w:val="2B4324C3"/>
    <w:rsid w:val="2B4C1378"/>
    <w:rsid w:val="2B7E34FB"/>
    <w:rsid w:val="2BC03B14"/>
    <w:rsid w:val="2BDE46D5"/>
    <w:rsid w:val="2BE27F2E"/>
    <w:rsid w:val="2C46226B"/>
    <w:rsid w:val="2C752B50"/>
    <w:rsid w:val="2C8B2374"/>
    <w:rsid w:val="2CB25B52"/>
    <w:rsid w:val="2CC3566A"/>
    <w:rsid w:val="2CDA6E57"/>
    <w:rsid w:val="2D855015"/>
    <w:rsid w:val="2E0221C2"/>
    <w:rsid w:val="2E382087"/>
    <w:rsid w:val="2E4B1DBB"/>
    <w:rsid w:val="2E7A444E"/>
    <w:rsid w:val="2F093783"/>
    <w:rsid w:val="2F1B07E5"/>
    <w:rsid w:val="2FA77400"/>
    <w:rsid w:val="2FEA73B1"/>
    <w:rsid w:val="2FF80E78"/>
    <w:rsid w:val="30406FD1"/>
    <w:rsid w:val="31741628"/>
    <w:rsid w:val="318F1FBE"/>
    <w:rsid w:val="31F75DB5"/>
    <w:rsid w:val="32C4213C"/>
    <w:rsid w:val="332D5F33"/>
    <w:rsid w:val="35297E4E"/>
    <w:rsid w:val="3565270E"/>
    <w:rsid w:val="357A52BE"/>
    <w:rsid w:val="359D0A22"/>
    <w:rsid w:val="35A0303E"/>
    <w:rsid w:val="3609784F"/>
    <w:rsid w:val="3623361D"/>
    <w:rsid w:val="3692680B"/>
    <w:rsid w:val="37A91900"/>
    <w:rsid w:val="37FC4126"/>
    <w:rsid w:val="3814321D"/>
    <w:rsid w:val="396E2E01"/>
    <w:rsid w:val="3A881CA1"/>
    <w:rsid w:val="3AB365A7"/>
    <w:rsid w:val="3B312338"/>
    <w:rsid w:val="3B6E70E8"/>
    <w:rsid w:val="3B9A1C8B"/>
    <w:rsid w:val="3B9D177C"/>
    <w:rsid w:val="3CE171B3"/>
    <w:rsid w:val="3CF278A5"/>
    <w:rsid w:val="3D033860"/>
    <w:rsid w:val="3D540560"/>
    <w:rsid w:val="3D793B23"/>
    <w:rsid w:val="3E015FF2"/>
    <w:rsid w:val="3F9E5AC2"/>
    <w:rsid w:val="3FC656D4"/>
    <w:rsid w:val="422538A1"/>
    <w:rsid w:val="425D777C"/>
    <w:rsid w:val="426D00FA"/>
    <w:rsid w:val="429A2FB4"/>
    <w:rsid w:val="42AE0712"/>
    <w:rsid w:val="42B86E9B"/>
    <w:rsid w:val="430622FC"/>
    <w:rsid w:val="436037BB"/>
    <w:rsid w:val="439416B6"/>
    <w:rsid w:val="44380503"/>
    <w:rsid w:val="44BD69EB"/>
    <w:rsid w:val="44EB79FC"/>
    <w:rsid w:val="452D591E"/>
    <w:rsid w:val="4537679D"/>
    <w:rsid w:val="455530C7"/>
    <w:rsid w:val="458539AC"/>
    <w:rsid w:val="459F3689"/>
    <w:rsid w:val="46207231"/>
    <w:rsid w:val="4710374A"/>
    <w:rsid w:val="47694C08"/>
    <w:rsid w:val="480C2163"/>
    <w:rsid w:val="48A26623"/>
    <w:rsid w:val="48A51C70"/>
    <w:rsid w:val="48D569F9"/>
    <w:rsid w:val="4A24743F"/>
    <w:rsid w:val="4A4060F4"/>
    <w:rsid w:val="4A981A8C"/>
    <w:rsid w:val="4AA54724"/>
    <w:rsid w:val="4B3774F7"/>
    <w:rsid w:val="4B6B0F4E"/>
    <w:rsid w:val="4BC55D72"/>
    <w:rsid w:val="4C406034"/>
    <w:rsid w:val="4CF431C6"/>
    <w:rsid w:val="4D176E22"/>
    <w:rsid w:val="4D5F2D35"/>
    <w:rsid w:val="4DDF79D2"/>
    <w:rsid w:val="4E037B64"/>
    <w:rsid w:val="4F0911AA"/>
    <w:rsid w:val="4F590653"/>
    <w:rsid w:val="4F652159"/>
    <w:rsid w:val="4FEE214E"/>
    <w:rsid w:val="500100D3"/>
    <w:rsid w:val="50615016"/>
    <w:rsid w:val="50854860"/>
    <w:rsid w:val="508B5BEF"/>
    <w:rsid w:val="50940F47"/>
    <w:rsid w:val="509E3B74"/>
    <w:rsid w:val="50F4724F"/>
    <w:rsid w:val="50FD6AED"/>
    <w:rsid w:val="5133250E"/>
    <w:rsid w:val="51624BA2"/>
    <w:rsid w:val="51A96C75"/>
    <w:rsid w:val="51B15B29"/>
    <w:rsid w:val="51B4490E"/>
    <w:rsid w:val="51C27D36"/>
    <w:rsid w:val="51FD2B1C"/>
    <w:rsid w:val="521A722A"/>
    <w:rsid w:val="52794D53"/>
    <w:rsid w:val="52CD24EF"/>
    <w:rsid w:val="537961D3"/>
    <w:rsid w:val="54102FDB"/>
    <w:rsid w:val="54640C31"/>
    <w:rsid w:val="54694499"/>
    <w:rsid w:val="547277F2"/>
    <w:rsid w:val="549239F0"/>
    <w:rsid w:val="55326F81"/>
    <w:rsid w:val="55855303"/>
    <w:rsid w:val="5600257F"/>
    <w:rsid w:val="567A473C"/>
    <w:rsid w:val="56D26326"/>
    <w:rsid w:val="570D3802"/>
    <w:rsid w:val="570F1328"/>
    <w:rsid w:val="571B5F1F"/>
    <w:rsid w:val="577D2735"/>
    <w:rsid w:val="57B43C7D"/>
    <w:rsid w:val="57BB500C"/>
    <w:rsid w:val="58226E39"/>
    <w:rsid w:val="594D6137"/>
    <w:rsid w:val="59B47F65"/>
    <w:rsid w:val="59BC506B"/>
    <w:rsid w:val="59C91B55"/>
    <w:rsid w:val="5A517EA9"/>
    <w:rsid w:val="5B7976B8"/>
    <w:rsid w:val="5B943AD7"/>
    <w:rsid w:val="5B9D68C6"/>
    <w:rsid w:val="5BAD55B3"/>
    <w:rsid w:val="5C3B671B"/>
    <w:rsid w:val="5C735EB5"/>
    <w:rsid w:val="5C7834CB"/>
    <w:rsid w:val="5C8E7193"/>
    <w:rsid w:val="5CCB7A9F"/>
    <w:rsid w:val="5CDD77D2"/>
    <w:rsid w:val="5D4B0BE0"/>
    <w:rsid w:val="5D6972B8"/>
    <w:rsid w:val="5D6A375C"/>
    <w:rsid w:val="5DC866D4"/>
    <w:rsid w:val="5E4E0751"/>
    <w:rsid w:val="5EBB3B43"/>
    <w:rsid w:val="5EE412EC"/>
    <w:rsid w:val="5FEA2932"/>
    <w:rsid w:val="605E0C2A"/>
    <w:rsid w:val="608A5EC3"/>
    <w:rsid w:val="615A7643"/>
    <w:rsid w:val="61A15272"/>
    <w:rsid w:val="61D92C5E"/>
    <w:rsid w:val="623303D0"/>
    <w:rsid w:val="62AE40EB"/>
    <w:rsid w:val="6324615B"/>
    <w:rsid w:val="635B58F5"/>
    <w:rsid w:val="6411369C"/>
    <w:rsid w:val="643028DD"/>
    <w:rsid w:val="64DD4813"/>
    <w:rsid w:val="65150451"/>
    <w:rsid w:val="65613696"/>
    <w:rsid w:val="66195F86"/>
    <w:rsid w:val="66FE6CC3"/>
    <w:rsid w:val="67801DCE"/>
    <w:rsid w:val="67816B8F"/>
    <w:rsid w:val="67A7735B"/>
    <w:rsid w:val="681D13CB"/>
    <w:rsid w:val="68727968"/>
    <w:rsid w:val="68C33D20"/>
    <w:rsid w:val="693533C8"/>
    <w:rsid w:val="69A71894"/>
    <w:rsid w:val="69D02B99"/>
    <w:rsid w:val="6A1C4030"/>
    <w:rsid w:val="6B2D21E8"/>
    <w:rsid w:val="6BD526C2"/>
    <w:rsid w:val="6BDB75D3"/>
    <w:rsid w:val="6C5D623A"/>
    <w:rsid w:val="6C6849F4"/>
    <w:rsid w:val="6CE01AA5"/>
    <w:rsid w:val="6D08089B"/>
    <w:rsid w:val="6D286848"/>
    <w:rsid w:val="6DBE53FE"/>
    <w:rsid w:val="6DDE2654"/>
    <w:rsid w:val="70E909E4"/>
    <w:rsid w:val="71DB032D"/>
    <w:rsid w:val="72336AD2"/>
    <w:rsid w:val="739A7D73"/>
    <w:rsid w:val="739C1D3D"/>
    <w:rsid w:val="73AA26AC"/>
    <w:rsid w:val="7456013E"/>
    <w:rsid w:val="74C43473"/>
    <w:rsid w:val="75091655"/>
    <w:rsid w:val="75134281"/>
    <w:rsid w:val="75B96BD7"/>
    <w:rsid w:val="7625426C"/>
    <w:rsid w:val="762B1026"/>
    <w:rsid w:val="762D4ECF"/>
    <w:rsid w:val="76404C02"/>
    <w:rsid w:val="766F3739"/>
    <w:rsid w:val="76AC2297"/>
    <w:rsid w:val="77701517"/>
    <w:rsid w:val="77CE623E"/>
    <w:rsid w:val="78484242"/>
    <w:rsid w:val="785E1CB7"/>
    <w:rsid w:val="78E81581"/>
    <w:rsid w:val="78F87A16"/>
    <w:rsid w:val="79894B12"/>
    <w:rsid w:val="79E63D12"/>
    <w:rsid w:val="7A6D153A"/>
    <w:rsid w:val="7AAA412F"/>
    <w:rsid w:val="7AE80322"/>
    <w:rsid w:val="7AEF4E49"/>
    <w:rsid w:val="7B3E36DA"/>
    <w:rsid w:val="7B644801"/>
    <w:rsid w:val="7BB340C8"/>
    <w:rsid w:val="7C3C2310"/>
    <w:rsid w:val="7C7F3FAA"/>
    <w:rsid w:val="7C867693"/>
    <w:rsid w:val="7DA12D88"/>
    <w:rsid w:val="7DA939D5"/>
    <w:rsid w:val="7DC85FE4"/>
    <w:rsid w:val="7E3FB001"/>
    <w:rsid w:val="7EBA5D80"/>
    <w:rsid w:val="7EF90044"/>
    <w:rsid w:val="7F1A4B64"/>
    <w:rsid w:val="7F9B559F"/>
    <w:rsid w:val="7FB83A5B"/>
    <w:rsid w:val="7FC00B62"/>
    <w:rsid w:val="FEED6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54"/>
    <w:qFormat/>
    <w:uiPriority w:val="0"/>
    <w:pPr>
      <w:keepNext/>
      <w:keepLines/>
      <w:spacing w:after="120" w:line="360" w:lineRule="auto"/>
      <w:jc w:val="left"/>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8">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9">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10">
    <w:name w:val="heading 5"/>
    <w:basedOn w:val="9"/>
    <w:next w:val="11"/>
    <w:qFormat/>
    <w:uiPriority w:val="0"/>
    <w:pPr>
      <w:spacing w:line="240" w:lineRule="exact"/>
      <w:outlineLvl w:val="4"/>
    </w:pPr>
  </w:style>
  <w:style w:type="paragraph" w:styleId="12">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3">
    <w:name w:val="heading 7"/>
    <w:basedOn w:val="1"/>
    <w:next w:val="11"/>
    <w:qFormat/>
    <w:uiPriority w:val="0"/>
    <w:pPr>
      <w:keepNext/>
      <w:keepLines/>
      <w:spacing w:before="240" w:after="64" w:line="319" w:lineRule="auto"/>
      <w:outlineLvl w:val="6"/>
    </w:pPr>
    <w:rPr>
      <w:b/>
      <w:kern w:val="0"/>
      <w:sz w:val="24"/>
      <w:szCs w:val="20"/>
    </w:rPr>
  </w:style>
  <w:style w:type="paragraph" w:styleId="14">
    <w:name w:val="heading 8"/>
    <w:basedOn w:val="1"/>
    <w:next w:val="11"/>
    <w:qFormat/>
    <w:uiPriority w:val="0"/>
    <w:pPr>
      <w:keepNext/>
      <w:keepLines/>
      <w:spacing w:before="240" w:after="64" w:line="319" w:lineRule="auto"/>
      <w:outlineLvl w:val="7"/>
    </w:pPr>
    <w:rPr>
      <w:rFonts w:ascii="Arial" w:hAnsi="Arial" w:eastAsia="黑体"/>
      <w:kern w:val="0"/>
      <w:sz w:val="24"/>
      <w:szCs w:val="20"/>
    </w:rPr>
  </w:style>
  <w:style w:type="paragraph" w:styleId="15">
    <w:name w:val="heading 9"/>
    <w:basedOn w:val="1"/>
    <w:next w:val="11"/>
    <w:qFormat/>
    <w:uiPriority w:val="0"/>
    <w:pPr>
      <w:keepNext/>
      <w:keepLines/>
      <w:spacing w:before="240" w:after="64" w:line="319" w:lineRule="auto"/>
      <w:outlineLvl w:val="8"/>
    </w:pPr>
    <w:rPr>
      <w:rFonts w:ascii="Arial" w:hAnsi="Arial" w:eastAsia="黑体"/>
      <w:kern w:val="0"/>
      <w:sz w:val="20"/>
      <w:szCs w:val="20"/>
    </w:rPr>
  </w:style>
  <w:style w:type="character" w:default="1" w:styleId="40">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4">
    <w:name w:val="Title"/>
    <w:basedOn w:val="1"/>
    <w:next w:val="1"/>
    <w:link w:val="55"/>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ind w:firstLine="420"/>
    </w:pPr>
  </w:style>
  <w:style w:type="paragraph" w:styleId="6">
    <w:name w:val="Body Text"/>
    <w:basedOn w:val="1"/>
    <w:qFormat/>
    <w:uiPriority w:val="0"/>
    <w:pPr>
      <w:spacing w:after="120"/>
    </w:pPr>
    <w:rPr>
      <w:kern w:val="0"/>
      <w:sz w:val="20"/>
      <w:szCs w:val="20"/>
    </w:rPr>
  </w:style>
  <w:style w:type="paragraph" w:styleId="11">
    <w:name w:val="Normal Indent"/>
    <w:basedOn w:val="1"/>
    <w:next w:val="1"/>
    <w:qFormat/>
    <w:uiPriority w:val="0"/>
    <w:pPr>
      <w:ind w:firstLine="420"/>
    </w:pPr>
    <w:rPr>
      <w:szCs w:val="20"/>
    </w:rPr>
  </w:style>
  <w:style w:type="paragraph" w:styleId="16">
    <w:name w:val="Document Map"/>
    <w:basedOn w:val="1"/>
    <w:qFormat/>
    <w:uiPriority w:val="0"/>
    <w:pPr>
      <w:shd w:val="clear" w:color="auto" w:fill="000080"/>
    </w:pPr>
    <w:rPr>
      <w:kern w:val="0"/>
      <w:sz w:val="20"/>
      <w:szCs w:val="20"/>
    </w:rPr>
  </w:style>
  <w:style w:type="paragraph" w:styleId="17">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8">
    <w:name w:val="index 6"/>
    <w:basedOn w:val="1"/>
    <w:next w:val="1"/>
    <w:qFormat/>
    <w:uiPriority w:val="0"/>
    <w:pPr>
      <w:ind w:left="2100"/>
    </w:pPr>
  </w:style>
  <w:style w:type="paragraph" w:styleId="19">
    <w:name w:val="Body Text 3"/>
    <w:basedOn w:val="1"/>
    <w:qFormat/>
    <w:uiPriority w:val="0"/>
    <w:pPr>
      <w:spacing w:after="120"/>
    </w:pPr>
    <w:rPr>
      <w:rFonts w:ascii="Calibri" w:hAnsi="Calibri"/>
      <w:sz w:val="16"/>
      <w:szCs w:val="16"/>
    </w:rPr>
  </w:style>
  <w:style w:type="paragraph" w:styleId="20">
    <w:name w:val="Body Text Indent"/>
    <w:basedOn w:val="1"/>
    <w:next w:val="21"/>
    <w:qFormat/>
    <w:uiPriority w:val="0"/>
    <w:pPr>
      <w:ind w:firstLine="570"/>
    </w:pPr>
    <w:rPr>
      <w:kern w:val="0"/>
      <w:sz w:val="28"/>
      <w:szCs w:val="20"/>
    </w:rPr>
  </w:style>
  <w:style w:type="paragraph" w:styleId="21">
    <w:name w:val="envelope return"/>
    <w:basedOn w:val="1"/>
    <w:qFormat/>
    <w:uiPriority w:val="0"/>
    <w:pPr>
      <w:snapToGrid w:val="0"/>
    </w:pPr>
    <w:rPr>
      <w:rFonts w:ascii="Arial" w:hAnsi="Arial"/>
      <w:szCs w:val="24"/>
    </w:rPr>
  </w:style>
  <w:style w:type="paragraph" w:styleId="22">
    <w:name w:val="toc 3"/>
    <w:basedOn w:val="1"/>
    <w:next w:val="1"/>
    <w:qFormat/>
    <w:uiPriority w:val="0"/>
    <w:pPr>
      <w:snapToGrid w:val="0"/>
      <w:spacing w:line="360" w:lineRule="auto"/>
      <w:ind w:left="400" w:leftChars="400"/>
      <w:jc w:val="left"/>
    </w:pPr>
    <w:rPr>
      <w:sz w:val="24"/>
      <w:szCs w:val="20"/>
    </w:rPr>
  </w:style>
  <w:style w:type="paragraph" w:styleId="23">
    <w:name w:val="Plain Text"/>
    <w:basedOn w:val="1"/>
    <w:next w:val="1"/>
    <w:qFormat/>
    <w:uiPriority w:val="0"/>
    <w:rPr>
      <w:rFonts w:ascii="宋体"/>
      <w:kern w:val="0"/>
      <w:sz w:val="20"/>
      <w:szCs w:val="20"/>
    </w:rPr>
  </w:style>
  <w:style w:type="paragraph" w:styleId="24">
    <w:name w:val="Date"/>
    <w:basedOn w:val="1"/>
    <w:next w:val="1"/>
    <w:qFormat/>
    <w:uiPriority w:val="0"/>
    <w:rPr>
      <w:kern w:val="0"/>
      <w:sz w:val="20"/>
      <w:szCs w:val="20"/>
    </w:rPr>
  </w:style>
  <w:style w:type="paragraph" w:styleId="25">
    <w:name w:val="Body Text Indent 2"/>
    <w:basedOn w:val="1"/>
    <w:qFormat/>
    <w:uiPriority w:val="0"/>
    <w:pPr>
      <w:spacing w:line="400" w:lineRule="exact"/>
      <w:ind w:left="425"/>
    </w:pPr>
    <w:rPr>
      <w:color w:val="000000"/>
      <w:kern w:val="0"/>
      <w:sz w:val="24"/>
      <w:szCs w:val="20"/>
    </w:rPr>
  </w:style>
  <w:style w:type="paragraph" w:styleId="26">
    <w:name w:val="endnote text"/>
    <w:basedOn w:val="1"/>
    <w:qFormat/>
    <w:uiPriority w:val="0"/>
    <w:pPr>
      <w:snapToGrid w:val="0"/>
      <w:jc w:val="left"/>
    </w:pPr>
    <w:rPr>
      <w:kern w:val="0"/>
      <w:sz w:val="20"/>
      <w:szCs w:val="20"/>
    </w:rPr>
  </w:style>
  <w:style w:type="paragraph" w:styleId="27">
    <w:name w:val="Balloon Text"/>
    <w:basedOn w:val="1"/>
    <w:qFormat/>
    <w:uiPriority w:val="0"/>
    <w:rPr>
      <w:kern w:val="0"/>
      <w:sz w:val="18"/>
      <w:szCs w:val="18"/>
    </w:rPr>
  </w:style>
  <w:style w:type="paragraph" w:styleId="2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0">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1">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2">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3">
    <w:name w:val="Body Text 2"/>
    <w:basedOn w:val="1"/>
    <w:qFormat/>
    <w:uiPriority w:val="0"/>
    <w:rPr>
      <w:rFonts w:ascii="宋体"/>
      <w:kern w:val="0"/>
      <w:sz w:val="20"/>
      <w:szCs w:val="24"/>
      <w:u w:val="single"/>
    </w:rPr>
  </w:style>
  <w:style w:type="paragraph" w:styleId="34">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36">
    <w:name w:val="index 1"/>
    <w:basedOn w:val="1"/>
    <w:next w:val="1"/>
    <w:qFormat/>
    <w:uiPriority w:val="0"/>
    <w:rPr>
      <w:rFonts w:eastAsia="仿宋_GB2312"/>
      <w:sz w:val="28"/>
      <w:szCs w:val="20"/>
    </w:rPr>
  </w:style>
  <w:style w:type="paragraph" w:styleId="37">
    <w:name w:val="annotation subject"/>
    <w:basedOn w:val="17"/>
    <w:next w:val="17"/>
    <w:qFormat/>
    <w:uiPriority w:val="0"/>
    <w:rPr>
      <w:b/>
      <w:bCs/>
    </w:rPr>
  </w:style>
  <w:style w:type="paragraph" w:styleId="38">
    <w:name w:val="Body Text First Indent 2"/>
    <w:basedOn w:val="20"/>
    <w:qFormat/>
    <w:uiPriority w:val="0"/>
    <w:pPr>
      <w:spacing w:after="120"/>
      <w:ind w:left="200" w:leftChars="200" w:firstLine="200" w:firstLineChars="200"/>
    </w:pPr>
    <w:rPr>
      <w:rFonts w:ascii="Calibri" w:hAnsi="Calibri"/>
      <w:color w:val="0D0D0D"/>
      <w:sz w:val="21"/>
      <w:szCs w:val="24"/>
      <w:lang w:eastAsia="en-US"/>
    </w:rPr>
  </w:style>
  <w:style w:type="character" w:styleId="41">
    <w:name w:val="Strong"/>
    <w:basedOn w:val="40"/>
    <w:qFormat/>
    <w:uiPriority w:val="0"/>
    <w:rPr>
      <w:b/>
      <w:bCs/>
    </w:rPr>
  </w:style>
  <w:style w:type="character" w:styleId="42">
    <w:name w:val="endnote reference"/>
    <w:qFormat/>
    <w:uiPriority w:val="0"/>
    <w:rPr>
      <w:vertAlign w:val="superscript"/>
    </w:rPr>
  </w:style>
  <w:style w:type="character" w:styleId="43">
    <w:name w:val="page number"/>
    <w:qFormat/>
    <w:uiPriority w:val="0"/>
    <w:rPr>
      <w:rFonts w:cs="Times New Roman"/>
    </w:rPr>
  </w:style>
  <w:style w:type="character" w:styleId="44">
    <w:name w:val="FollowedHyperlink"/>
    <w:qFormat/>
    <w:uiPriority w:val="0"/>
    <w:rPr>
      <w:color w:val="954F72"/>
      <w:u w:val="single"/>
    </w:rPr>
  </w:style>
  <w:style w:type="character" w:styleId="45">
    <w:name w:val="Emphasis"/>
    <w:basedOn w:val="40"/>
    <w:qFormat/>
    <w:uiPriority w:val="0"/>
    <w:rPr>
      <w:i/>
    </w:rPr>
  </w:style>
  <w:style w:type="character" w:styleId="46">
    <w:name w:val="HTML Definition"/>
    <w:basedOn w:val="40"/>
    <w:qFormat/>
    <w:uiPriority w:val="0"/>
    <w:rPr>
      <w:i/>
      <w:iCs/>
    </w:rPr>
  </w:style>
  <w:style w:type="character" w:styleId="47">
    <w:name w:val="Hyperlink"/>
    <w:qFormat/>
    <w:uiPriority w:val="0"/>
    <w:rPr>
      <w:color w:val="0000FF"/>
      <w:u w:val="single"/>
    </w:rPr>
  </w:style>
  <w:style w:type="character" w:styleId="48">
    <w:name w:val="HTML Code"/>
    <w:basedOn w:val="40"/>
    <w:qFormat/>
    <w:uiPriority w:val="0"/>
    <w:rPr>
      <w:rFonts w:ascii="Consolas" w:hAnsi="Consolas" w:eastAsia="Consolas" w:cs="Consolas"/>
      <w:color w:val="C7254E"/>
      <w:sz w:val="21"/>
      <w:szCs w:val="21"/>
      <w:bdr w:val="single" w:color="E1E1E1" w:sz="2" w:space="0"/>
      <w:shd w:val="clear" w:fill="F9F2F4"/>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styleId="51">
    <w:name w:val="HTML Keyboard"/>
    <w:basedOn w:val="40"/>
    <w:qFormat/>
    <w:uiPriority w:val="0"/>
    <w:rPr>
      <w:rFonts w:hint="default" w:ascii="Consolas" w:hAnsi="Consolas" w:eastAsia="Consolas" w:cs="Consolas"/>
      <w:color w:val="FFFFFF"/>
      <w:sz w:val="21"/>
      <w:szCs w:val="21"/>
      <w:shd w:val="clear" w:fill="333333"/>
    </w:rPr>
  </w:style>
  <w:style w:type="character" w:styleId="52">
    <w:name w:val="HTML Sample"/>
    <w:basedOn w:val="40"/>
    <w:qFormat/>
    <w:uiPriority w:val="0"/>
    <w:rPr>
      <w:rFonts w:hint="default" w:ascii="Consolas" w:hAnsi="Consolas" w:eastAsia="Consolas" w:cs="Consolas"/>
      <w:sz w:val="21"/>
      <w:szCs w:val="21"/>
    </w:rPr>
  </w:style>
  <w:style w:type="paragraph" w:customStyle="1" w:styleId="5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标题 1 Char"/>
    <w:basedOn w:val="55"/>
    <w:link w:val="3"/>
    <w:qFormat/>
    <w:uiPriority w:val="0"/>
    <w:rPr>
      <w:rFonts w:ascii="Arial" w:hAnsi="Arial" w:eastAsia="宋体" w:cs="Times New Roman"/>
      <w:kern w:val="44"/>
      <w:sz w:val="28"/>
      <w:szCs w:val="28"/>
      <w:lang w:val="en-US" w:eastAsia="zh-CN" w:bidi="ar-SA"/>
    </w:rPr>
  </w:style>
  <w:style w:type="character" w:customStyle="1" w:styleId="55">
    <w:name w:val="标题 Char"/>
    <w:basedOn w:val="40"/>
    <w:link w:val="4"/>
    <w:qFormat/>
    <w:uiPriority w:val="0"/>
    <w:rPr>
      <w:rFonts w:ascii="Arial" w:hAnsi="Arial" w:eastAsia="宋体" w:cs="Times New Roman"/>
      <w:b/>
      <w:kern w:val="0"/>
      <w:sz w:val="44"/>
      <w:szCs w:val="20"/>
      <w:lang w:val="en-US" w:eastAsia="zh-CN" w:bidi="ar-SA"/>
    </w:rPr>
  </w:style>
  <w:style w:type="paragraph" w:customStyle="1" w:styleId="56">
    <w:name w:val="文一"/>
    <w:basedOn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7">
    <w:name w:val="纯文本 字符"/>
    <w:qFormat/>
    <w:uiPriority w:val="0"/>
    <w:rPr>
      <w:rFonts w:ascii="等线" w:hAnsi="等线" w:cs="Courier New"/>
    </w:rPr>
  </w:style>
  <w:style w:type="character" w:customStyle="1" w:styleId="58">
    <w:name w:val="批注文字 字符"/>
    <w:qFormat/>
    <w:uiPriority w:val="0"/>
    <w:rPr>
      <w:rFonts w:ascii="Calibri" w:hAnsi="Calibri" w:eastAsia="宋体" w:cs="Times New Roman"/>
    </w:rPr>
  </w:style>
  <w:style w:type="character" w:customStyle="1" w:styleId="59">
    <w:name w:val="标题 5 字符"/>
    <w:qFormat/>
    <w:uiPriority w:val="0"/>
    <w:rPr>
      <w:rFonts w:ascii="Calibri" w:hAnsi="Calibri" w:eastAsia="宋体" w:cs="Times New Roman"/>
      <w:b/>
      <w:bCs/>
      <w:sz w:val="28"/>
      <w:szCs w:val="28"/>
    </w:rPr>
  </w:style>
  <w:style w:type="paragraph" w:customStyle="1" w:styleId="60">
    <w:name w:val="_Style 48"/>
    <w:basedOn w:val="6"/>
    <w:next w:val="5"/>
    <w:qFormat/>
    <w:uiPriority w:val="0"/>
    <w:pPr>
      <w:ind w:firstLine="420"/>
    </w:pPr>
  </w:style>
  <w:style w:type="character" w:customStyle="1" w:styleId="61">
    <w:name w:val="正文文本缩进 字符"/>
    <w:qFormat/>
    <w:uiPriority w:val="0"/>
    <w:rPr>
      <w:rFonts w:ascii="Calibri" w:hAnsi="Calibri" w:eastAsia="宋体" w:cs="Times New Roman"/>
    </w:rPr>
  </w:style>
  <w:style w:type="character" w:customStyle="1" w:styleId="62">
    <w:name w:val="文档结构图 字符"/>
    <w:qFormat/>
    <w:uiPriority w:val="0"/>
    <w:rPr>
      <w:rFonts w:ascii="Microsoft YaHei UI" w:hAnsi="Microsoft YaHei UI" w:eastAsia="Microsoft YaHei UI" w:cs="Times New Roman"/>
      <w:sz w:val="18"/>
      <w:szCs w:val="18"/>
    </w:rPr>
  </w:style>
  <w:style w:type="character" w:customStyle="1" w:styleId="63">
    <w:name w:val="标题 2 字符"/>
    <w:qFormat/>
    <w:uiPriority w:val="0"/>
    <w:rPr>
      <w:rFonts w:ascii="等线 Light" w:eastAsia="等线 Light" w:cs="Times New Roman"/>
      <w:b/>
      <w:bCs/>
      <w:sz w:val="32"/>
      <w:szCs w:val="32"/>
    </w:rPr>
  </w:style>
  <w:style w:type="character" w:customStyle="1" w:styleId="64">
    <w:name w:val="正文文本缩进 3 字符"/>
    <w:qFormat/>
    <w:uiPriority w:val="0"/>
    <w:rPr>
      <w:rFonts w:ascii="Calibri" w:hAnsi="Calibri" w:eastAsia="宋体" w:cs="Times New Roman"/>
      <w:sz w:val="16"/>
      <w:szCs w:val="16"/>
    </w:rPr>
  </w:style>
  <w:style w:type="character" w:customStyle="1" w:styleId="65">
    <w:name w:val="正文首行缩进 字符"/>
    <w:qFormat/>
    <w:uiPriority w:val="0"/>
  </w:style>
  <w:style w:type="character" w:customStyle="1" w:styleId="66">
    <w:name w:val="日期 字符"/>
    <w:qFormat/>
    <w:uiPriority w:val="0"/>
    <w:rPr>
      <w:rFonts w:ascii="Calibri" w:hAnsi="Calibri" w:eastAsia="宋体" w:cs="Times New Roman"/>
    </w:rPr>
  </w:style>
  <w:style w:type="character" w:customStyle="1" w:styleId="67">
    <w:name w:val="批注主题 字符"/>
    <w:qFormat/>
    <w:uiPriority w:val="0"/>
    <w:rPr>
      <w:rFonts w:ascii="Calibri" w:hAnsi="Calibri" w:eastAsia="宋体" w:cs="Times New Roman"/>
      <w:b/>
      <w:bCs/>
    </w:rPr>
  </w:style>
  <w:style w:type="character" w:customStyle="1" w:styleId="68">
    <w:name w:val="页脚 字符"/>
    <w:qFormat/>
    <w:uiPriority w:val="0"/>
    <w:rPr>
      <w:rFonts w:ascii="Calibri" w:hAnsi="Calibri" w:eastAsia="宋体" w:cs="Times New Roman"/>
      <w:sz w:val="18"/>
      <w:szCs w:val="18"/>
    </w:rPr>
  </w:style>
  <w:style w:type="character" w:customStyle="1" w:styleId="69">
    <w:name w:val="尾注文本 字符"/>
    <w:qFormat/>
    <w:uiPriority w:val="0"/>
    <w:rPr>
      <w:rFonts w:ascii="Calibri" w:hAnsi="Calibri" w:eastAsia="宋体" w:cs="Times New Roman"/>
    </w:rPr>
  </w:style>
  <w:style w:type="character" w:customStyle="1" w:styleId="70">
    <w:name w:val="正文文本 字符"/>
    <w:qFormat/>
    <w:uiPriority w:val="0"/>
    <w:rPr>
      <w:rFonts w:ascii="Calibri" w:hAnsi="Calibri" w:eastAsia="宋体" w:cs="Times New Roman"/>
    </w:rPr>
  </w:style>
  <w:style w:type="character" w:customStyle="1" w:styleId="71">
    <w:name w:val="标题 8 字符"/>
    <w:qFormat/>
    <w:uiPriority w:val="0"/>
    <w:rPr>
      <w:rFonts w:ascii="等线 Light" w:eastAsia="等线 Light" w:cs="Times New Roman"/>
      <w:sz w:val="24"/>
      <w:szCs w:val="24"/>
    </w:rPr>
  </w:style>
  <w:style w:type="character" w:customStyle="1" w:styleId="72">
    <w:name w:val="正文文本 2 字符"/>
    <w:qFormat/>
    <w:uiPriority w:val="0"/>
    <w:rPr>
      <w:rFonts w:ascii="Calibri" w:hAnsi="Calibri" w:eastAsia="宋体" w:cs="Times New Roman"/>
    </w:rPr>
  </w:style>
  <w:style w:type="character" w:customStyle="1" w:styleId="73">
    <w:name w:val="标题 9 字符"/>
    <w:qFormat/>
    <w:uiPriority w:val="0"/>
    <w:rPr>
      <w:rFonts w:ascii="等线 Light" w:eastAsia="等线 Light" w:cs="Times New Roman"/>
      <w:szCs w:val="21"/>
    </w:rPr>
  </w:style>
  <w:style w:type="character" w:customStyle="1" w:styleId="74">
    <w:name w:val="标题 4 字符"/>
    <w:qFormat/>
    <w:uiPriority w:val="0"/>
    <w:rPr>
      <w:rFonts w:ascii="等线 Light" w:eastAsia="等线 Light" w:cs="Times New Roman"/>
      <w:b/>
      <w:bCs/>
      <w:sz w:val="28"/>
      <w:szCs w:val="28"/>
    </w:rPr>
  </w:style>
  <w:style w:type="character" w:customStyle="1" w:styleId="75">
    <w:name w:val="页眉 字符"/>
    <w:qFormat/>
    <w:uiPriority w:val="0"/>
    <w:rPr>
      <w:rFonts w:ascii="Calibri" w:hAnsi="Calibri" w:eastAsia="宋体" w:cs="Times New Roman"/>
      <w:sz w:val="18"/>
      <w:szCs w:val="18"/>
    </w:rPr>
  </w:style>
  <w:style w:type="character" w:customStyle="1" w:styleId="76">
    <w:name w:val="标题 3 字符"/>
    <w:qFormat/>
    <w:uiPriority w:val="0"/>
    <w:rPr>
      <w:rFonts w:ascii="Calibri" w:hAnsi="Calibri" w:eastAsia="宋体" w:cs="Times New Roman"/>
      <w:b/>
      <w:bCs/>
      <w:sz w:val="32"/>
      <w:szCs w:val="32"/>
    </w:rPr>
  </w:style>
  <w:style w:type="character" w:customStyle="1" w:styleId="77">
    <w:name w:val="正文文本缩进 2 字符"/>
    <w:qFormat/>
    <w:uiPriority w:val="0"/>
    <w:rPr>
      <w:rFonts w:ascii="Calibri" w:hAnsi="Calibri" w:eastAsia="宋体" w:cs="Times New Roman"/>
    </w:rPr>
  </w:style>
  <w:style w:type="character" w:customStyle="1" w:styleId="78">
    <w:name w:val="批注框文本 字符"/>
    <w:qFormat/>
    <w:uiPriority w:val="0"/>
    <w:rPr>
      <w:rFonts w:ascii="Calibri" w:hAnsi="Calibri" w:eastAsia="宋体" w:cs="Times New Roman"/>
      <w:sz w:val="18"/>
      <w:szCs w:val="18"/>
    </w:rPr>
  </w:style>
  <w:style w:type="character" w:customStyle="1" w:styleId="79">
    <w:name w:val="标题 1 字符"/>
    <w:qFormat/>
    <w:uiPriority w:val="0"/>
    <w:rPr>
      <w:rFonts w:ascii="Calibri" w:hAnsi="Calibri" w:eastAsia="宋体" w:cs="Times New Roman"/>
      <w:b/>
      <w:bCs/>
      <w:kern w:val="44"/>
      <w:sz w:val="44"/>
      <w:szCs w:val="44"/>
    </w:rPr>
  </w:style>
  <w:style w:type="character" w:customStyle="1" w:styleId="80">
    <w:name w:val="NormalCharacter"/>
    <w:qFormat/>
    <w:uiPriority w:val="0"/>
    <w:rPr>
      <w:rFonts w:ascii="Calibri" w:hAnsi="Calibri" w:eastAsia="宋体" w:cs="Times New Roman"/>
      <w:kern w:val="2"/>
      <w:sz w:val="21"/>
      <w:szCs w:val="22"/>
      <w:lang w:val="en-US" w:eastAsia="zh-CN" w:bidi="ar-SA"/>
    </w:rPr>
  </w:style>
  <w:style w:type="character" w:customStyle="1" w:styleId="81">
    <w:name w:val="脚注文本 字符"/>
    <w:qFormat/>
    <w:uiPriority w:val="0"/>
    <w:rPr>
      <w:rFonts w:ascii="Calibri" w:hAnsi="Calibri" w:eastAsia="宋体" w:cs="Times New Roman"/>
      <w:sz w:val="18"/>
      <w:szCs w:val="18"/>
    </w:rPr>
  </w:style>
  <w:style w:type="character" w:customStyle="1" w:styleId="82">
    <w:name w:val="标题 6 字符"/>
    <w:qFormat/>
    <w:uiPriority w:val="0"/>
    <w:rPr>
      <w:rFonts w:ascii="等线 Light" w:eastAsia="等线 Light" w:cs="Times New Roman"/>
      <w:b/>
      <w:bCs/>
      <w:sz w:val="24"/>
      <w:szCs w:val="24"/>
    </w:rPr>
  </w:style>
  <w:style w:type="character" w:customStyle="1" w:styleId="83">
    <w:name w:val="标题 字符"/>
    <w:qFormat/>
    <w:uiPriority w:val="0"/>
    <w:rPr>
      <w:rFonts w:ascii="等线 Light" w:eastAsia="等线 Light" w:cs="Times New Roman"/>
      <w:b/>
      <w:bCs/>
      <w:sz w:val="32"/>
      <w:szCs w:val="32"/>
    </w:rPr>
  </w:style>
  <w:style w:type="character" w:customStyle="1" w:styleId="84">
    <w:name w:val="标题 7 字符"/>
    <w:qFormat/>
    <w:uiPriority w:val="0"/>
    <w:rPr>
      <w:rFonts w:ascii="Calibri" w:hAnsi="Calibri" w:eastAsia="宋体" w:cs="Times New Roman"/>
      <w:b/>
      <w:bCs/>
      <w:sz w:val="24"/>
      <w:szCs w:val="24"/>
    </w:rPr>
  </w:style>
  <w:style w:type="paragraph" w:customStyle="1" w:styleId="85">
    <w:name w:val="TOC 标题1"/>
    <w:basedOn w:val="3"/>
    <w:next w:val="1"/>
    <w:qFormat/>
    <w:uiPriority w:val="0"/>
    <w:pPr>
      <w:widowControl/>
      <w:spacing w:before="480" w:after="0" w:line="276" w:lineRule="auto"/>
      <w:outlineLvl w:val="9"/>
    </w:pPr>
    <w:rPr>
      <w:rFonts w:ascii="Cambria" w:hAnsi="Cambria"/>
      <w:color w:val="365F91"/>
      <w:kern w:val="0"/>
    </w:rPr>
  </w:style>
  <w:style w:type="paragraph" w:customStyle="1" w:styleId="86">
    <w:name w:val="Char Char Char Char"/>
    <w:basedOn w:val="1"/>
    <w:qFormat/>
    <w:uiPriority w:val="0"/>
    <w:rPr>
      <w:sz w:val="30"/>
      <w:szCs w:val="24"/>
    </w:rPr>
  </w:style>
  <w:style w:type="paragraph" w:customStyle="1" w:styleId="87">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8">
    <w:name w:val="发文落款"/>
    <w:basedOn w:val="87"/>
    <w:qFormat/>
    <w:uiPriority w:val="0"/>
    <w:pPr>
      <w:ind w:left="4094" w:right="607" w:firstLine="0"/>
      <w:jc w:val="center"/>
    </w:pPr>
  </w:style>
  <w:style w:type="paragraph" w:customStyle="1" w:styleId="89">
    <w:name w:val="公文标题"/>
    <w:basedOn w:val="8"/>
    <w:qFormat/>
    <w:uiPriority w:val="0"/>
    <w:pPr>
      <w:keepNext/>
      <w:keepLines/>
      <w:widowControl w:val="0"/>
      <w:spacing w:before="0" w:beforeAutospacing="0" w:after="0" w:afterAutospacing="0"/>
      <w:ind w:left="1469" w:right="1542"/>
    </w:pPr>
    <w:rPr>
      <w:b/>
      <w:kern w:val="2"/>
      <w:sz w:val="44"/>
      <w:szCs w:val="21"/>
    </w:rPr>
  </w:style>
  <w:style w:type="paragraph" w:customStyle="1" w:styleId="9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1">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2">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3">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4">
    <w:name w:val="1"/>
    <w:basedOn w:val="1"/>
    <w:next w:val="1"/>
    <w:qFormat/>
    <w:uiPriority w:val="0"/>
  </w:style>
  <w:style w:type="paragraph" w:customStyle="1" w:styleId="95">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6">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7">
    <w:name w:val="表头"/>
    <w:basedOn w:val="1"/>
    <w:qFormat/>
    <w:uiPriority w:val="0"/>
    <w:pPr>
      <w:spacing w:line="360" w:lineRule="auto"/>
      <w:jc w:val="center"/>
    </w:pPr>
    <w:rPr>
      <w:rFonts w:ascii="黑体" w:eastAsia="黑体"/>
      <w:kern w:val="0"/>
      <w:sz w:val="24"/>
      <w:szCs w:val="20"/>
    </w:rPr>
  </w:style>
  <w:style w:type="paragraph" w:customStyle="1" w:styleId="98">
    <w:name w:val="修订1"/>
    <w:qFormat/>
    <w:uiPriority w:val="0"/>
    <w:rPr>
      <w:rFonts w:ascii="Times New Roman" w:hAnsi="Times New Roman" w:eastAsia="宋体" w:cs="Times New Roman"/>
      <w:kern w:val="2"/>
      <w:sz w:val="21"/>
      <w:lang w:val="en-US" w:eastAsia="zh-CN" w:bidi="ar-SA"/>
    </w:rPr>
  </w:style>
  <w:style w:type="paragraph" w:customStyle="1" w:styleId="99">
    <w:name w:val="列出段落2"/>
    <w:basedOn w:val="1"/>
    <w:qFormat/>
    <w:uiPriority w:val="0"/>
    <w:pPr>
      <w:ind w:firstLine="200" w:firstLineChars="200"/>
    </w:pPr>
    <w:rPr>
      <w:szCs w:val="20"/>
    </w:rPr>
  </w:style>
  <w:style w:type="paragraph" w:customStyle="1" w:styleId="100">
    <w:name w:val="公文抬头"/>
    <w:basedOn w:val="11"/>
    <w:qFormat/>
    <w:uiPriority w:val="0"/>
    <w:pPr>
      <w:ind w:firstLine="0"/>
    </w:pPr>
    <w:rPr>
      <w:rFonts w:ascii="仿宋_GB2312" w:eastAsia="仿宋_GB2312"/>
      <w:sz w:val="30"/>
      <w:szCs w:val="24"/>
    </w:rPr>
  </w:style>
  <w:style w:type="paragraph" w:customStyle="1" w:styleId="101">
    <w:name w:val="文二"/>
    <w:basedOn w:val="1"/>
    <w:qFormat/>
    <w:uiPriority w:val="0"/>
    <w:pPr>
      <w:jc w:val="left"/>
    </w:pPr>
    <w:rPr>
      <w:rFonts w:ascii="宋体"/>
      <w:szCs w:val="21"/>
    </w:rPr>
  </w:style>
  <w:style w:type="paragraph" w:customStyle="1" w:styleId="102">
    <w:name w:val="_Style 49"/>
    <w:basedOn w:val="6"/>
    <w:next w:val="5"/>
    <w:qFormat/>
    <w:uiPriority w:val="0"/>
    <w:pPr>
      <w:ind w:firstLine="420"/>
    </w:pPr>
  </w:style>
  <w:style w:type="paragraph" w:customStyle="1" w:styleId="103">
    <w:name w:val="正题"/>
    <w:basedOn w:val="56"/>
    <w:next w:val="56"/>
    <w:qFormat/>
    <w:uiPriority w:val="0"/>
    <w:pPr>
      <w:ind w:firstLine="0" w:firstLineChars="0"/>
      <w:jc w:val="center"/>
    </w:pPr>
    <w:rPr>
      <w:rFonts w:eastAsia="黑体"/>
      <w:b/>
      <w:sz w:val="36"/>
      <w:szCs w:val="36"/>
    </w:rPr>
  </w:style>
  <w:style w:type="paragraph" w:customStyle="1" w:styleId="1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5">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6">
    <w:name w:val="Char"/>
    <w:basedOn w:val="1"/>
    <w:qFormat/>
    <w:uiPriority w:val="0"/>
    <w:rPr>
      <w:rFonts w:ascii="Tahoma" w:hAnsi="Tahoma"/>
      <w:sz w:val="24"/>
      <w:szCs w:val="20"/>
    </w:rPr>
  </w:style>
  <w:style w:type="paragraph" w:customStyle="1" w:styleId="107">
    <w:name w:val="Char Char Char1 Char"/>
    <w:basedOn w:val="16"/>
    <w:qFormat/>
    <w:uiPriority w:val="0"/>
    <w:rPr>
      <w:rFonts w:ascii="Tahoma" w:hAnsi="Tahoma"/>
      <w:sz w:val="24"/>
      <w:szCs w:val="24"/>
    </w:rPr>
  </w:style>
  <w:style w:type="paragraph" w:customStyle="1" w:styleId="108">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9">
    <w:name w:val="Char1"/>
    <w:basedOn w:val="1"/>
    <w:qFormat/>
    <w:uiPriority w:val="0"/>
    <w:pPr>
      <w:ind w:left="567" w:hanging="279"/>
    </w:pPr>
    <w:rPr>
      <w:sz w:val="24"/>
      <w:szCs w:val="24"/>
    </w:rPr>
  </w:style>
  <w:style w:type="paragraph" w:customStyle="1" w:styleId="110">
    <w:name w:val="章节三"/>
    <w:basedOn w:val="56"/>
    <w:next w:val="56"/>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1">
    <w:name w:val="_Style 4"/>
    <w:basedOn w:val="1"/>
    <w:qFormat/>
    <w:uiPriority w:val="0"/>
    <w:pPr>
      <w:ind w:firstLine="200" w:firstLineChars="200"/>
    </w:pPr>
    <w:rPr>
      <w:szCs w:val="20"/>
    </w:rPr>
  </w:style>
  <w:style w:type="paragraph" w:customStyle="1" w:styleId="112">
    <w:name w:val="列出段落21"/>
    <w:basedOn w:val="1"/>
    <w:qFormat/>
    <w:uiPriority w:val="0"/>
    <w:pPr>
      <w:ind w:firstLine="200" w:firstLineChars="200"/>
    </w:pPr>
  </w:style>
  <w:style w:type="paragraph" w:customStyle="1" w:styleId="113">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4">
    <w:name w:val="font21"/>
    <w:basedOn w:val="40"/>
    <w:qFormat/>
    <w:uiPriority w:val="0"/>
    <w:rPr>
      <w:rFonts w:ascii="微软雅黑" w:eastAsia="微软雅黑" w:cs="微软雅黑"/>
      <w:color w:val="000000"/>
      <w:sz w:val="22"/>
      <w:szCs w:val="22"/>
      <w:u w:val="none"/>
    </w:rPr>
  </w:style>
  <w:style w:type="paragraph" w:customStyle="1" w:styleId="115">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列出段落11"/>
    <w:basedOn w:val="1"/>
    <w:qFormat/>
    <w:uiPriority w:val="0"/>
    <w:pPr>
      <w:ind w:firstLine="200" w:firstLineChars="200"/>
    </w:pPr>
  </w:style>
  <w:style w:type="paragraph" w:customStyle="1" w:styleId="117">
    <w:name w:val="_Style 3"/>
    <w:qFormat/>
    <w:uiPriority w:val="0"/>
    <w:pPr>
      <w:widowControl w:val="0"/>
      <w:jc w:val="both"/>
    </w:pPr>
    <w:rPr>
      <w:rFonts w:ascii="等线" w:hAnsi="等线" w:eastAsia="等线" w:cs="Times New Roman"/>
      <w:kern w:val="2"/>
      <w:sz w:val="21"/>
      <w:szCs w:val="22"/>
      <w:lang w:val="en-US" w:eastAsia="zh-CN" w:bidi="ar-SA"/>
    </w:rPr>
  </w:style>
  <w:style w:type="character" w:customStyle="1" w:styleId="118">
    <w:name w:val="font61"/>
    <w:qFormat/>
    <w:uiPriority w:val="0"/>
    <w:rPr>
      <w:rFonts w:hint="eastAsia" w:ascii="新宋体" w:hAnsi="新宋体" w:eastAsia="新宋体" w:cs="新宋体"/>
      <w:color w:val="000000"/>
      <w:sz w:val="22"/>
      <w:szCs w:val="22"/>
      <w:u w:val="none"/>
    </w:rPr>
  </w:style>
  <w:style w:type="character" w:customStyle="1" w:styleId="119">
    <w:name w:val="font01"/>
    <w:qFormat/>
    <w:uiPriority w:val="0"/>
    <w:rPr>
      <w:rFonts w:hint="eastAsia" w:ascii="宋体" w:hAnsi="宋体" w:eastAsia="宋体" w:cs="宋体"/>
      <w:color w:val="FF0000"/>
      <w:sz w:val="21"/>
      <w:szCs w:val="21"/>
      <w:u w:val="none"/>
    </w:rPr>
  </w:style>
  <w:style w:type="character" w:customStyle="1" w:styleId="120">
    <w:name w:val="font71"/>
    <w:qFormat/>
    <w:uiPriority w:val="0"/>
    <w:rPr>
      <w:rFonts w:hint="eastAsia" w:ascii="宋体" w:hAnsi="宋体" w:eastAsia="宋体" w:cs="宋体"/>
      <w:color w:val="000000"/>
      <w:sz w:val="22"/>
      <w:szCs w:val="22"/>
      <w:u w:val="none"/>
    </w:rPr>
  </w:style>
  <w:style w:type="character" w:customStyle="1" w:styleId="121">
    <w:name w:val="font112"/>
    <w:qFormat/>
    <w:uiPriority w:val="0"/>
    <w:rPr>
      <w:rFonts w:hint="eastAsia" w:ascii="新宋体" w:hAnsi="新宋体" w:eastAsia="新宋体" w:cs="新宋体"/>
      <w:color w:val="FF0000"/>
      <w:sz w:val="22"/>
      <w:szCs w:val="22"/>
      <w:u w:val="none"/>
    </w:rPr>
  </w:style>
  <w:style w:type="character" w:customStyle="1" w:styleId="122">
    <w:name w:val="font141"/>
    <w:qFormat/>
    <w:uiPriority w:val="0"/>
    <w:rPr>
      <w:rFonts w:hint="eastAsia" w:ascii="宋体" w:hAnsi="宋体" w:eastAsia="宋体" w:cs="宋体"/>
      <w:color w:val="000000"/>
      <w:sz w:val="22"/>
      <w:szCs w:val="22"/>
      <w:u w:val="none"/>
    </w:rPr>
  </w:style>
  <w:style w:type="paragraph" w:customStyle="1" w:styleId="123">
    <w:name w:val="Default"/>
    <w:qFormat/>
    <w:uiPriority w:val="0"/>
    <w:pPr>
      <w:widowControl w:val="0"/>
      <w:autoSpaceDE w:val="0"/>
      <w:autoSpaceDN w:val="0"/>
      <w:adjustRightInd w:val="0"/>
    </w:pPr>
    <w:rPr>
      <w:rFonts w:ascii="宋体..胭.." w:hAnsi="Calibri" w:eastAsia="宋体..胭.." w:cs="宋体..胭.."/>
      <w:color w:val="000000"/>
      <w:sz w:val="24"/>
      <w:szCs w:val="24"/>
      <w:lang w:val="en-US" w:eastAsia="zh-CN" w:bidi="ar-SA"/>
    </w:rPr>
  </w:style>
  <w:style w:type="paragraph" w:customStyle="1" w:styleId="124">
    <w:name w:val="List Paragraph"/>
    <w:basedOn w:val="1"/>
    <w:qFormat/>
    <w:uiPriority w:val="34"/>
    <w:pPr>
      <w:ind w:firstLine="420" w:firstLineChars="200"/>
    </w:pPr>
  </w:style>
  <w:style w:type="character" w:customStyle="1" w:styleId="125">
    <w:name w:val="username"/>
    <w:basedOn w:val="40"/>
    <w:qFormat/>
    <w:uiPriority w:val="0"/>
  </w:style>
  <w:style w:type="character" w:customStyle="1" w:styleId="126">
    <w:name w:val="title26"/>
    <w:basedOn w:val="40"/>
    <w:qFormat/>
    <w:uiPriority w:val="0"/>
  </w:style>
  <w:style w:type="character" w:customStyle="1" w:styleId="127">
    <w:name w:val="title24"/>
    <w:basedOn w:val="40"/>
    <w:qFormat/>
    <w:uiPriority w:val="0"/>
  </w:style>
  <w:style w:type="character" w:customStyle="1" w:styleId="128">
    <w:name w:val="title23"/>
    <w:basedOn w:val="40"/>
    <w:qFormat/>
    <w:uiPriority w:val="0"/>
  </w:style>
  <w:style w:type="character" w:customStyle="1" w:styleId="129">
    <w:name w:val="title22"/>
    <w:basedOn w:val="40"/>
    <w:qFormat/>
    <w:uiPriority w:val="0"/>
  </w:style>
  <w:style w:type="character" w:customStyle="1" w:styleId="130">
    <w:name w:val="title21"/>
    <w:basedOn w:val="40"/>
    <w:qFormat/>
    <w:uiPriority w:val="0"/>
  </w:style>
  <w:style w:type="paragraph" w:customStyle="1" w:styleId="131">
    <w:name w:val="null3"/>
    <w:qFormat/>
    <w:uiPriority w:val="0"/>
    <w:rPr>
      <w:rFonts w:hint="eastAsia" w:ascii="Calibri" w:hAnsi="Calibri" w:eastAsia="宋体" w:cs="Times New Roman"/>
      <w:lang w:val="en-US" w:eastAsia="zh-Hans" w:bidi="ar-SA"/>
    </w:rPr>
  </w:style>
  <w:style w:type="paragraph" w:customStyle="1" w:styleId="132">
    <w:name w:val="p1"/>
    <w:basedOn w:val="1"/>
    <w:qFormat/>
    <w:uiPriority w:val="0"/>
    <w:pPr>
      <w:shd w:val="clear" w:fill="FFFFFF"/>
      <w:spacing w:before="0" w:beforeAutospacing="0" w:after="0" w:afterAutospacing="0"/>
      <w:ind w:left="0" w:right="0"/>
      <w:jc w:val="left"/>
    </w:pPr>
    <w:rPr>
      <w:rFonts w:ascii="simsong" w:hAnsi="simsong" w:eastAsia="simsong" w:cs="simsong"/>
      <w:color w:val="000000"/>
      <w:kern w:val="0"/>
      <w:sz w:val="16"/>
      <w:szCs w:val="16"/>
      <w:lang w:val="en-US" w:eastAsia="zh-CN" w:bidi="ar"/>
    </w:rPr>
  </w:style>
  <w:style w:type="paragraph" w:customStyle="1" w:styleId="133">
    <w:name w:val="p2"/>
    <w:basedOn w:val="1"/>
    <w:qFormat/>
    <w:uiPriority w:val="0"/>
    <w:pPr>
      <w:spacing w:before="0" w:beforeAutospacing="0" w:after="0" w:afterAutospacing="0" w:line="340" w:lineRule="atLeast"/>
      <w:ind w:left="0" w:right="0"/>
      <w:jc w:val="both"/>
    </w:pPr>
    <w:rPr>
      <w:rFonts w:ascii="simsong" w:hAnsi="simsong" w:eastAsia="simsong" w:cs="simsong"/>
      <w:color w:val="000000"/>
      <w:kern w:val="0"/>
      <w:sz w:val="16"/>
      <w:szCs w:val="16"/>
      <w:lang w:val="en-US" w:eastAsia="zh-CN" w:bidi="ar"/>
    </w:rPr>
  </w:style>
  <w:style w:type="character" w:customStyle="1" w:styleId="134">
    <w:name w:val="s1"/>
    <w:basedOn w:val="40"/>
    <w:qFormat/>
    <w:uiPriority w:val="0"/>
    <w:rPr>
      <w:rFonts w:ascii="Times New Roman" w:hAnsi="Times New Roman" w:cs="Times New Roman"/>
      <w:sz w:val="16"/>
      <w:szCs w:val="16"/>
    </w:rPr>
  </w:style>
  <w:style w:type="paragraph" w:customStyle="1" w:styleId="135">
    <w:name w:val="p3"/>
    <w:basedOn w:val="1"/>
    <w:qFormat/>
    <w:uiPriority w:val="0"/>
    <w:pPr>
      <w:shd w:val="clear" w:fill="FFFFFF"/>
      <w:spacing w:before="0" w:beforeAutospacing="0" w:after="0" w:afterAutospacing="0"/>
      <w:ind w:left="0" w:right="0"/>
      <w:jc w:val="left"/>
    </w:pPr>
    <w:rPr>
      <w:rFonts w:hint="eastAsia" w:ascii="simsong" w:hAnsi="simsong" w:eastAsia="simsong" w:cs="simsong"/>
      <w:color w:val="000000"/>
      <w:kern w:val="0"/>
      <w:sz w:val="16"/>
      <w:szCs w:val="16"/>
      <w:lang w:val="en-US" w:eastAsia="zh-CN" w:bidi="ar"/>
    </w:rPr>
  </w:style>
  <w:style w:type="paragraph" w:customStyle="1" w:styleId="136">
    <w:name w:val="Other|1"/>
    <w:basedOn w:val="1"/>
    <w:qFormat/>
    <w:uiPriority w:val="0"/>
    <w:pPr>
      <w:keepNext w:val="0"/>
      <w:keepLines w:val="0"/>
      <w:widowControl w:val="0"/>
      <w:suppressLineNumbers w:val="0"/>
      <w:spacing w:before="0" w:beforeAutospacing="0" w:after="0" w:afterAutospacing="0" w:line="228" w:lineRule="exact"/>
      <w:ind w:left="0" w:right="0"/>
      <w:jc w:val="both"/>
    </w:pPr>
    <w:rPr>
      <w:rFonts w:hint="eastAsia" w:ascii="宋体" w:hAnsi="宋体" w:eastAsia="宋体" w:cs="宋体"/>
      <w:kern w:val="2"/>
      <w:sz w:val="17"/>
      <w:szCs w:val="17"/>
      <w:lang w:val="en-US" w:eastAsia="zh-CN" w:bidi="ar"/>
    </w:rPr>
  </w:style>
  <w:style w:type="paragraph" w:customStyle="1" w:styleId="137">
    <w:name w:val="Compact"/>
    <w:basedOn w:val="6"/>
    <w:qFormat/>
    <w:uiPriority w:val="0"/>
    <w:pPr>
      <w:spacing w:before="36" w:after="36"/>
    </w:pPr>
  </w:style>
  <w:style w:type="paragraph" w:customStyle="1" w:styleId="138">
    <w:name w:val="First Paragraph"/>
    <w:basedOn w:val="6"/>
    <w:next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92</Pages>
  <Words>3260</Words>
  <Characters>3490</Characters>
  <Lines>1</Lines>
  <Paragraphs>1</Paragraphs>
  <TotalTime>0</TotalTime>
  <ScaleCrop>false</ScaleCrop>
  <LinksUpToDate>false</LinksUpToDate>
  <CharactersWithSpaces>3566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2025-01-09T23:28:00Z</dcterms:created>
  <dc:creator>管理员</dc:creator>
  <cp:lastModifiedBy>招标代理</cp:lastModifiedBy>
  <cp:lastPrinted>2025-07-30T03:53:00Z</cp:lastPrinted>
  <dcterms:modified xsi:type="dcterms:W3CDTF">2025-08-06T03:13:05Z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4DE0CE2114278B3B535725686C39B9FE_43</vt:lpwstr>
  </property>
  <property fmtid="{D5CDD505-2E9C-101B-9397-08002B2CF9AE}" pid="4" name="commondata">
    <vt:lpwstr>eyJoZGlkIjoiNDcxNjdiZTdjOTc2MTkwNWM3NDg3YmYxMTBjZDU5ODgifQ==</vt:lpwstr>
  </property>
  <property fmtid="{D5CDD505-2E9C-101B-9397-08002B2CF9AE}" pid="5" name="KSOTemplateDocerSaveRecord">
    <vt:lpwstr>eyJoZGlkIjoiNDA5YTE4OWE0ODhhZTc0MDliNmNmNDZjODMyOWQyYzMiLCJ1c2VySWQiOiIxNzg3NjIyMyJ9</vt:lpwstr>
  </property>
</Properties>
</file>