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A1C4E">
      <w:pPr>
        <w:spacing w:line="360" w:lineRule="auto"/>
        <w:jc w:val="center"/>
        <w:rPr>
          <w:rFonts w:hint="eastAsia" w:ascii="黑体" w:hAnsi="黑体" w:eastAsia="黑体" w:cs="黑体"/>
          <w:b/>
          <w:bCs/>
          <w:sz w:val="28"/>
          <w:szCs w:val="28"/>
        </w:rPr>
      </w:pPr>
    </w:p>
    <w:p w14:paraId="243DDF15">
      <w:pPr>
        <w:spacing w:line="360" w:lineRule="auto"/>
        <w:ind w:left="171"/>
        <w:jc w:val="center"/>
        <w:rPr>
          <w:rStyle w:val="32"/>
          <w:rFonts w:hint="eastAsia" w:ascii="宋体" w:hAnsi="宋体" w:cs="宋体"/>
          <w:b/>
          <w:kern w:val="0"/>
          <w:sz w:val="48"/>
          <w:szCs w:val="48"/>
        </w:rPr>
      </w:pPr>
    </w:p>
    <w:p w14:paraId="7C84B8CA">
      <w:pPr>
        <w:spacing w:line="360" w:lineRule="auto"/>
        <w:ind w:left="171"/>
        <w:jc w:val="center"/>
        <w:rPr>
          <w:rStyle w:val="32"/>
          <w:rFonts w:hint="eastAsia" w:ascii="宋体" w:hAnsi="宋体" w:cs="宋体"/>
          <w:b/>
          <w:kern w:val="0"/>
          <w:sz w:val="48"/>
          <w:szCs w:val="48"/>
        </w:rPr>
      </w:pPr>
    </w:p>
    <w:p w14:paraId="2748584D">
      <w:pPr>
        <w:spacing w:line="360" w:lineRule="auto"/>
        <w:ind w:left="708" w:leftChars="337" w:right="706" w:rightChars="336"/>
        <w:jc w:val="center"/>
        <w:rPr>
          <w:rStyle w:val="32"/>
          <w:rFonts w:hint="eastAsia"/>
          <w:kern w:val="0"/>
          <w:sz w:val="44"/>
          <w:szCs w:val="44"/>
        </w:rPr>
      </w:pPr>
      <w:r>
        <w:rPr>
          <w:rStyle w:val="32"/>
          <w:rFonts w:hint="eastAsia" w:ascii="宋体" w:hAnsi="宋体" w:eastAsia="宋体" w:cs="宋体"/>
          <w:b/>
          <w:kern w:val="0"/>
          <w:sz w:val="44"/>
          <w:szCs w:val="44"/>
          <w:lang w:eastAsia="zh-CN"/>
        </w:rPr>
        <w:t>番禺区南村镇德兴北路（金山大道至园北路）工程施工监理</w:t>
      </w:r>
    </w:p>
    <w:p w14:paraId="56C982D8">
      <w:pPr>
        <w:spacing w:line="360" w:lineRule="auto"/>
        <w:ind w:left="171"/>
        <w:jc w:val="center"/>
        <w:rPr>
          <w:rStyle w:val="32"/>
          <w:rFonts w:hint="eastAsia" w:cs="宋体"/>
          <w:kern w:val="0"/>
          <w:sz w:val="48"/>
          <w:szCs w:val="48"/>
        </w:rPr>
      </w:pPr>
    </w:p>
    <w:p w14:paraId="421C74E3">
      <w:pPr>
        <w:pStyle w:val="5"/>
        <w:numPr>
          <w:ilvl w:val="0"/>
          <w:numId w:val="0"/>
        </w:numPr>
        <w:rPr>
          <w:rFonts w:hint="eastAsia"/>
        </w:rPr>
      </w:pPr>
    </w:p>
    <w:p w14:paraId="7D22C667">
      <w:pPr>
        <w:rPr>
          <w:rFonts w:hint="eastAsia" w:ascii="宋体" w:hAnsi="宋体"/>
          <w:b/>
          <w:bCs/>
          <w:spacing w:val="26"/>
          <w:sz w:val="30"/>
          <w:szCs w:val="30"/>
        </w:rPr>
      </w:pPr>
    </w:p>
    <w:p w14:paraId="14FD3467">
      <w:pPr>
        <w:pStyle w:val="6"/>
        <w:ind w:firstLine="422"/>
        <w:rPr>
          <w:rFonts w:hint="eastAsia"/>
          <w:color w:val="auto"/>
        </w:rPr>
      </w:pPr>
    </w:p>
    <w:p w14:paraId="5A03FFBF">
      <w:pPr>
        <w:rPr>
          <w:rFonts w:hint="eastAsia"/>
        </w:rPr>
      </w:pPr>
    </w:p>
    <w:p w14:paraId="018E6051">
      <w:pPr>
        <w:spacing w:line="360" w:lineRule="auto"/>
        <w:jc w:val="center"/>
        <w:rPr>
          <w:rFonts w:hint="eastAsia" w:ascii="宋体" w:hAnsi="宋体"/>
          <w:b/>
          <w:bCs/>
          <w:spacing w:val="26"/>
          <w:sz w:val="84"/>
          <w:szCs w:val="84"/>
        </w:rPr>
      </w:pPr>
      <w:r>
        <w:rPr>
          <w:rFonts w:hint="eastAsia" w:ascii="宋体" w:hAnsi="宋体"/>
          <w:b/>
          <w:bCs/>
          <w:spacing w:val="26"/>
          <w:sz w:val="84"/>
          <w:szCs w:val="84"/>
        </w:rPr>
        <w:t>招标公告</w:t>
      </w:r>
    </w:p>
    <w:p w14:paraId="0F90C867">
      <w:pPr>
        <w:spacing w:line="360" w:lineRule="auto"/>
        <w:ind w:left="171"/>
        <w:jc w:val="center"/>
        <w:rPr>
          <w:rFonts w:hint="eastAsia" w:ascii="宋体" w:hAnsi="宋体"/>
          <w:b/>
          <w:bCs/>
          <w:spacing w:val="26"/>
          <w:sz w:val="30"/>
          <w:szCs w:val="30"/>
        </w:rPr>
      </w:pPr>
    </w:p>
    <w:p w14:paraId="59ADCD6D">
      <w:pPr>
        <w:pStyle w:val="6"/>
        <w:ind w:firstLine="704"/>
        <w:rPr>
          <w:rFonts w:hint="eastAsia"/>
          <w:b w:val="0"/>
          <w:bCs/>
          <w:color w:val="auto"/>
          <w:spacing w:val="26"/>
          <w:sz w:val="30"/>
          <w:szCs w:val="30"/>
        </w:rPr>
      </w:pPr>
    </w:p>
    <w:p w14:paraId="5FA13D1E">
      <w:pPr>
        <w:rPr>
          <w:rFonts w:hint="eastAsia" w:ascii="宋体" w:hAnsi="宋体"/>
          <w:b/>
          <w:bCs/>
          <w:spacing w:val="26"/>
          <w:sz w:val="30"/>
          <w:szCs w:val="30"/>
        </w:rPr>
      </w:pPr>
    </w:p>
    <w:p w14:paraId="2E735DF5">
      <w:pPr>
        <w:pStyle w:val="6"/>
        <w:ind w:firstLine="422"/>
        <w:rPr>
          <w:rFonts w:hint="eastAsia"/>
          <w:color w:val="auto"/>
        </w:rPr>
      </w:pPr>
    </w:p>
    <w:p w14:paraId="3EF98E3C">
      <w:pPr>
        <w:rPr>
          <w:rFonts w:hint="eastAsia"/>
        </w:rPr>
      </w:pPr>
    </w:p>
    <w:p w14:paraId="4DB21C0A">
      <w:pPr>
        <w:spacing w:line="360" w:lineRule="auto"/>
        <w:ind w:left="171"/>
        <w:jc w:val="center"/>
        <w:rPr>
          <w:rFonts w:hint="eastAsia" w:ascii="宋体" w:hAnsi="宋体"/>
          <w:b/>
          <w:bCs/>
          <w:spacing w:val="26"/>
          <w:sz w:val="30"/>
          <w:szCs w:val="30"/>
        </w:rPr>
      </w:pPr>
    </w:p>
    <w:p w14:paraId="40D4E300">
      <w:pPr>
        <w:spacing w:line="360" w:lineRule="auto"/>
        <w:ind w:left="2964" w:leftChars="608" w:hanging="1687" w:hangingChars="525"/>
        <w:jc w:val="left"/>
        <w:rPr>
          <w:rFonts w:hint="eastAsia" w:ascii="宋体" w:hAnsi="宋体" w:cs="宋体"/>
          <w:b/>
          <w:sz w:val="32"/>
          <w:szCs w:val="32"/>
        </w:rPr>
      </w:pPr>
    </w:p>
    <w:p w14:paraId="1227A610">
      <w:pPr>
        <w:pStyle w:val="5"/>
        <w:numPr>
          <w:ilvl w:val="0"/>
          <w:numId w:val="0"/>
        </w:numPr>
        <w:rPr>
          <w:rFonts w:hint="eastAsia"/>
        </w:rPr>
      </w:pPr>
    </w:p>
    <w:p w14:paraId="6452545B">
      <w:pPr>
        <w:ind w:left="2380" w:hanging="1103"/>
        <w:rPr>
          <w:rFonts w:hint="eastAsia"/>
        </w:rPr>
      </w:pPr>
    </w:p>
    <w:p w14:paraId="1D106720">
      <w:pPr>
        <w:spacing w:line="360" w:lineRule="auto"/>
        <w:ind w:left="2964" w:leftChars="608" w:hanging="1687" w:hangingChars="525"/>
        <w:jc w:val="left"/>
        <w:rPr>
          <w:rFonts w:hint="eastAsia"/>
          <w:b/>
          <w:bCs/>
          <w:sz w:val="32"/>
          <w:szCs w:val="32"/>
          <w:u w:val="single"/>
        </w:rPr>
      </w:pPr>
      <w:r>
        <w:rPr>
          <w:rFonts w:hint="eastAsia" w:ascii="宋体" w:hAnsi="宋体" w:cs="宋体"/>
          <w:b/>
          <w:sz w:val="32"/>
          <w:szCs w:val="32"/>
        </w:rPr>
        <w:t>招 标 人：</w:t>
      </w:r>
      <w:r>
        <w:rPr>
          <w:rFonts w:hint="eastAsia"/>
          <w:b/>
          <w:bCs/>
          <w:sz w:val="32"/>
          <w:szCs w:val="32"/>
          <w:u w:val="single"/>
        </w:rPr>
        <w:t>广州市番禺区基本建设投资管理中心</w:t>
      </w:r>
    </w:p>
    <w:p w14:paraId="69214184">
      <w:pPr>
        <w:spacing w:line="360" w:lineRule="auto"/>
        <w:ind w:firstLine="1285" w:firstLineChars="400"/>
        <w:jc w:val="left"/>
        <w:rPr>
          <w:rFonts w:hint="default" w:ascii="宋体" w:hAnsi="宋体" w:cs="宋体"/>
          <w:b/>
          <w:sz w:val="32"/>
          <w:szCs w:val="32"/>
          <w:lang w:val="en-US"/>
        </w:rPr>
      </w:pPr>
      <w:r>
        <w:rPr>
          <w:rFonts w:hint="eastAsia" w:ascii="宋体" w:hAnsi="宋体" w:cs="宋体"/>
          <w:b/>
          <w:sz w:val="32"/>
          <w:szCs w:val="32"/>
        </w:rPr>
        <w:t>招标代理机构：</w:t>
      </w:r>
      <w:r>
        <w:rPr>
          <w:rFonts w:hint="eastAsia" w:ascii="Times New Roman" w:hAnsi="Times New Roman" w:eastAsia="宋体" w:cs="Times New Roman"/>
          <w:b/>
          <w:bCs/>
          <w:sz w:val="32"/>
          <w:szCs w:val="32"/>
          <w:u w:val="single"/>
          <w:lang w:val="zh-CN" w:eastAsia="zh-CN"/>
        </w:rPr>
        <w:t>广东弘海实业发展有限公司</w:t>
      </w:r>
      <w:r>
        <w:rPr>
          <w:rFonts w:hint="eastAsia" w:ascii="Times New Roman" w:hAnsi="Times New Roman" w:eastAsia="宋体" w:cs="Times New Roman"/>
          <w:b/>
          <w:bCs/>
          <w:sz w:val="32"/>
          <w:szCs w:val="32"/>
          <w:u w:val="none"/>
          <w:lang w:val="en-US" w:eastAsia="zh-CN"/>
        </w:rPr>
        <w:t xml:space="preserve">    </w:t>
      </w:r>
    </w:p>
    <w:p w14:paraId="68F5F2B3">
      <w:pPr>
        <w:pStyle w:val="5"/>
        <w:numPr>
          <w:ilvl w:val="0"/>
          <w:numId w:val="0"/>
        </w:numPr>
        <w:ind w:firstLine="1269" w:firstLineChars="395"/>
      </w:pPr>
      <w:r>
        <w:rPr>
          <w:rFonts w:hint="eastAsia" w:ascii="宋体" w:hAnsi="宋体" w:cs="宋体"/>
          <w:b/>
          <w:sz w:val="32"/>
          <w:szCs w:val="32"/>
        </w:rPr>
        <w:t>日        期：</w:t>
      </w:r>
      <w:r>
        <w:rPr>
          <w:rFonts w:hint="eastAsia" w:ascii="宋体" w:hAnsi="宋体" w:cs="宋体"/>
          <w:b/>
          <w:sz w:val="32"/>
          <w:szCs w:val="32"/>
          <w:u w:val="single"/>
        </w:rPr>
        <w:t>2025</w:t>
      </w:r>
      <w:r>
        <w:rPr>
          <w:rFonts w:hint="eastAsia" w:ascii="宋体" w:hAnsi="宋体" w:cs="宋体"/>
          <w:b/>
          <w:sz w:val="32"/>
          <w:szCs w:val="32"/>
        </w:rPr>
        <w:t>年</w:t>
      </w:r>
      <w:r>
        <w:rPr>
          <w:rFonts w:hint="eastAsia" w:ascii="宋体" w:hAnsi="宋体" w:cs="宋体"/>
          <w:b/>
          <w:sz w:val="32"/>
          <w:szCs w:val="32"/>
          <w:u w:val="single"/>
          <w:lang w:val="en-US" w:eastAsia="zh-CN"/>
        </w:rPr>
        <w:t>8</w:t>
      </w:r>
      <w:r>
        <w:rPr>
          <w:rFonts w:hint="eastAsia" w:ascii="宋体" w:hAnsi="宋体" w:cs="宋体"/>
          <w:b/>
          <w:sz w:val="32"/>
          <w:szCs w:val="32"/>
        </w:rPr>
        <w:t>月</w:t>
      </w:r>
    </w:p>
    <w:p w14:paraId="25033535">
      <w:pPr>
        <w:pStyle w:val="5"/>
        <w:numPr>
          <w:ilvl w:val="0"/>
          <w:numId w:val="0"/>
        </w:numPr>
        <w:jc w:val="center"/>
      </w:pPr>
      <w:r>
        <w:br w:type="page"/>
      </w:r>
    </w:p>
    <w:p w14:paraId="3B4594DA">
      <w:pPr>
        <w:pStyle w:val="5"/>
        <w:numPr>
          <w:ilvl w:val="0"/>
          <w:numId w:val="0"/>
        </w:numPr>
        <w:jc w:val="center"/>
        <w:rPr>
          <w:rFonts w:hint="eastAsia" w:ascii="黑体" w:hAnsi="黑体" w:eastAsia="黑体" w:cs="黑体"/>
          <w:b/>
          <w:bCs/>
          <w:sz w:val="32"/>
          <w:szCs w:val="32"/>
          <w:highlight w:val="none"/>
          <w:lang w:eastAsia="zh-CN"/>
        </w:rPr>
      </w:pPr>
      <w:r>
        <w:rPr>
          <w:rFonts w:hint="eastAsia" w:ascii="黑体" w:hAnsi="黑体" w:eastAsia="黑体" w:cs="黑体"/>
          <w:b/>
          <w:bCs/>
          <w:sz w:val="32"/>
          <w:szCs w:val="32"/>
          <w:highlight w:val="none"/>
          <w:lang w:eastAsia="zh-CN"/>
        </w:rPr>
        <w:t>番禺区南村镇德兴北路（金山大道至园北路）工程施工监理</w:t>
      </w:r>
    </w:p>
    <w:p w14:paraId="6F624C60">
      <w:pPr>
        <w:pStyle w:val="5"/>
        <w:numPr>
          <w:ilvl w:val="0"/>
          <w:numId w:val="0"/>
        </w:numPr>
        <w:jc w:val="center"/>
        <w:rPr>
          <w:rFonts w:hint="eastAsia"/>
          <w:highlight w:val="none"/>
        </w:rPr>
      </w:pPr>
      <w:r>
        <w:rPr>
          <w:rFonts w:hint="eastAsia" w:ascii="黑体" w:hAnsi="黑体" w:eastAsia="黑体" w:cs="黑体"/>
          <w:b/>
          <w:bCs/>
          <w:sz w:val="32"/>
          <w:szCs w:val="32"/>
          <w:highlight w:val="none"/>
        </w:rPr>
        <w:t>招标公告</w:t>
      </w:r>
    </w:p>
    <w:p w14:paraId="1FCC4E76">
      <w:pPr>
        <w:pStyle w:val="4"/>
        <w:rPr>
          <w:rFonts w:hint="eastAsia"/>
        </w:rPr>
      </w:pPr>
      <w:bookmarkStart w:id="0" w:name="_Toc19309"/>
      <w:bookmarkStart w:id="1" w:name="_Toc19438"/>
      <w:bookmarkStart w:id="2" w:name="_Toc7616"/>
      <w:bookmarkStart w:id="3" w:name="_Toc8669"/>
      <w:bookmarkStart w:id="4" w:name="_Toc14321"/>
      <w:bookmarkStart w:id="5" w:name="_Toc4607"/>
      <w:bookmarkStart w:id="6" w:name="_Toc492300546"/>
      <w:bookmarkStart w:id="7" w:name="_Toc6984"/>
      <w:bookmarkStart w:id="8" w:name="_Toc13816"/>
      <w:bookmarkStart w:id="9" w:name="_Toc12249"/>
      <w:bookmarkStart w:id="10" w:name="_Toc29260"/>
      <w:r>
        <w:rPr>
          <w:rFonts w:hint="eastAsia"/>
        </w:rPr>
        <w:t>1.招标条件</w:t>
      </w:r>
      <w:bookmarkEnd w:id="0"/>
      <w:bookmarkEnd w:id="1"/>
      <w:bookmarkEnd w:id="2"/>
      <w:bookmarkEnd w:id="3"/>
      <w:bookmarkEnd w:id="4"/>
      <w:bookmarkEnd w:id="5"/>
      <w:bookmarkEnd w:id="6"/>
      <w:bookmarkEnd w:id="7"/>
      <w:bookmarkEnd w:id="8"/>
      <w:bookmarkEnd w:id="9"/>
      <w:bookmarkEnd w:id="10"/>
    </w:p>
    <w:p w14:paraId="4D53D00D">
      <w:pPr>
        <w:spacing w:line="400" w:lineRule="exact"/>
        <w:ind w:firstLine="420" w:firstLineChars="200"/>
        <w:rPr>
          <w:szCs w:val="21"/>
          <w:highlight w:val="none"/>
        </w:rPr>
      </w:pPr>
      <w:bookmarkStart w:id="11" w:name="_Toc12610"/>
      <w:bookmarkStart w:id="12" w:name="_Toc5569"/>
      <w:bookmarkStart w:id="13" w:name="_Toc8135"/>
      <w:bookmarkStart w:id="14" w:name="_Toc23202"/>
      <w:bookmarkStart w:id="15" w:name="_Toc9097"/>
      <w:bookmarkStart w:id="16" w:name="_Toc16756"/>
      <w:bookmarkStart w:id="17" w:name="_Toc20915"/>
      <w:bookmarkStart w:id="18" w:name="_Toc492300547"/>
      <w:bookmarkStart w:id="19" w:name="_Toc26461"/>
      <w:bookmarkStart w:id="20" w:name="_Toc15996"/>
      <w:r>
        <w:rPr>
          <w:szCs w:val="21"/>
          <w:highlight w:val="none"/>
        </w:rPr>
        <w:t>本招标项目</w:t>
      </w:r>
      <w:r>
        <w:rPr>
          <w:rFonts w:hint="eastAsia" w:ascii="宋体" w:hAnsi="宋体" w:cs="宋体"/>
          <w:szCs w:val="21"/>
          <w:highlight w:val="none"/>
          <w:u w:val="single"/>
          <w:lang w:eastAsia="zh-CN"/>
        </w:rPr>
        <w:t>番禺区南村镇德兴北路（金山大道至园北路）工程</w:t>
      </w:r>
      <w:r>
        <w:rPr>
          <w:szCs w:val="21"/>
          <w:highlight w:val="none"/>
        </w:rPr>
        <w:t>已</w:t>
      </w:r>
      <w:r>
        <w:rPr>
          <w:spacing w:val="-1"/>
          <w:szCs w:val="21"/>
          <w:highlight w:val="none"/>
        </w:rPr>
        <w:t>由</w:t>
      </w:r>
      <w:r>
        <w:rPr>
          <w:rFonts w:hint="eastAsia"/>
          <w:szCs w:val="21"/>
          <w:highlight w:val="none"/>
          <w:u w:val="single"/>
        </w:rPr>
        <w:t>广州市番禺区发展和改革局</w:t>
      </w:r>
      <w:r>
        <w:rPr>
          <w:spacing w:val="-1"/>
          <w:szCs w:val="21"/>
          <w:highlight w:val="none"/>
        </w:rPr>
        <w:t>以</w:t>
      </w:r>
      <w:r>
        <w:rPr>
          <w:rFonts w:hint="eastAsia" w:ascii="宋体" w:hAnsi="宋体"/>
          <w:szCs w:val="21"/>
          <w:highlight w:val="none"/>
          <w:u w:val="single"/>
        </w:rPr>
        <w:t>穗番发改投批〔202</w:t>
      </w:r>
      <w:r>
        <w:rPr>
          <w:rFonts w:hint="eastAsia" w:ascii="宋体" w:hAnsi="宋体"/>
          <w:szCs w:val="21"/>
          <w:highlight w:val="none"/>
          <w:u w:val="single"/>
          <w:lang w:eastAsia="zh-CN"/>
        </w:rPr>
        <w:t>4</w:t>
      </w:r>
      <w:r>
        <w:rPr>
          <w:rFonts w:hint="eastAsia" w:ascii="宋体" w:hAnsi="宋体"/>
          <w:szCs w:val="21"/>
          <w:highlight w:val="none"/>
          <w:u w:val="single"/>
        </w:rPr>
        <w:t>〕</w:t>
      </w:r>
      <w:r>
        <w:rPr>
          <w:rFonts w:hint="eastAsia" w:ascii="宋体" w:hAnsi="宋体"/>
          <w:szCs w:val="21"/>
          <w:highlight w:val="none"/>
          <w:u w:val="single"/>
          <w:lang w:eastAsia="zh-CN"/>
        </w:rPr>
        <w:t>2</w:t>
      </w:r>
      <w:r>
        <w:rPr>
          <w:rFonts w:hint="eastAsia" w:ascii="宋体" w:hAnsi="宋体"/>
          <w:szCs w:val="21"/>
          <w:highlight w:val="none"/>
          <w:u w:val="single"/>
          <w:lang w:val="en-US" w:eastAsia="zh-CN"/>
        </w:rPr>
        <w:t>7</w:t>
      </w:r>
      <w:r>
        <w:rPr>
          <w:rFonts w:hint="eastAsia" w:ascii="宋体" w:hAnsi="宋体"/>
          <w:szCs w:val="21"/>
          <w:highlight w:val="none"/>
          <w:u w:val="single"/>
        </w:rPr>
        <w:t>号</w:t>
      </w:r>
      <w:r>
        <w:rPr>
          <w:rFonts w:hint="eastAsia" w:ascii="宋体" w:hAnsi="宋体"/>
          <w:szCs w:val="21"/>
          <w:highlight w:val="none"/>
          <w:u w:val="none"/>
          <w:lang w:val="en-US" w:eastAsia="zh-CN"/>
        </w:rPr>
        <w:t>批</w:t>
      </w:r>
      <w:r>
        <w:rPr>
          <w:szCs w:val="21"/>
          <w:highlight w:val="none"/>
        </w:rPr>
        <w:t>准建</w:t>
      </w:r>
      <w:r>
        <w:rPr>
          <w:spacing w:val="-3"/>
          <w:szCs w:val="21"/>
          <w:highlight w:val="none"/>
        </w:rPr>
        <w:t>设</w:t>
      </w:r>
      <w:r>
        <w:rPr>
          <w:spacing w:val="-17"/>
          <w:szCs w:val="21"/>
          <w:highlight w:val="none"/>
        </w:rPr>
        <w:t>，</w:t>
      </w:r>
      <w:r>
        <w:rPr>
          <w:szCs w:val="21"/>
          <w:highlight w:val="none"/>
        </w:rPr>
        <w:t>项</w:t>
      </w:r>
      <w:r>
        <w:rPr>
          <w:spacing w:val="-3"/>
          <w:szCs w:val="21"/>
          <w:highlight w:val="none"/>
        </w:rPr>
        <w:t>目</w:t>
      </w:r>
      <w:r>
        <w:rPr>
          <w:szCs w:val="21"/>
          <w:highlight w:val="none"/>
        </w:rPr>
        <w:t>业</w:t>
      </w:r>
      <w:r>
        <w:rPr>
          <w:spacing w:val="-3"/>
          <w:szCs w:val="21"/>
          <w:highlight w:val="none"/>
        </w:rPr>
        <w:t>主</w:t>
      </w:r>
      <w:r>
        <w:rPr>
          <w:spacing w:val="-1"/>
          <w:szCs w:val="21"/>
          <w:highlight w:val="none"/>
        </w:rPr>
        <w:t>为</w:t>
      </w:r>
      <w:r>
        <w:rPr>
          <w:rFonts w:hint="eastAsia" w:ascii="宋体" w:hAnsi="宋体" w:cs="宋体"/>
          <w:szCs w:val="21"/>
          <w:highlight w:val="none"/>
          <w:u w:val="single"/>
        </w:rPr>
        <w:t>广州市番禺区基本建设投资管理中心</w:t>
      </w:r>
      <w:r>
        <w:rPr>
          <w:spacing w:val="-17"/>
          <w:szCs w:val="21"/>
          <w:highlight w:val="none"/>
        </w:rPr>
        <w:t>，</w:t>
      </w:r>
      <w:r>
        <w:rPr>
          <w:szCs w:val="21"/>
          <w:highlight w:val="none"/>
        </w:rPr>
        <w:t>建</w:t>
      </w:r>
      <w:r>
        <w:rPr>
          <w:spacing w:val="-3"/>
          <w:szCs w:val="21"/>
          <w:highlight w:val="none"/>
        </w:rPr>
        <w:t>设</w:t>
      </w:r>
      <w:r>
        <w:rPr>
          <w:szCs w:val="21"/>
          <w:highlight w:val="none"/>
        </w:rPr>
        <w:t>资</w:t>
      </w:r>
      <w:r>
        <w:rPr>
          <w:spacing w:val="-3"/>
          <w:szCs w:val="21"/>
          <w:highlight w:val="none"/>
        </w:rPr>
        <w:t>金</w:t>
      </w:r>
      <w:r>
        <w:rPr>
          <w:szCs w:val="21"/>
          <w:highlight w:val="none"/>
        </w:rPr>
        <w:t>来</w:t>
      </w:r>
      <w:r>
        <w:rPr>
          <w:spacing w:val="-1"/>
          <w:szCs w:val="21"/>
          <w:highlight w:val="none"/>
        </w:rPr>
        <w:t>自</w:t>
      </w:r>
      <w:r>
        <w:rPr>
          <w:rFonts w:hint="eastAsia" w:ascii="宋体" w:hAnsi="宋体"/>
          <w:szCs w:val="21"/>
          <w:highlight w:val="none"/>
          <w:u w:val="single"/>
        </w:rPr>
        <w:t>财政资金</w:t>
      </w:r>
      <w:r>
        <w:rPr>
          <w:spacing w:val="-20"/>
          <w:szCs w:val="21"/>
          <w:highlight w:val="none"/>
        </w:rPr>
        <w:t>，</w:t>
      </w:r>
      <w:r>
        <w:rPr>
          <w:szCs w:val="21"/>
          <w:highlight w:val="none"/>
        </w:rPr>
        <w:t>出</w:t>
      </w:r>
      <w:r>
        <w:rPr>
          <w:spacing w:val="-3"/>
          <w:szCs w:val="21"/>
          <w:highlight w:val="none"/>
        </w:rPr>
        <w:t>资</w:t>
      </w:r>
      <w:r>
        <w:rPr>
          <w:szCs w:val="21"/>
          <w:highlight w:val="none"/>
        </w:rPr>
        <w:t>比</w:t>
      </w:r>
      <w:r>
        <w:rPr>
          <w:spacing w:val="-3"/>
          <w:szCs w:val="21"/>
          <w:highlight w:val="none"/>
        </w:rPr>
        <w:t>例</w:t>
      </w:r>
      <w:r>
        <w:rPr>
          <w:szCs w:val="21"/>
          <w:highlight w:val="none"/>
        </w:rPr>
        <w:t>为</w:t>
      </w:r>
      <w:r>
        <w:rPr>
          <w:rFonts w:hint="eastAsia"/>
          <w:szCs w:val="21"/>
          <w:highlight w:val="none"/>
        </w:rPr>
        <w:t xml:space="preserve"> </w:t>
      </w:r>
      <w:r>
        <w:rPr>
          <w:rFonts w:hint="eastAsia"/>
          <w:szCs w:val="21"/>
          <w:highlight w:val="none"/>
          <w:u w:val="single"/>
        </w:rPr>
        <w:t>100%</w:t>
      </w:r>
      <w:r>
        <w:rPr>
          <w:spacing w:val="-20"/>
          <w:szCs w:val="21"/>
          <w:highlight w:val="none"/>
        </w:rPr>
        <w:t>，</w:t>
      </w:r>
      <w:r>
        <w:rPr>
          <w:szCs w:val="21"/>
          <w:highlight w:val="none"/>
        </w:rPr>
        <w:t>招</w:t>
      </w:r>
      <w:r>
        <w:rPr>
          <w:spacing w:val="-3"/>
          <w:szCs w:val="21"/>
          <w:highlight w:val="none"/>
        </w:rPr>
        <w:t>标</w:t>
      </w:r>
      <w:r>
        <w:rPr>
          <w:szCs w:val="21"/>
          <w:highlight w:val="none"/>
        </w:rPr>
        <w:t>人</w:t>
      </w:r>
      <w:r>
        <w:rPr>
          <w:spacing w:val="-3"/>
          <w:szCs w:val="21"/>
          <w:highlight w:val="none"/>
        </w:rPr>
        <w:t>为</w:t>
      </w:r>
      <w:r>
        <w:rPr>
          <w:rFonts w:hint="eastAsia" w:ascii="宋体" w:hAnsi="宋体" w:cs="宋体"/>
          <w:szCs w:val="21"/>
          <w:highlight w:val="none"/>
          <w:u w:val="single"/>
        </w:rPr>
        <w:t>广州市番禺区基本建设投资管理中心</w:t>
      </w:r>
      <w:r>
        <w:rPr>
          <w:spacing w:val="-22"/>
          <w:szCs w:val="21"/>
          <w:highlight w:val="none"/>
        </w:rPr>
        <w:t>。</w:t>
      </w:r>
      <w:r>
        <w:rPr>
          <w:szCs w:val="21"/>
          <w:highlight w:val="none"/>
        </w:rPr>
        <w:t>项目</w:t>
      </w:r>
      <w:r>
        <w:rPr>
          <w:spacing w:val="-3"/>
          <w:szCs w:val="21"/>
          <w:highlight w:val="none"/>
        </w:rPr>
        <w:t>已</w:t>
      </w:r>
      <w:r>
        <w:rPr>
          <w:szCs w:val="21"/>
          <w:highlight w:val="none"/>
        </w:rPr>
        <w:t>具</w:t>
      </w:r>
      <w:r>
        <w:rPr>
          <w:spacing w:val="-3"/>
          <w:szCs w:val="21"/>
          <w:highlight w:val="none"/>
        </w:rPr>
        <w:t>备招</w:t>
      </w:r>
      <w:r>
        <w:rPr>
          <w:szCs w:val="21"/>
          <w:highlight w:val="none"/>
        </w:rPr>
        <w:t>标条件</w:t>
      </w:r>
      <w:r>
        <w:rPr>
          <w:rFonts w:hint="eastAsia"/>
          <w:szCs w:val="21"/>
          <w:highlight w:val="none"/>
        </w:rPr>
        <w:t>，现对该项目的监理进行公开招标。</w:t>
      </w:r>
    </w:p>
    <w:p w14:paraId="60BA729E">
      <w:pPr>
        <w:pStyle w:val="3"/>
        <w:spacing w:line="240" w:lineRule="auto"/>
        <w:rPr>
          <w:rFonts w:hint="eastAsia" w:ascii="宋体" w:hAnsi="宋体" w:eastAsia="宋体" w:cs="宋体"/>
        </w:rPr>
      </w:pPr>
    </w:p>
    <w:p w14:paraId="1EF33D37">
      <w:pPr>
        <w:pStyle w:val="4"/>
        <w:rPr>
          <w:rFonts w:hint="eastAsia"/>
        </w:rPr>
      </w:pPr>
      <w:bookmarkStart w:id="21" w:name="_Toc17994"/>
      <w:r>
        <w:rPr>
          <w:rFonts w:hint="eastAsia"/>
        </w:rPr>
        <w:t>2.项目概况与招标范围</w:t>
      </w:r>
      <w:bookmarkEnd w:id="11"/>
      <w:bookmarkEnd w:id="12"/>
      <w:bookmarkEnd w:id="13"/>
      <w:bookmarkEnd w:id="14"/>
      <w:bookmarkEnd w:id="15"/>
      <w:bookmarkEnd w:id="16"/>
      <w:bookmarkEnd w:id="17"/>
      <w:bookmarkEnd w:id="18"/>
      <w:bookmarkEnd w:id="19"/>
      <w:bookmarkEnd w:id="20"/>
      <w:bookmarkEnd w:id="21"/>
    </w:p>
    <w:p w14:paraId="770C5C1F">
      <w:pPr>
        <w:tabs>
          <w:tab w:val="left" w:pos="7513"/>
        </w:tabs>
        <w:autoSpaceDE w:val="0"/>
        <w:autoSpaceDN w:val="0"/>
        <w:adjustRightInd w:val="0"/>
        <w:spacing w:line="360" w:lineRule="auto"/>
        <w:rPr>
          <w:rFonts w:ascii="宋体" w:hAnsi="宋体"/>
          <w:szCs w:val="21"/>
          <w:highlight w:val="none"/>
        </w:rPr>
      </w:pPr>
      <w:bookmarkStart w:id="22" w:name="_Toc17345"/>
      <w:bookmarkStart w:id="23" w:name="_Toc13481"/>
      <w:r>
        <w:rPr>
          <w:rFonts w:ascii="宋体" w:hAnsi="宋体"/>
          <w:szCs w:val="21"/>
          <w:highlight w:val="none"/>
        </w:rPr>
        <w:t>2.1</w:t>
      </w:r>
      <w:r>
        <w:rPr>
          <w:rFonts w:hint="eastAsia" w:ascii="宋体" w:hAnsi="宋体"/>
          <w:szCs w:val="21"/>
          <w:highlight w:val="none"/>
        </w:rPr>
        <w:t xml:space="preserve"> </w:t>
      </w:r>
      <w:r>
        <w:rPr>
          <w:rFonts w:ascii="宋体" w:hAnsi="宋体"/>
          <w:szCs w:val="21"/>
          <w:highlight w:val="none"/>
        </w:rPr>
        <w:t>招标项目概况</w:t>
      </w:r>
      <w:bookmarkEnd w:id="22"/>
    </w:p>
    <w:p w14:paraId="4E9DDBBA">
      <w:pPr>
        <w:tabs>
          <w:tab w:val="left" w:pos="7513"/>
        </w:tabs>
        <w:autoSpaceDE w:val="0"/>
        <w:autoSpaceDN w:val="0"/>
        <w:spacing w:line="360" w:lineRule="auto"/>
        <w:ind w:firstLine="371" w:firstLineChars="177"/>
        <w:rPr>
          <w:rFonts w:hint="eastAsia" w:ascii="宋体" w:hAnsi="宋体" w:eastAsia="宋体"/>
          <w:szCs w:val="21"/>
          <w:highlight w:val="none"/>
          <w:u w:val="single"/>
          <w:lang w:eastAsia="zh-CN"/>
        </w:rPr>
      </w:pPr>
      <w:r>
        <w:rPr>
          <w:rFonts w:ascii="宋体" w:hAnsi="宋体"/>
          <w:szCs w:val="21"/>
          <w:highlight w:val="none"/>
        </w:rPr>
        <w:t>2.1.</w:t>
      </w:r>
      <w:r>
        <w:rPr>
          <w:rFonts w:hint="eastAsia" w:ascii="宋体" w:hAnsi="宋体"/>
          <w:szCs w:val="21"/>
          <w:highlight w:val="none"/>
        </w:rPr>
        <w:t>1 招标项目固定资产投资项目代码：</w:t>
      </w:r>
      <w:r>
        <w:rPr>
          <w:rFonts w:hint="eastAsia" w:ascii="宋体" w:hAnsi="宋体" w:cs="宋体"/>
          <w:bCs/>
          <w:szCs w:val="21"/>
          <w:highlight w:val="none"/>
          <w:u w:val="single"/>
          <w:lang w:eastAsia="zh-CN"/>
        </w:rPr>
        <w:t>2106-440113-04-01-441048</w:t>
      </w:r>
    </w:p>
    <w:p w14:paraId="13D91DCF">
      <w:pPr>
        <w:tabs>
          <w:tab w:val="left" w:pos="7513"/>
        </w:tabs>
        <w:autoSpaceDE w:val="0"/>
        <w:autoSpaceDN w:val="0"/>
        <w:spacing w:line="360" w:lineRule="auto"/>
        <w:ind w:firstLine="371" w:firstLineChars="177"/>
        <w:rPr>
          <w:rFonts w:hint="eastAsia" w:ascii="宋体" w:hAnsi="宋体" w:eastAsia="宋体"/>
          <w:szCs w:val="21"/>
          <w:highlight w:val="none"/>
          <w:u w:val="single"/>
          <w:lang w:eastAsia="zh-CN"/>
        </w:rPr>
      </w:pPr>
      <w:r>
        <w:rPr>
          <w:rFonts w:hint="eastAsia" w:ascii="宋体" w:hAnsi="宋体"/>
          <w:szCs w:val="21"/>
          <w:highlight w:val="none"/>
        </w:rPr>
        <w:t>2.1.2 招标项目名称：</w:t>
      </w:r>
      <w:r>
        <w:rPr>
          <w:rFonts w:hint="eastAsia" w:ascii="宋体" w:hAnsi="宋体" w:cs="宋体"/>
          <w:szCs w:val="21"/>
          <w:highlight w:val="none"/>
          <w:u w:val="single"/>
          <w:lang w:eastAsia="zh-CN"/>
        </w:rPr>
        <w:t>番禺区南村镇德兴北路（金山大道至园北路）工程施工监理</w:t>
      </w:r>
    </w:p>
    <w:p w14:paraId="76A6E38D">
      <w:pPr>
        <w:tabs>
          <w:tab w:val="left" w:pos="7513"/>
        </w:tabs>
        <w:autoSpaceDE w:val="0"/>
        <w:autoSpaceDN w:val="0"/>
        <w:spacing w:line="360" w:lineRule="auto"/>
        <w:ind w:firstLine="371" w:firstLineChars="177"/>
        <w:rPr>
          <w:rFonts w:ascii="宋体" w:hAnsi="宋体" w:cs="宋体"/>
          <w:szCs w:val="21"/>
          <w:highlight w:val="none"/>
        </w:rPr>
      </w:pPr>
      <w:r>
        <w:rPr>
          <w:rFonts w:hint="eastAsia" w:ascii="宋体" w:hAnsi="宋体"/>
          <w:szCs w:val="21"/>
          <w:highlight w:val="none"/>
        </w:rPr>
        <w:t xml:space="preserve">2.1.3 </w:t>
      </w:r>
      <w:r>
        <w:rPr>
          <w:rFonts w:ascii="宋体" w:hAnsi="宋体"/>
          <w:szCs w:val="21"/>
          <w:highlight w:val="none"/>
        </w:rPr>
        <w:t>工程建设地点：</w:t>
      </w:r>
      <w:r>
        <w:rPr>
          <w:rFonts w:hint="eastAsia" w:ascii="宋体" w:hAnsi="宋体"/>
          <w:szCs w:val="21"/>
          <w:highlight w:val="none"/>
          <w:u w:val="single"/>
        </w:rPr>
        <w:t>广州市番禺区南村镇樟边村</w:t>
      </w:r>
    </w:p>
    <w:p w14:paraId="682366E2">
      <w:pPr>
        <w:tabs>
          <w:tab w:val="left" w:pos="7513"/>
        </w:tabs>
        <w:autoSpaceDE w:val="0"/>
        <w:autoSpaceDN w:val="0"/>
        <w:spacing w:line="360" w:lineRule="auto"/>
        <w:ind w:firstLine="371" w:firstLineChars="177"/>
        <w:rPr>
          <w:szCs w:val="21"/>
          <w:highlight w:val="none"/>
          <w:u w:val="single"/>
        </w:rPr>
      </w:pPr>
      <w:r>
        <w:rPr>
          <w:rFonts w:ascii="宋体" w:hAnsi="宋体"/>
          <w:szCs w:val="21"/>
          <w:highlight w:val="none"/>
        </w:rPr>
        <w:t>2.1.</w:t>
      </w:r>
      <w:r>
        <w:rPr>
          <w:rFonts w:hint="eastAsia" w:ascii="宋体" w:hAnsi="宋体"/>
          <w:szCs w:val="21"/>
          <w:highlight w:val="none"/>
        </w:rPr>
        <w:t xml:space="preserve">4 </w:t>
      </w:r>
      <w:r>
        <w:rPr>
          <w:rFonts w:ascii="宋体" w:hAnsi="宋体"/>
          <w:szCs w:val="21"/>
          <w:highlight w:val="none"/>
        </w:rPr>
        <w:t>工程建设规模</w:t>
      </w:r>
      <w:r>
        <w:rPr>
          <w:rFonts w:ascii="宋体"/>
          <w:szCs w:val="21"/>
          <w:highlight w:val="none"/>
        </w:rPr>
        <w:t>：</w:t>
      </w:r>
      <w:r>
        <w:rPr>
          <w:rFonts w:hint="eastAsia" w:ascii="宋体"/>
          <w:szCs w:val="21"/>
          <w:highlight w:val="none"/>
          <w:u w:val="single"/>
        </w:rPr>
        <w:t>番禺区南村镇德兴北路(金山大道至园北路)工程位于番禺区南村镇樟边村，本项目呈南北走向，北起金山大道(广明辅道)，南至园北路，路线全长约0.75km。与拟建德兴北路南段(园北路至莲花大道)一起建成后，将打通德兴北路(广明高速辅道至莲花路段)。道路采用城市主干路标准，双向六车道，设计速度为50km/h，规划红线宽度为45m。道路沿线主要为鱼塘、苗圃及厂房为主，道路西侧为南村新能源汽车充电站停车场地块大部分位置已平整。内容包括道路、桥梁、排水、消防、电力、照明、交通、绿化、施工组织工程及海绵城市专篇</w:t>
      </w:r>
      <w:r>
        <w:rPr>
          <w:rFonts w:hint="eastAsia" w:ascii="宋体" w:hAnsi="宋体"/>
          <w:szCs w:val="21"/>
          <w:highlight w:val="none"/>
          <w:u w:val="single"/>
        </w:rPr>
        <w:t>。（具体工作内容详见施工设计图纸和工程量清单，如果工程量清单与图纸内容不一致的，以图纸内容为准）。</w:t>
      </w:r>
    </w:p>
    <w:p w14:paraId="4B4DA594">
      <w:pPr>
        <w:tabs>
          <w:tab w:val="left" w:pos="7513"/>
        </w:tabs>
        <w:autoSpaceDE w:val="0"/>
        <w:autoSpaceDN w:val="0"/>
        <w:spacing w:line="360" w:lineRule="auto"/>
        <w:ind w:firstLine="371" w:firstLineChars="177"/>
        <w:rPr>
          <w:szCs w:val="21"/>
          <w:highlight w:val="none"/>
          <w:u w:val="single"/>
        </w:rPr>
      </w:pPr>
      <w:r>
        <w:rPr>
          <w:rFonts w:ascii="宋体" w:hAnsi="宋体"/>
          <w:szCs w:val="21"/>
          <w:highlight w:val="none"/>
        </w:rPr>
        <w:t>2.1.</w:t>
      </w:r>
      <w:r>
        <w:rPr>
          <w:rFonts w:hint="eastAsia" w:ascii="宋体" w:hAnsi="宋体"/>
          <w:szCs w:val="21"/>
          <w:highlight w:val="none"/>
        </w:rPr>
        <w:t xml:space="preserve">5 </w:t>
      </w:r>
      <w:r>
        <w:rPr>
          <w:rFonts w:ascii="宋体" w:hAnsi="宋体"/>
          <w:szCs w:val="21"/>
          <w:highlight w:val="none"/>
        </w:rPr>
        <w:t>工程</w:t>
      </w:r>
      <w:r>
        <w:rPr>
          <w:rFonts w:hint="eastAsia" w:ascii="宋体" w:hAnsi="宋体"/>
          <w:szCs w:val="21"/>
          <w:highlight w:val="none"/>
          <w:u w:val="single"/>
          <w:lang w:val="en-US" w:eastAsia="zh-CN"/>
        </w:rPr>
        <w:t>概</w:t>
      </w:r>
      <w:r>
        <w:rPr>
          <w:rFonts w:ascii="宋体" w:hAnsi="宋体"/>
          <w:szCs w:val="21"/>
          <w:highlight w:val="none"/>
          <w:u w:val="single"/>
        </w:rPr>
        <w:t>算</w:t>
      </w:r>
      <w:r>
        <w:rPr>
          <w:rFonts w:ascii="宋体" w:hAnsi="宋体"/>
          <w:szCs w:val="21"/>
          <w:highlight w:val="none"/>
        </w:rPr>
        <w:t>建筑安装工程费</w:t>
      </w:r>
      <w:r>
        <w:rPr>
          <w:rFonts w:ascii="宋体"/>
          <w:szCs w:val="21"/>
          <w:highlight w:val="none"/>
        </w:rPr>
        <w:t>：</w:t>
      </w:r>
      <w:r>
        <w:rPr>
          <w:rFonts w:hint="eastAsia" w:ascii="宋体" w:hAnsi="宋体" w:cs="宋体"/>
          <w:b w:val="0"/>
          <w:bCs/>
          <w:color w:val="auto"/>
          <w:sz w:val="21"/>
          <w:szCs w:val="21"/>
          <w:highlight w:val="none"/>
          <w:u w:val="single"/>
          <w:vertAlign w:val="baseline"/>
          <w:lang w:val="en-US" w:eastAsia="zh-CN"/>
        </w:rPr>
        <w:t>约7280.877389万</w:t>
      </w:r>
      <w:r>
        <w:rPr>
          <w:rFonts w:hint="eastAsia" w:ascii="宋体"/>
          <w:szCs w:val="21"/>
          <w:highlight w:val="none"/>
          <w:u w:val="single"/>
        </w:rPr>
        <w:t>元</w:t>
      </w:r>
      <w:r>
        <w:rPr>
          <w:rFonts w:hint="eastAsia"/>
          <w:szCs w:val="21"/>
          <w:highlight w:val="none"/>
          <w:u w:val="single"/>
        </w:rPr>
        <w:t>。</w:t>
      </w:r>
    </w:p>
    <w:p w14:paraId="672C784D">
      <w:pPr>
        <w:tabs>
          <w:tab w:val="left" w:pos="7513"/>
        </w:tabs>
        <w:spacing w:line="360" w:lineRule="auto"/>
        <w:rPr>
          <w:rFonts w:ascii="宋体" w:hAnsi="宋体"/>
          <w:szCs w:val="21"/>
          <w:highlight w:val="none"/>
        </w:rPr>
      </w:pPr>
    </w:p>
    <w:p w14:paraId="7733F5D7">
      <w:pPr>
        <w:tabs>
          <w:tab w:val="left" w:pos="7513"/>
        </w:tabs>
        <w:spacing w:line="360" w:lineRule="auto"/>
        <w:rPr>
          <w:rFonts w:ascii="宋体" w:hAnsi="宋体"/>
          <w:szCs w:val="21"/>
          <w:highlight w:val="none"/>
        </w:rPr>
      </w:pPr>
      <w:r>
        <w:rPr>
          <w:rFonts w:ascii="宋体" w:hAnsi="宋体"/>
          <w:szCs w:val="21"/>
          <w:highlight w:val="none"/>
        </w:rPr>
        <w:t>2.2</w:t>
      </w:r>
      <w:r>
        <w:rPr>
          <w:rFonts w:hint="eastAsia" w:ascii="宋体" w:hAnsi="宋体"/>
          <w:szCs w:val="21"/>
          <w:highlight w:val="none"/>
        </w:rPr>
        <w:t xml:space="preserve"> </w:t>
      </w:r>
      <w:r>
        <w:rPr>
          <w:rFonts w:ascii="宋体" w:hAnsi="宋体"/>
          <w:szCs w:val="21"/>
          <w:highlight w:val="none"/>
        </w:rPr>
        <w:t>招标范围</w:t>
      </w:r>
      <w:bookmarkEnd w:id="23"/>
    </w:p>
    <w:p w14:paraId="4143A279">
      <w:pPr>
        <w:tabs>
          <w:tab w:val="left" w:pos="7513"/>
        </w:tabs>
        <w:spacing w:line="360" w:lineRule="auto"/>
        <w:ind w:firstLine="420" w:firstLineChars="200"/>
        <w:rPr>
          <w:rFonts w:ascii="宋体" w:hAnsi="宋体" w:cs="宋体"/>
          <w:szCs w:val="21"/>
          <w:highlight w:val="none"/>
        </w:rPr>
      </w:pPr>
      <w:r>
        <w:rPr>
          <w:rFonts w:ascii="宋体" w:hAnsi="宋体"/>
          <w:szCs w:val="21"/>
          <w:highlight w:val="none"/>
        </w:rPr>
        <w:t>2.2.1</w:t>
      </w:r>
      <w:r>
        <w:rPr>
          <w:rFonts w:hint="eastAsia" w:ascii="宋体" w:hAnsi="宋体"/>
          <w:szCs w:val="21"/>
          <w:highlight w:val="none"/>
        </w:rPr>
        <w:t>监理</w:t>
      </w:r>
      <w:r>
        <w:rPr>
          <w:rFonts w:ascii="宋体"/>
          <w:szCs w:val="21"/>
          <w:highlight w:val="none"/>
        </w:rPr>
        <w:t>标段划分：</w:t>
      </w:r>
      <w:r>
        <w:rPr>
          <w:rFonts w:hint="eastAsia"/>
          <w:szCs w:val="21"/>
          <w:highlight w:val="none"/>
        </w:rPr>
        <w:t>本项目设</w:t>
      </w:r>
      <w:r>
        <w:rPr>
          <w:rFonts w:hint="eastAsia"/>
          <w:szCs w:val="21"/>
          <w:highlight w:val="none"/>
          <w:u w:val="single"/>
        </w:rPr>
        <w:t>1</w:t>
      </w:r>
      <w:r>
        <w:rPr>
          <w:rFonts w:hint="eastAsia"/>
          <w:szCs w:val="21"/>
          <w:highlight w:val="none"/>
        </w:rPr>
        <w:t>个标段</w:t>
      </w:r>
    </w:p>
    <w:p w14:paraId="04C841F5">
      <w:pPr>
        <w:tabs>
          <w:tab w:val="left" w:pos="7513"/>
        </w:tabs>
        <w:spacing w:line="360" w:lineRule="auto"/>
        <w:ind w:firstLine="420" w:firstLineChars="200"/>
        <w:rPr>
          <w:rFonts w:ascii="宋体" w:hAnsi="宋体"/>
          <w:szCs w:val="21"/>
          <w:highlight w:val="none"/>
        </w:rPr>
      </w:pPr>
      <w:r>
        <w:rPr>
          <w:rFonts w:ascii="宋体" w:hAnsi="宋体"/>
          <w:szCs w:val="21"/>
          <w:highlight w:val="none"/>
        </w:rPr>
        <w:t>2.2.2</w:t>
      </w:r>
      <w:r>
        <w:rPr>
          <w:rFonts w:hint="eastAsia" w:ascii="宋体" w:hAnsi="宋体"/>
          <w:szCs w:val="21"/>
          <w:highlight w:val="none"/>
        </w:rPr>
        <w:t>招标</w:t>
      </w:r>
      <w:r>
        <w:rPr>
          <w:rFonts w:ascii="宋体" w:hAnsi="宋体"/>
          <w:szCs w:val="21"/>
          <w:highlight w:val="none"/>
        </w:rPr>
        <w:t>范围：</w:t>
      </w:r>
      <w:r>
        <w:rPr>
          <w:rFonts w:hint="eastAsia" w:ascii="宋体" w:hAnsi="宋体" w:cs="宋体"/>
          <w:szCs w:val="21"/>
          <w:highlight w:val="none"/>
          <w:u w:val="single"/>
          <w:lang w:eastAsia="zh-CN"/>
        </w:rPr>
        <w:t>番禺区南村镇德兴北路（金山大道至园北路）工程施工监理</w:t>
      </w:r>
      <w:r>
        <w:rPr>
          <w:rFonts w:hint="eastAsia" w:ascii="宋体" w:hAnsi="宋体" w:cs="宋体"/>
          <w:szCs w:val="21"/>
          <w:highlight w:val="none"/>
          <w:u w:val="single"/>
        </w:rPr>
        <w:t>，工程主要建设内容包括</w:t>
      </w:r>
      <w:r>
        <w:rPr>
          <w:rFonts w:ascii="宋体" w:hAnsi="宋体" w:cs="宋体"/>
          <w:szCs w:val="21"/>
          <w:highlight w:val="none"/>
          <w:u w:val="single"/>
        </w:rPr>
        <w:t>道</w:t>
      </w:r>
      <w:r>
        <w:rPr>
          <w:rFonts w:hint="eastAsia" w:ascii="宋体" w:hAnsi="宋体" w:cs="宋体"/>
          <w:szCs w:val="21"/>
          <w:highlight w:val="none"/>
          <w:u w:val="single"/>
        </w:rPr>
        <w:t>路工程、桥梁工程、排水工程、</w:t>
      </w:r>
      <w:r>
        <w:rPr>
          <w:rFonts w:hint="eastAsia" w:ascii="宋体" w:hAnsi="宋体" w:cs="宋体"/>
          <w:szCs w:val="21"/>
          <w:highlight w:val="none"/>
          <w:u w:val="single"/>
          <w:lang w:val="en-US" w:eastAsia="zh-CN"/>
        </w:rPr>
        <w:t>消防工程、</w:t>
      </w:r>
      <w:r>
        <w:rPr>
          <w:rFonts w:hint="eastAsia" w:ascii="宋体" w:hAnsi="宋体" w:cs="宋体"/>
          <w:szCs w:val="21"/>
          <w:highlight w:val="none"/>
          <w:u w:val="single"/>
        </w:rPr>
        <w:t>电力工程、照明工程、</w:t>
      </w:r>
      <w:r>
        <w:rPr>
          <w:rFonts w:hint="eastAsia" w:ascii="宋体" w:hAnsi="宋体" w:cs="宋体"/>
          <w:szCs w:val="21"/>
          <w:highlight w:val="none"/>
          <w:u w:val="single"/>
          <w:lang w:val="en-US" w:eastAsia="zh-CN"/>
        </w:rPr>
        <w:t>交通工程、</w:t>
      </w:r>
      <w:r>
        <w:rPr>
          <w:rFonts w:hint="eastAsia" w:ascii="宋体" w:hAnsi="宋体" w:cs="宋体"/>
          <w:szCs w:val="21"/>
          <w:highlight w:val="none"/>
          <w:u w:val="single"/>
        </w:rPr>
        <w:t>绿化</w:t>
      </w:r>
      <w:r>
        <w:rPr>
          <w:rFonts w:hint="eastAsia" w:ascii="宋体" w:hAnsi="宋体" w:eastAsia="宋体" w:cs="宋体"/>
          <w:szCs w:val="21"/>
          <w:highlight w:val="none"/>
          <w:u w:val="single"/>
        </w:rPr>
        <w:t>工程</w:t>
      </w:r>
      <w:r>
        <w:rPr>
          <w:rFonts w:hint="eastAsia" w:ascii="宋体" w:hAnsi="宋体" w:eastAsia="宋体" w:cs="宋体"/>
          <w:strike w:val="0"/>
          <w:szCs w:val="21"/>
          <w:highlight w:val="none"/>
          <w:u w:val="single"/>
        </w:rPr>
        <w:t>、施工组织工程及</w:t>
      </w:r>
      <w:r>
        <w:rPr>
          <w:rFonts w:hint="eastAsia" w:ascii="宋体" w:hAnsi="宋体" w:eastAsia="宋体" w:cs="宋体"/>
          <w:szCs w:val="21"/>
          <w:highlight w:val="none"/>
          <w:u w:val="single"/>
        </w:rPr>
        <w:t>海绵城</w:t>
      </w:r>
      <w:r>
        <w:rPr>
          <w:rFonts w:hint="eastAsia" w:ascii="宋体"/>
          <w:szCs w:val="21"/>
          <w:highlight w:val="none"/>
          <w:u w:val="single"/>
        </w:rPr>
        <w:t>市</w:t>
      </w:r>
      <w:r>
        <w:rPr>
          <w:rFonts w:hint="eastAsia" w:ascii="宋体" w:hAnsi="宋体" w:cs="宋体"/>
          <w:szCs w:val="21"/>
          <w:highlight w:val="none"/>
          <w:u w:val="single"/>
        </w:rPr>
        <w:t>等工程项目</w:t>
      </w:r>
      <w:r>
        <w:rPr>
          <w:rFonts w:hint="eastAsia" w:ascii="宋体" w:hAnsi="宋体" w:cs="宋体"/>
          <w:szCs w:val="21"/>
          <w:highlight w:val="none"/>
          <w:u w:val="single"/>
          <w:lang w:val="en-US" w:eastAsia="zh-CN"/>
        </w:rPr>
        <w:t>施工</w:t>
      </w:r>
      <w:r>
        <w:rPr>
          <w:rFonts w:hint="eastAsia" w:ascii="宋体" w:hAnsi="宋体" w:cs="宋体"/>
          <w:szCs w:val="21"/>
          <w:highlight w:val="none"/>
          <w:u w:val="single"/>
        </w:rPr>
        <w:t>，</w:t>
      </w:r>
      <w:r>
        <w:rPr>
          <w:rFonts w:hint="eastAsia" w:ascii="宋体" w:hAnsi="宋体"/>
          <w:szCs w:val="21"/>
          <w:highlight w:val="none"/>
          <w:u w:val="single"/>
        </w:rPr>
        <w:t>本次招标包括本工程的施工准备阶段、施工阶段、工程收尾阶段（包括但不限于竣工验收及竣工验收资料移交城建档案、整改、工程移交及实物移交、工程结算、竣工备案等）及工程质量保修阶段的质量控制、进度控制、投资控制、安全生产监督管理、合同管理、信息管理及组织协调等监理工作。</w:t>
      </w:r>
    </w:p>
    <w:p w14:paraId="3C35769A">
      <w:pPr>
        <w:tabs>
          <w:tab w:val="left" w:pos="7513"/>
        </w:tabs>
        <w:spacing w:line="360" w:lineRule="auto"/>
        <w:ind w:firstLine="420" w:firstLineChars="200"/>
        <w:rPr>
          <w:rFonts w:ascii="宋体" w:hAnsi="宋体"/>
          <w:szCs w:val="21"/>
          <w:highlight w:val="none"/>
          <w:u w:val="single"/>
        </w:rPr>
      </w:pPr>
      <w:r>
        <w:rPr>
          <w:rFonts w:ascii="宋体" w:hAnsi="宋体"/>
          <w:szCs w:val="21"/>
          <w:highlight w:val="none"/>
        </w:rPr>
        <w:t>2.2.3监理服务期：</w:t>
      </w:r>
      <w:r>
        <w:rPr>
          <w:rFonts w:hint="eastAsia" w:ascii="宋体" w:hAnsi="宋体"/>
          <w:szCs w:val="21"/>
          <w:highlight w:val="none"/>
          <w:u w:val="single"/>
        </w:rPr>
        <w:t>工程施工准备阶段的监理工期、施工阶段的监理工期、工程保修阶段和竣工结算期的监理工期之和。</w:t>
      </w:r>
    </w:p>
    <w:p w14:paraId="12E579AE">
      <w:pPr>
        <w:spacing w:line="360" w:lineRule="auto"/>
        <w:ind w:firstLine="420" w:firstLineChars="200"/>
        <w:rPr>
          <w:rFonts w:hint="eastAsia" w:ascii="宋体" w:hAnsi="宋体"/>
          <w:szCs w:val="21"/>
          <w:highlight w:val="none"/>
          <w:u w:val="single"/>
        </w:rPr>
      </w:pPr>
      <w:r>
        <w:rPr>
          <w:rFonts w:ascii="宋体" w:hAnsi="宋体"/>
          <w:szCs w:val="21"/>
          <w:highlight w:val="none"/>
        </w:rPr>
        <w:t>2.2.</w:t>
      </w:r>
      <w:r>
        <w:rPr>
          <w:rFonts w:hint="eastAsia" w:ascii="宋体" w:hAnsi="宋体"/>
          <w:szCs w:val="21"/>
          <w:highlight w:val="none"/>
        </w:rPr>
        <w:t>4</w:t>
      </w:r>
      <w:r>
        <w:rPr>
          <w:rFonts w:ascii="宋体" w:hAnsi="宋体"/>
          <w:szCs w:val="21"/>
          <w:highlight w:val="none"/>
        </w:rPr>
        <w:t>监理服务</w:t>
      </w:r>
      <w:r>
        <w:rPr>
          <w:rFonts w:hint="eastAsia" w:ascii="宋体" w:hAnsi="宋体"/>
          <w:szCs w:val="21"/>
          <w:highlight w:val="none"/>
        </w:rPr>
        <w:t>阶段</w:t>
      </w:r>
      <w:r>
        <w:rPr>
          <w:rFonts w:ascii="宋体" w:hAnsi="宋体"/>
          <w:szCs w:val="21"/>
          <w:highlight w:val="none"/>
        </w:rPr>
        <w:t>：</w:t>
      </w:r>
      <w:r>
        <w:rPr>
          <w:rFonts w:hint="eastAsia" w:ascii="宋体" w:hAnsi="宋体"/>
          <w:szCs w:val="21"/>
          <w:highlight w:val="none"/>
          <w:u w:val="single"/>
        </w:rPr>
        <w:t>（1）施工准备阶段监理工期：从中标通知书发放之日起至业主下达开工令或开工报告审批之日为止；</w:t>
      </w:r>
    </w:p>
    <w:p w14:paraId="1CD89308">
      <w:pPr>
        <w:spacing w:line="360" w:lineRule="auto"/>
        <w:ind w:firstLine="420" w:firstLineChars="200"/>
        <w:rPr>
          <w:rFonts w:hint="eastAsia" w:ascii="宋体" w:hAnsi="宋体"/>
          <w:szCs w:val="21"/>
          <w:highlight w:val="none"/>
          <w:u w:val="single"/>
        </w:rPr>
      </w:pPr>
      <w:r>
        <w:rPr>
          <w:rFonts w:hint="eastAsia" w:ascii="宋体" w:hAnsi="宋体"/>
          <w:szCs w:val="21"/>
          <w:highlight w:val="none"/>
          <w:u w:val="single"/>
        </w:rPr>
        <w:t>（2）施工阶段监理工期：从业主下达开工令或开工报告审批之日起至施工项目全部完工并办理竣工验收、竣工结算、备案管理为止；</w:t>
      </w:r>
    </w:p>
    <w:p w14:paraId="2CDE282F">
      <w:pPr>
        <w:spacing w:line="360" w:lineRule="auto"/>
        <w:ind w:firstLine="420" w:firstLineChars="200"/>
        <w:rPr>
          <w:rFonts w:hint="eastAsia" w:ascii="宋体" w:hAnsi="宋体"/>
          <w:szCs w:val="21"/>
          <w:highlight w:val="none"/>
          <w:u w:val="single"/>
        </w:rPr>
      </w:pPr>
      <w:r>
        <w:rPr>
          <w:rFonts w:hint="eastAsia" w:ascii="宋体" w:hAnsi="宋体"/>
          <w:szCs w:val="21"/>
          <w:highlight w:val="none"/>
          <w:u w:val="single"/>
        </w:rPr>
        <w:t>（3）保修阶段监理工期：从工程竣工验收合格、备案管理完成之日起二年；</w:t>
      </w:r>
    </w:p>
    <w:p w14:paraId="1BEEFAC0">
      <w:pPr>
        <w:spacing w:line="360" w:lineRule="auto"/>
        <w:ind w:firstLine="420" w:firstLineChars="200"/>
        <w:rPr>
          <w:rFonts w:ascii="宋体" w:hAnsi="宋体"/>
          <w:szCs w:val="21"/>
          <w:highlight w:val="none"/>
        </w:rPr>
      </w:pPr>
      <w:r>
        <w:rPr>
          <w:rFonts w:hint="eastAsia" w:ascii="宋体" w:hAnsi="宋体"/>
          <w:szCs w:val="21"/>
          <w:highlight w:val="none"/>
          <w:u w:val="single"/>
        </w:rPr>
        <w:t>（4）竣工结算期：从竣工验收完成开始至竣工结算完成为止。</w:t>
      </w:r>
    </w:p>
    <w:p w14:paraId="4D437FF9">
      <w:pPr>
        <w:tabs>
          <w:tab w:val="left" w:pos="7513"/>
        </w:tabs>
        <w:spacing w:line="360" w:lineRule="auto"/>
        <w:ind w:firstLine="420" w:firstLineChars="200"/>
        <w:rPr>
          <w:rFonts w:ascii="宋体" w:hAnsi="宋体"/>
          <w:szCs w:val="21"/>
          <w:highlight w:val="none"/>
        </w:rPr>
      </w:pPr>
      <w:r>
        <w:rPr>
          <w:rFonts w:hint="eastAsia" w:ascii="宋体" w:hAnsi="宋体"/>
          <w:szCs w:val="21"/>
          <w:highlight w:val="none"/>
        </w:rPr>
        <w:t>2.2.5</w:t>
      </w:r>
      <w:r>
        <w:rPr>
          <w:rFonts w:ascii="宋体" w:hAnsi="宋体"/>
          <w:szCs w:val="21"/>
          <w:highlight w:val="none"/>
        </w:rPr>
        <w:t>监理服务最高投标限价：</w:t>
      </w:r>
      <w:r>
        <w:rPr>
          <w:rFonts w:hint="eastAsia" w:ascii="宋体" w:hAnsi="宋体" w:eastAsia="宋体" w:cs="宋体"/>
          <w:b w:val="0"/>
          <w:bCs/>
          <w:color w:val="auto"/>
          <w:sz w:val="21"/>
          <w:szCs w:val="21"/>
          <w:highlight w:val="none"/>
          <w:u w:val="single"/>
          <w:vertAlign w:val="baseline"/>
          <w:lang w:val="en-US" w:eastAsia="zh-CN"/>
        </w:rPr>
        <w:t>约</w:t>
      </w:r>
      <w:r>
        <w:rPr>
          <w:rFonts w:hint="eastAsia" w:ascii="宋体" w:hAnsi="宋体"/>
          <w:szCs w:val="21"/>
          <w:highlight w:val="none"/>
          <w:u w:val="single"/>
          <w:lang w:val="en-US" w:eastAsia="zh-CN"/>
        </w:rPr>
        <w:t>1415841.65</w:t>
      </w:r>
      <w:r>
        <w:rPr>
          <w:rFonts w:ascii="宋体" w:hAnsi="宋体"/>
          <w:szCs w:val="21"/>
          <w:highlight w:val="none"/>
        </w:rPr>
        <w:t>元。</w:t>
      </w:r>
    </w:p>
    <w:p w14:paraId="45215D8D">
      <w:pPr>
        <w:spacing w:line="360" w:lineRule="auto"/>
        <w:ind w:firstLine="420" w:firstLineChars="200"/>
        <w:rPr>
          <w:rFonts w:hint="eastAsia" w:ascii="楷体_GB2312" w:hAnsi="楷体_GB2312" w:eastAsia="楷体_GB2312" w:cs="楷体_GB2312"/>
          <w:szCs w:val="21"/>
          <w:highlight w:val="none"/>
        </w:rPr>
      </w:pPr>
      <w:r>
        <w:rPr>
          <w:rFonts w:hint="eastAsia" w:ascii="楷体_GB2312" w:hAnsi="楷体_GB2312" w:eastAsia="楷体_GB2312" w:cs="楷体_GB2312"/>
          <w:szCs w:val="21"/>
          <w:highlight w:val="none"/>
        </w:rPr>
        <w:t>注：两个或两个以上标段的，需明确允许兼中或不兼中，明确对总监理工程师的数量要求。对于包含两个或两个以上专业的招标项目，应分别明确各专业对应的招标内容、规模和最高投标限价的专业组成费用。</w:t>
      </w:r>
    </w:p>
    <w:p w14:paraId="300D6595">
      <w:pPr>
        <w:pStyle w:val="7"/>
        <w:rPr>
          <w:rFonts w:hint="eastAsia"/>
          <w:lang w:val="en-US"/>
        </w:rPr>
      </w:pPr>
    </w:p>
    <w:p w14:paraId="07E516CD">
      <w:pPr>
        <w:pStyle w:val="4"/>
        <w:rPr>
          <w:rFonts w:hint="eastAsia"/>
        </w:rPr>
      </w:pPr>
      <w:bookmarkStart w:id="24" w:name="_Toc29683"/>
      <w:bookmarkStart w:id="25" w:name="_Toc26825"/>
      <w:bookmarkStart w:id="26" w:name="_Toc20643"/>
      <w:bookmarkStart w:id="27" w:name="_Toc11352"/>
      <w:bookmarkStart w:id="28" w:name="_Toc14304"/>
      <w:bookmarkStart w:id="29" w:name="_Toc13318"/>
      <w:r>
        <w:rPr>
          <w:rFonts w:hint="eastAsia"/>
        </w:rPr>
        <w:t>3.投标人资格要求</w:t>
      </w:r>
      <w:bookmarkEnd w:id="24"/>
      <w:bookmarkEnd w:id="25"/>
      <w:bookmarkEnd w:id="26"/>
      <w:bookmarkEnd w:id="27"/>
      <w:bookmarkEnd w:id="28"/>
      <w:bookmarkEnd w:id="29"/>
    </w:p>
    <w:p w14:paraId="7E954B26">
      <w:pPr>
        <w:pStyle w:val="9"/>
        <w:tabs>
          <w:tab w:val="left" w:pos="4500"/>
          <w:tab w:val="left" w:pos="6415"/>
        </w:tabs>
        <w:kinsoku w:val="0"/>
        <w:overflowPunct w:val="0"/>
        <w:autoSpaceDE w:val="0"/>
        <w:autoSpaceDN w:val="0"/>
        <w:spacing w:line="360" w:lineRule="auto"/>
        <w:ind w:right="214" w:firstLine="420" w:firstLineChars="200"/>
        <w:rPr>
          <w:rFonts w:hint="eastAsia" w:ascii="宋体" w:hAnsi="宋体" w:cs="宋体"/>
          <w:szCs w:val="21"/>
        </w:rPr>
      </w:pPr>
      <w:r>
        <w:rPr>
          <w:rFonts w:hint="eastAsia" w:ascii="宋体" w:hAnsi="宋体" w:cs="宋体"/>
        </w:rPr>
        <w:t>3.1</w:t>
      </w:r>
      <w:r>
        <w:rPr>
          <w:rFonts w:hint="eastAsia" w:cs="宋体"/>
        </w:rPr>
        <w:t xml:space="preserve"> </w:t>
      </w:r>
      <w:r>
        <w:rPr>
          <w:rFonts w:hint="eastAsia" w:ascii="宋体" w:hAnsi="宋体" w:cs="宋体"/>
          <w:szCs w:val="21"/>
        </w:rPr>
        <w:t>投标人参加投标的意思表达清楚，投标人代表被授权有效。</w:t>
      </w:r>
    </w:p>
    <w:p w14:paraId="3CCCF736">
      <w:pPr>
        <w:spacing w:line="360" w:lineRule="auto"/>
        <w:ind w:firstLine="420" w:firstLineChars="200"/>
        <w:rPr>
          <w:rFonts w:hint="eastAsia" w:ascii="宋体" w:hAnsi="宋体" w:cs="宋体"/>
        </w:rPr>
      </w:pPr>
      <w:r>
        <w:rPr>
          <w:rFonts w:hint="eastAsia" w:ascii="宋体" w:hAnsi="宋体" w:cs="宋体"/>
        </w:rPr>
        <w:t>3.2</w:t>
      </w:r>
      <w:r>
        <w:rPr>
          <w:rFonts w:hint="eastAsia" w:ascii="宋体" w:hAnsi="宋体" w:cs="宋体"/>
          <w:szCs w:val="21"/>
        </w:rPr>
        <w:t>投标人是法人或其他组织，按国家法律经营；</w:t>
      </w:r>
    </w:p>
    <w:p w14:paraId="75408C15">
      <w:pPr>
        <w:pStyle w:val="9"/>
        <w:tabs>
          <w:tab w:val="left" w:pos="4500"/>
          <w:tab w:val="left" w:pos="6415"/>
        </w:tabs>
        <w:kinsoku w:val="0"/>
        <w:overflowPunct w:val="0"/>
        <w:spacing w:after="0" w:line="360" w:lineRule="auto"/>
        <w:ind w:right="213" w:firstLine="420" w:firstLineChars="200"/>
        <w:rPr>
          <w:rFonts w:hint="eastAsia" w:cs="宋体"/>
          <w:highlight w:val="none"/>
        </w:rPr>
      </w:pPr>
      <w:r>
        <w:rPr>
          <w:rFonts w:hint="eastAsia" w:ascii="宋体" w:hAnsi="宋体" w:cs="宋体"/>
          <w:highlight w:val="none"/>
        </w:rPr>
        <w:t>3.3</w:t>
      </w:r>
      <w:r>
        <w:rPr>
          <w:rFonts w:hint="eastAsia" w:ascii="宋体" w:hAnsi="宋体" w:cs="宋体"/>
          <w:spacing w:val="2"/>
          <w:highlight w:val="none"/>
        </w:rPr>
        <w:t>投</w:t>
      </w:r>
      <w:r>
        <w:rPr>
          <w:rFonts w:hint="eastAsia" w:ascii="宋体" w:hAnsi="宋体" w:cs="宋体"/>
          <w:highlight w:val="none"/>
        </w:rPr>
        <w:t>标人须</w:t>
      </w:r>
      <w:r>
        <w:rPr>
          <w:rFonts w:hint="eastAsia" w:ascii="宋体" w:hAnsi="宋体" w:cs="宋体"/>
          <w:spacing w:val="2"/>
          <w:highlight w:val="none"/>
        </w:rPr>
        <w:t>具</w:t>
      </w:r>
      <w:r>
        <w:rPr>
          <w:rFonts w:hint="eastAsia" w:ascii="宋体" w:hAnsi="宋体" w:cs="宋体"/>
          <w:spacing w:val="1"/>
          <w:highlight w:val="none"/>
        </w:rPr>
        <w:t>备</w:t>
      </w:r>
      <w:r>
        <w:rPr>
          <w:rFonts w:hint="eastAsia" w:cs="宋体"/>
          <w:spacing w:val="1"/>
          <w:highlight w:val="none"/>
        </w:rPr>
        <w:t>建设行政主管部门颁发的</w:t>
      </w:r>
      <w:r>
        <w:rPr>
          <w:rFonts w:hint="eastAsia" w:ascii="宋体" w:hAnsi="宋体" w:cs="宋体"/>
          <w:highlight w:val="none"/>
          <w:u w:val="single"/>
        </w:rPr>
        <w:t>工程监理综合资质或市政公用工程监理</w:t>
      </w:r>
      <w:r>
        <w:rPr>
          <w:rFonts w:hint="eastAsia" w:ascii="宋体" w:hAnsi="宋体" w:cs="宋体"/>
          <w:highlight w:val="none"/>
          <w:u w:val="single"/>
          <w:lang w:val="en-US" w:eastAsia="zh-CN"/>
        </w:rPr>
        <w:t>甲</w:t>
      </w:r>
      <w:r>
        <w:rPr>
          <w:rFonts w:hint="eastAsia" w:ascii="宋体" w:hAnsi="宋体" w:cs="宋体"/>
          <w:highlight w:val="none"/>
          <w:u w:val="single"/>
        </w:rPr>
        <w:t>级专业</w:t>
      </w:r>
      <w:r>
        <w:rPr>
          <w:rFonts w:ascii="宋体" w:hAnsi="宋体" w:cs="宋体"/>
          <w:highlight w:val="none"/>
          <w:u w:val="single"/>
        </w:rPr>
        <w:t>资质</w:t>
      </w:r>
      <w:r>
        <w:rPr>
          <w:rFonts w:hint="eastAsia" w:cs="宋体"/>
          <w:highlight w:val="none"/>
        </w:rPr>
        <w:t>。</w:t>
      </w:r>
    </w:p>
    <w:p w14:paraId="27BBD0A9">
      <w:pPr>
        <w:pStyle w:val="9"/>
        <w:tabs>
          <w:tab w:val="left" w:pos="4500"/>
          <w:tab w:val="left" w:pos="6415"/>
        </w:tabs>
        <w:kinsoku w:val="0"/>
        <w:overflowPunct w:val="0"/>
        <w:autoSpaceDE w:val="0"/>
        <w:autoSpaceDN w:val="0"/>
        <w:spacing w:line="360" w:lineRule="auto"/>
        <w:ind w:right="214" w:firstLine="420" w:firstLineChars="200"/>
        <w:rPr>
          <w:rFonts w:hint="eastAsia" w:cs="宋体"/>
          <w:highlight w:val="none"/>
        </w:rPr>
      </w:pPr>
      <w:r>
        <w:rPr>
          <w:rFonts w:hint="eastAsia" w:cs="宋体"/>
          <w:highlight w:val="none"/>
        </w:rPr>
        <w:t>对应所设置资质要求的规模指标：</w:t>
      </w:r>
      <w:r>
        <w:rPr>
          <w:rFonts w:hint="eastAsia" w:cs="宋体"/>
          <w:highlight w:val="none"/>
          <w:u w:val="single"/>
        </w:rPr>
        <w:t>城市</w:t>
      </w:r>
      <w:r>
        <w:rPr>
          <w:rFonts w:hint="eastAsia" w:cs="宋体"/>
          <w:highlight w:val="none"/>
          <w:u w:val="single"/>
          <w:lang w:val="en-US" w:eastAsia="zh-CN"/>
        </w:rPr>
        <w:t>主</w:t>
      </w:r>
      <w:r>
        <w:rPr>
          <w:rFonts w:hint="eastAsia" w:cs="宋体"/>
          <w:highlight w:val="none"/>
          <w:u w:val="single"/>
        </w:rPr>
        <w:t>干路。</w:t>
      </w:r>
    </w:p>
    <w:p w14:paraId="2D1DAC39">
      <w:pPr>
        <w:pStyle w:val="9"/>
        <w:tabs>
          <w:tab w:val="left" w:pos="4500"/>
          <w:tab w:val="left" w:pos="6415"/>
        </w:tabs>
        <w:kinsoku w:val="0"/>
        <w:overflowPunct w:val="0"/>
        <w:spacing w:after="0" w:line="360" w:lineRule="auto"/>
        <w:ind w:right="213" w:firstLine="420" w:firstLineChars="200"/>
        <w:rPr>
          <w:rFonts w:hint="eastAsia" w:ascii="楷体_GB2312" w:hAnsi="楷体_GB2312" w:eastAsia="楷体_GB2312" w:cs="楷体_GB2312"/>
          <w:szCs w:val="21"/>
        </w:rPr>
      </w:pPr>
      <w:r>
        <w:rPr>
          <w:rFonts w:hint="eastAsia" w:ascii="楷体_GB2312" w:hAnsi="楷体_GB2312" w:eastAsia="楷体_GB2312" w:cs="楷体_GB2312"/>
          <w:szCs w:val="21"/>
        </w:rPr>
        <w:t>注：（1）香港企业参加投标的，须已在广东省住房和城乡建设主管部门备案且备案的业务范围满足本项目招标文件要求。香港企业备案的业务范围依据《广东省住房和城乡建设厅关于印发香港工程建设咨询企业和专业人士在粤港澳大湾区内地城市开业执业试点管理暂行办法的通知》（粤建规范[2020]1号</w:t>
      </w:r>
      <w:r>
        <w:rPr>
          <w:rFonts w:hint="eastAsia" w:ascii="楷体_GB2312" w:hAnsi="楷体_GB2312" w:eastAsia="楷体_GB2312" w:cs="楷体_GB2312"/>
          <w:sz w:val="20"/>
          <w:szCs w:val="21"/>
        </w:rPr>
        <w:t>，详见链接：</w:t>
      </w:r>
      <w:r>
        <w:rPr>
          <w:rFonts w:hint="eastAsia" w:ascii="楷体_GB2312" w:hAnsi="楷体_GB2312" w:eastAsia="楷体_GB2312" w:cs="楷体_GB2312"/>
          <w:sz w:val="20"/>
          <w:szCs w:val="21"/>
        </w:rPr>
        <w:fldChar w:fldCharType="begin"/>
      </w:r>
      <w:r>
        <w:rPr>
          <w:rFonts w:hint="eastAsia" w:ascii="楷体_GB2312" w:hAnsi="楷体_GB2312" w:eastAsia="楷体_GB2312" w:cs="楷体_GB2312"/>
          <w:sz w:val="20"/>
          <w:szCs w:val="21"/>
        </w:rPr>
        <w:instrText xml:space="preserve"> HYPERLINK "http://zfcxjst.gd.gov.cn/xxgk/wjtz/content/post_3137220.html）确定。香港企业须提供满足招标文件要求的相应资质证书及备案证明资料扫描件。" </w:instrText>
      </w:r>
      <w:r>
        <w:rPr>
          <w:rFonts w:hint="eastAsia" w:ascii="楷体_GB2312" w:hAnsi="楷体_GB2312" w:eastAsia="楷体_GB2312" w:cs="楷体_GB2312"/>
          <w:sz w:val="20"/>
          <w:szCs w:val="21"/>
        </w:rPr>
        <w:fldChar w:fldCharType="separate"/>
      </w:r>
      <w:r>
        <w:rPr>
          <w:rFonts w:hint="eastAsia" w:ascii="楷体_GB2312" w:hAnsi="楷体_GB2312" w:eastAsia="楷体_GB2312" w:cs="楷体_GB2312"/>
          <w:sz w:val="20"/>
          <w:szCs w:val="21"/>
        </w:rPr>
        <w:t>http://zfcxjst.gd.gov.cn/xxgk/wjtz/content/post_3137220.html）确定。香港企业须提供满足招标文件要求的相应资质证书及备案证明资料扫描件。</w:t>
      </w:r>
      <w:r>
        <w:rPr>
          <w:rFonts w:hint="eastAsia" w:ascii="楷体_GB2312" w:hAnsi="楷体_GB2312" w:eastAsia="楷体_GB2312" w:cs="楷体_GB2312"/>
          <w:sz w:val="20"/>
          <w:szCs w:val="21"/>
        </w:rPr>
        <w:fldChar w:fldCharType="end"/>
      </w:r>
      <w:r>
        <w:rPr>
          <w:rFonts w:hint="eastAsia" w:ascii="楷体_GB2312" w:hAnsi="楷体_GB2312" w:eastAsia="楷体_GB2312" w:cs="楷体_GB2312"/>
          <w:szCs w:val="21"/>
        </w:rPr>
        <w:t>（2）工程监理企业资质的要求和证书有效期按《工程监理企业资质管理规定》（中华人民共和国建设部令第158号）、《住房城乡建设部关于简化建筑业企业资质标准部分指标的通知》(建市〔2016〕226号)、《住房和城乡建设部关于印发建设工程企业资质管理制度改革方案的通知》（建市〔2020〕94号）、《住房和城乡建设部办公厅关于做好建筑业“证照分离”改革衔接有关工作的通知》（建办市〔2021〕30号）、</w:t>
      </w:r>
      <w:r>
        <w:rPr>
          <w:rFonts w:hint="eastAsia" w:ascii="楷体_GB2312" w:hAnsi="楷体_GB2312" w:eastAsia="楷体_GB2312" w:cs="楷体_GB2312"/>
          <w:sz w:val="20"/>
          <w:szCs w:val="21"/>
        </w:rPr>
        <w:t>《住房和城乡建设部办公厅关于建设工程企业资质统一延续有关事项的通知》（建办市函〔2021〕510号）、《广东省住房和城乡建设厅关于建设工程企业资质有效期延期的通知》（粤建许函〔2021〕849号）、</w:t>
      </w:r>
      <w:r>
        <w:rPr>
          <w:rFonts w:hint="eastAsia" w:ascii="楷体_GB2312" w:hAnsi="楷体_GB2312" w:eastAsia="楷体_GB2312" w:cs="楷体_GB2312"/>
          <w:szCs w:val="21"/>
        </w:rPr>
        <w:t>《住房和城乡建设部办公厅关于建设工程企业资质有关事宜的通知》（建办市函〔2022〕361号）、《广东省住房和城乡建设厅关于建设工程企业资质有关事宜的通知》（粤建许函〔2022〕846号）、</w:t>
      </w:r>
      <w:r>
        <w:rPr>
          <w:rFonts w:hint="eastAsia" w:ascii="楷体_GB2312" w:hAnsi="楷体_GB2312" w:eastAsia="楷体_GB2312" w:cs="楷体_GB2312"/>
          <w:sz w:val="20"/>
          <w:szCs w:val="21"/>
        </w:rPr>
        <w:t>《住房和城乡建设部关于进一步加强建设工程企业资质审批管理工作的通知》（建市规〔2023〕3号）</w:t>
      </w:r>
      <w:r>
        <w:rPr>
          <w:rFonts w:hint="eastAsia" w:ascii="楷体_GB2312" w:hAnsi="楷体_GB2312" w:eastAsia="楷体_GB2312" w:cs="楷体_GB2312"/>
          <w:szCs w:val="21"/>
        </w:rPr>
        <w:t>、《住房城乡建设部办公厅关于做好有关建设工程企业资质证书换领和延续工作的通知》（建办市〔2023〕47号）</w:t>
      </w:r>
      <w:r>
        <w:rPr>
          <w:rFonts w:hint="eastAsia" w:ascii="楷体_GB2312" w:hAnsi="楷体_GB2312" w:eastAsia="楷体_GB2312" w:cs="楷体_GB2312"/>
          <w:sz w:val="20"/>
          <w:szCs w:val="21"/>
        </w:rPr>
        <w:t>、</w:t>
      </w:r>
      <w:r>
        <w:rPr>
          <w:rFonts w:hint="eastAsia" w:ascii="楷体_GB2312" w:hAnsi="楷体_GB2312" w:eastAsia="楷体_GB2312" w:cs="楷体_GB2312"/>
          <w:szCs w:val="21"/>
        </w:rPr>
        <w:t>《广东省住房和城乡建设厅关于建设工程企业资质延续有关事项的通知》（粤建许函〔2023〕820号）、《住房城乡建设部建筑市场监管司关于建设工程企业资质延续有关事项的通知》（建司局函市〔2023〕116号）、《广东省住房和城乡建设厅关于做好有关建设工程企业资质证书换领工作的通知》（粤建许函〔2024〕124号）等相关文件执行。根据上述文件的要求，投标人需办理企业资质有效期延续的，应当按照相关规定及时办理。招标期间如行政主管部门对建设工程企业资质有效期发布新规定的，按新规定相应调整执行。</w:t>
      </w:r>
    </w:p>
    <w:p w14:paraId="71382100">
      <w:pPr>
        <w:spacing w:line="360" w:lineRule="auto"/>
        <w:ind w:firstLine="420" w:firstLineChars="200"/>
        <w:rPr>
          <w:rFonts w:hint="eastAsia" w:ascii="宋体" w:hAnsi="宋体" w:cs="宋体"/>
          <w:u w:val="single"/>
          <w:lang w:val="en"/>
        </w:rPr>
      </w:pPr>
      <w:r>
        <w:rPr>
          <w:rFonts w:hint="eastAsia" w:ascii="宋体" w:hAnsi="宋体" w:cs="宋体"/>
          <w:szCs w:val="21"/>
        </w:rPr>
        <w:t>3.4</w:t>
      </w:r>
      <w:r>
        <w:rPr>
          <w:rFonts w:hint="eastAsia" w:ascii="宋体" w:hAnsi="宋体" w:cs="宋体"/>
        </w:rPr>
        <w:t>拟委派总监理工程师须具备</w:t>
      </w:r>
      <w:r>
        <w:rPr>
          <w:rFonts w:hint="eastAsia" w:ascii="宋体" w:hAnsi="宋体" w:cs="宋体"/>
          <w:u w:val="single"/>
        </w:rPr>
        <w:t>建设部</w:t>
      </w:r>
      <w:r>
        <w:rPr>
          <w:rFonts w:ascii="宋体" w:hAnsi="宋体" w:cs="宋体"/>
          <w:u w:val="single"/>
        </w:rPr>
        <w:t>2006</w:t>
      </w:r>
      <w:r>
        <w:rPr>
          <w:rFonts w:hint="eastAsia" w:ascii="宋体" w:hAnsi="宋体" w:cs="宋体"/>
          <w:u w:val="single"/>
        </w:rPr>
        <w:t>年</w:t>
      </w:r>
      <w:r>
        <w:rPr>
          <w:rFonts w:ascii="宋体" w:hAnsi="宋体" w:cs="宋体"/>
          <w:u w:val="single"/>
        </w:rPr>
        <w:t>4</w:t>
      </w:r>
      <w:r>
        <w:rPr>
          <w:rFonts w:hint="eastAsia" w:ascii="宋体" w:hAnsi="宋体" w:cs="宋体"/>
          <w:u w:val="single"/>
        </w:rPr>
        <w:t>月</w:t>
      </w:r>
      <w:r>
        <w:rPr>
          <w:rFonts w:ascii="宋体" w:hAnsi="宋体" w:cs="宋体"/>
          <w:u w:val="single"/>
        </w:rPr>
        <w:t>1</w:t>
      </w:r>
      <w:r>
        <w:rPr>
          <w:rFonts w:hint="eastAsia" w:ascii="宋体" w:hAnsi="宋体" w:cs="宋体"/>
          <w:u w:val="single"/>
        </w:rPr>
        <w:t>日后颁发的中华人民共和国注册监理工程师注册执业证书，且其注册证书专业为市政公用工程，注册执业单位为本公司，并具备大学本科学历</w:t>
      </w:r>
      <w:r>
        <w:rPr>
          <w:rFonts w:hint="eastAsia" w:ascii="宋体" w:hAnsi="宋体" w:cs="宋体"/>
          <w:u w:val="single"/>
          <w:lang w:val="en"/>
        </w:rPr>
        <w:t>。</w:t>
      </w:r>
      <w:r>
        <w:rPr>
          <w:rFonts w:hint="eastAsia" w:ascii="宋体" w:hAnsi="宋体" w:cs="宋体"/>
          <w:szCs w:val="21"/>
          <w:u w:val="single"/>
        </w:rPr>
        <w:t>需提供离投标截止时间最近的至少1个月</w:t>
      </w:r>
      <w:r>
        <w:rPr>
          <w:rFonts w:hint="eastAsia" w:cs="宋体"/>
          <w:szCs w:val="21"/>
          <w:u w:val="single"/>
        </w:rPr>
        <w:t>（即2025年</w:t>
      </w:r>
      <w:r>
        <w:rPr>
          <w:rFonts w:hint="eastAsia" w:cs="宋体"/>
          <w:szCs w:val="21"/>
          <w:u w:val="single"/>
          <w:lang w:val="en-US" w:eastAsia="zh-CN"/>
        </w:rPr>
        <w:t>7</w:t>
      </w:r>
      <w:r>
        <w:rPr>
          <w:rFonts w:hint="eastAsia" w:cs="宋体"/>
          <w:szCs w:val="21"/>
          <w:u w:val="single"/>
        </w:rPr>
        <w:t>月）</w:t>
      </w:r>
      <w:r>
        <w:rPr>
          <w:rFonts w:hint="eastAsia" w:ascii="宋体" w:hAnsi="宋体" w:cs="宋体"/>
          <w:szCs w:val="21"/>
          <w:u w:val="single"/>
        </w:rPr>
        <w:t>在本单位缴纳的社保证明文件。</w:t>
      </w:r>
      <w:r>
        <w:rPr>
          <w:rFonts w:hint="eastAsia" w:ascii="宋体" w:hAnsi="宋体" w:cs="宋体"/>
          <w:u w:val="single"/>
        </w:rPr>
        <w:t>如退休返聘人员，提供单位返聘及退休证明文件</w:t>
      </w:r>
      <w:r>
        <w:rPr>
          <w:rFonts w:hint="eastAsia" w:cs="宋体"/>
          <w:u w:val="single"/>
        </w:rPr>
        <w:t>。</w:t>
      </w:r>
    </w:p>
    <w:p w14:paraId="7BE3A096">
      <w:pPr>
        <w:pStyle w:val="9"/>
        <w:tabs>
          <w:tab w:val="left" w:pos="4500"/>
          <w:tab w:val="left" w:pos="6415"/>
        </w:tabs>
        <w:kinsoku w:val="0"/>
        <w:overflowPunct w:val="0"/>
        <w:spacing w:after="0" w:line="360" w:lineRule="auto"/>
        <w:ind w:right="213" w:firstLine="400" w:firstLineChars="200"/>
        <w:rPr>
          <w:rFonts w:hint="eastAsia" w:ascii="楷体_GB2312" w:hAnsi="楷体_GB2312" w:eastAsia="楷体_GB2312" w:cs="楷体_GB2312"/>
          <w:sz w:val="20"/>
          <w:szCs w:val="21"/>
        </w:rPr>
      </w:pPr>
      <w:r>
        <w:rPr>
          <w:rFonts w:hint="eastAsia" w:ascii="楷体_GB2312" w:hAnsi="楷体_GB2312" w:eastAsia="楷体_GB2312" w:cs="楷体_GB2312"/>
          <w:sz w:val="20"/>
          <w:szCs w:val="21"/>
        </w:rPr>
        <w:t>注：若拟委派的项目负责人（总监理工程师）为香港专业人士，须已在广东省住房和城乡建设主管部门备案且备案的业务范围相当于注册监理工程师的香港专业人士[香港专业人士的备案业务范围依据《广东省住房和城乡建设厅关于印发香港工程建设咨询企业和专业人士在粤</w:t>
      </w:r>
      <w:bookmarkStart w:id="84" w:name="_GoBack"/>
      <w:bookmarkEnd w:id="84"/>
      <w:r>
        <w:rPr>
          <w:rFonts w:hint="eastAsia" w:ascii="楷体_GB2312" w:hAnsi="楷体_GB2312" w:eastAsia="楷体_GB2312" w:cs="楷体_GB2312"/>
          <w:sz w:val="20"/>
          <w:szCs w:val="21"/>
        </w:rPr>
        <w:t>港澳大湾区内地城市开业执业试点管理暂行办法的通知》（粤建规范[2020]1号）确定]。</w:t>
      </w:r>
    </w:p>
    <w:p w14:paraId="79C244ED">
      <w:pPr>
        <w:pStyle w:val="9"/>
        <w:tabs>
          <w:tab w:val="left" w:pos="4500"/>
          <w:tab w:val="left" w:pos="6415"/>
        </w:tabs>
        <w:kinsoku w:val="0"/>
        <w:overflowPunct w:val="0"/>
        <w:spacing w:after="0" w:line="360" w:lineRule="auto"/>
        <w:ind w:right="213" w:firstLine="420" w:firstLineChars="200"/>
        <w:rPr>
          <w:rFonts w:hint="eastAsia" w:ascii="宋体" w:hAnsi="宋体" w:cs="宋体"/>
        </w:rPr>
      </w:pPr>
      <w:r>
        <w:rPr>
          <w:rFonts w:hint="eastAsia" w:ascii="宋体" w:hAnsi="宋体" w:cs="宋体"/>
        </w:rPr>
        <w:t>3.5 投标申请人业绩要求（</w:t>
      </w:r>
      <w:r>
        <w:rPr>
          <w:rFonts w:hint="eastAsia" w:ascii="宋体" w:hAnsi="宋体" w:cs="宋体"/>
        </w:rPr>
        <w:sym w:font="Wingdings 2" w:char="00A3"/>
      </w:r>
      <w:r>
        <w:rPr>
          <w:rFonts w:hint="eastAsia" w:ascii="宋体" w:hAnsi="宋体" w:cs="宋体"/>
        </w:rPr>
        <w:t>需要 /</w:t>
      </w:r>
      <w:r>
        <w:rPr>
          <w:rFonts w:hint="eastAsia" w:ascii="宋体" w:hAnsi="宋体" w:cs="宋体"/>
          <w:kern w:val="0"/>
          <w:sz w:val="24"/>
        </w:rPr>
        <w:sym w:font="Wingdings" w:char="F0FE"/>
      </w:r>
      <w:r>
        <w:rPr>
          <w:rFonts w:hint="eastAsia" w:ascii="宋体" w:hAnsi="宋体" w:cs="宋体"/>
        </w:rPr>
        <w:t>不需要）。</w:t>
      </w:r>
    </w:p>
    <w:p w14:paraId="77EC9337">
      <w:pPr>
        <w:spacing w:line="400" w:lineRule="exact"/>
        <w:ind w:left="735" w:leftChars="208" w:hanging="298" w:hangingChars="142"/>
        <w:rPr>
          <w:rFonts w:hint="eastAsia" w:ascii="宋体" w:hAnsi="宋体" w:cs="宋体"/>
          <w:szCs w:val="21"/>
        </w:rPr>
      </w:pPr>
      <w:r>
        <w:rPr>
          <w:rFonts w:hint="eastAsia" w:ascii="宋体" w:hAnsi="宋体" w:cs="宋体"/>
        </w:rPr>
        <w:t>3.6</w:t>
      </w:r>
      <w:r>
        <w:rPr>
          <w:rFonts w:hint="eastAsia" w:ascii="宋体" w:hAnsi="宋体" w:cs="宋体"/>
          <w:szCs w:val="21"/>
        </w:rPr>
        <w:t>关于联合体投标：</w:t>
      </w:r>
    </w:p>
    <w:p w14:paraId="155AF603">
      <w:pPr>
        <w:spacing w:line="400" w:lineRule="exact"/>
        <w:ind w:firstLine="420" w:firstLineChars="200"/>
        <w:rPr>
          <w:rFonts w:ascii="宋体" w:hAnsi="宋体" w:cs="宋体"/>
          <w:szCs w:val="21"/>
          <w:u w:val="single"/>
        </w:rPr>
      </w:pPr>
      <w:r>
        <w:rPr>
          <w:rFonts w:hint="eastAsia" w:ascii="宋体" w:hAnsi="宋体" w:cs="宋体"/>
          <w:szCs w:val="21"/>
        </w:rPr>
        <w:t>3.6.1本次招标（</w:t>
      </w:r>
      <w:r>
        <w:rPr>
          <w:rFonts w:hint="eastAsia"/>
          <w:szCs w:val="21"/>
        </w:rPr>
        <w:sym w:font="Wingdings 2" w:char="00A3"/>
      </w:r>
      <w:r>
        <w:rPr>
          <w:rFonts w:hint="eastAsia"/>
          <w:szCs w:val="21"/>
        </w:rPr>
        <w:t>接受</w:t>
      </w:r>
      <w:r>
        <w:rPr>
          <w:rFonts w:hint="eastAsia" w:ascii="宋体" w:hAnsi="宋体" w:cs="宋体"/>
        </w:rPr>
        <w:t xml:space="preserve"> /</w:t>
      </w:r>
      <w:r>
        <w:rPr>
          <w:rFonts w:hint="eastAsia" w:ascii="宋体" w:hAnsi="宋体" w:cs="宋体"/>
          <w:kern w:val="0"/>
          <w:sz w:val="24"/>
        </w:rPr>
        <w:sym w:font="Wingdings" w:char="F0FE"/>
      </w:r>
      <w:r>
        <w:rPr>
          <w:rFonts w:hint="eastAsia" w:ascii="宋体" w:hAnsi="宋体" w:cs="宋体"/>
        </w:rPr>
        <w:t>不接受）</w:t>
      </w:r>
      <w:r>
        <w:rPr>
          <w:rFonts w:hint="eastAsia" w:ascii="宋体" w:hAnsi="宋体" w:cs="宋体"/>
          <w:szCs w:val="21"/>
        </w:rPr>
        <w:t>联合体投标。</w:t>
      </w:r>
    </w:p>
    <w:p w14:paraId="00247FC0">
      <w:pPr>
        <w:spacing w:line="360" w:lineRule="auto"/>
        <w:ind w:firstLine="420" w:firstLineChars="200"/>
        <w:rPr>
          <w:rFonts w:hint="eastAsia" w:ascii="宋体" w:hAnsi="宋体" w:cs="宋体"/>
          <w:u w:val="single"/>
        </w:rPr>
      </w:pPr>
      <w:r>
        <w:rPr>
          <w:rFonts w:hint="eastAsia" w:ascii="宋体" w:hAnsi="宋体" w:cs="宋体"/>
          <w:szCs w:val="21"/>
        </w:rPr>
        <w:t>3.7</w:t>
      </w:r>
      <w:r>
        <w:rPr>
          <w:rFonts w:hint="eastAsia" w:ascii="宋体" w:hAnsi="宋体"/>
          <w:szCs w:val="21"/>
          <w:u w:val="single"/>
        </w:rPr>
        <w:t>资格审查前，投标人须在</w:t>
      </w:r>
      <w:r>
        <w:rPr>
          <w:rFonts w:hint="eastAsia"/>
          <w:szCs w:val="21"/>
          <w:highlight w:val="none"/>
          <w:u w:val="single"/>
        </w:rPr>
        <w:t>广州交易集团有限公司（广州公共资源交易中心）</w:t>
      </w:r>
      <w:r>
        <w:rPr>
          <w:rFonts w:hint="eastAsia" w:ascii="宋体" w:hAnsi="宋体"/>
          <w:szCs w:val="21"/>
          <w:u w:val="single"/>
        </w:rPr>
        <w:t>建立企业信用信息档案</w:t>
      </w:r>
      <w:r>
        <w:rPr>
          <w:rFonts w:hint="eastAsia" w:ascii="宋体" w:hAnsi="宋体" w:cs="宋体"/>
          <w:szCs w:val="21"/>
        </w:rPr>
        <w:t>。</w:t>
      </w:r>
      <w:r>
        <w:rPr>
          <w:rFonts w:hint="eastAsia" w:ascii="宋体" w:hAnsi="宋体" w:cs="宋体"/>
        </w:rPr>
        <w:t>拟委派的项目负责人须是本企业信息档案中的在册人员，</w:t>
      </w:r>
      <w:r>
        <w:rPr>
          <w:rFonts w:hint="eastAsia" w:ascii="宋体" w:hAnsi="宋体" w:cs="宋体"/>
          <w:u w:val="single"/>
        </w:rPr>
        <w:t>如退休返聘人员，提供单位返聘及退休证明文件。（企业信息取自投标截止时间投标人在企业信息库内的信息，投标人无需提交相关资料，若招标人延长递交投标文件截止时间，企业信息的评审时点也相应延长）。</w:t>
      </w:r>
    </w:p>
    <w:p w14:paraId="453098F3">
      <w:pPr>
        <w:spacing w:line="360" w:lineRule="auto"/>
        <w:ind w:firstLine="420" w:firstLineChars="200"/>
        <w:rPr>
          <w:rFonts w:hint="eastAsia" w:ascii="宋体" w:hAnsi="宋体" w:cs="宋体"/>
        </w:rPr>
      </w:pPr>
      <w:r>
        <w:rPr>
          <w:rFonts w:hint="eastAsia" w:ascii="宋体" w:hAnsi="宋体" w:cs="宋体"/>
          <w:szCs w:val="21"/>
        </w:rPr>
        <w:t>3.8投标人未出现招标文件第二章投标人须知第1.4.3项所规定的任何一种情形，并已按规定格式签名盖章《投标人声明》（按投标人提供的《投标人声明》内容进行评审）。</w:t>
      </w:r>
    </w:p>
    <w:p w14:paraId="75606AA3">
      <w:pPr>
        <w:spacing w:line="400" w:lineRule="exact"/>
        <w:ind w:firstLine="420" w:firstLineChars="200"/>
        <w:rPr>
          <w:rFonts w:ascii="宋体" w:hAnsi="宋体" w:cs="宋体"/>
          <w:szCs w:val="20"/>
        </w:rPr>
      </w:pPr>
      <w:r>
        <w:rPr>
          <w:rFonts w:hint="eastAsia" w:ascii="宋体" w:hAnsi="宋体" w:cs="宋体"/>
          <w:szCs w:val="21"/>
        </w:rPr>
        <w:t>3.9</w:t>
      </w:r>
      <w:r>
        <w:rPr>
          <w:rFonts w:hint="eastAsia" w:ascii="宋体" w:hAnsi="宋体" w:cs="宋体"/>
          <w:szCs w:val="20"/>
        </w:rPr>
        <w:t>在投标截止时间前，投标人未被列入拖欠农民工工资失信联合惩戒对象名单。</w:t>
      </w:r>
    </w:p>
    <w:p w14:paraId="53A5DF49">
      <w:pPr>
        <w:spacing w:line="360" w:lineRule="auto"/>
        <w:ind w:firstLine="420" w:firstLineChars="200"/>
        <w:jc w:val="left"/>
        <w:rPr>
          <w:rFonts w:hint="eastAsia" w:ascii="宋体" w:hAnsi="宋体" w:cs="宋体"/>
          <w:szCs w:val="21"/>
        </w:rPr>
      </w:pPr>
      <w:r>
        <w:rPr>
          <w:rFonts w:hint="eastAsia" w:ascii="宋体" w:hAnsi="宋体" w:cs="宋体"/>
          <w:szCs w:val="20"/>
        </w:rPr>
        <w:t>3.10政府投资项目，在投标截止时间前，</w:t>
      </w:r>
      <w:r>
        <w:rPr>
          <w:rFonts w:ascii="宋体" w:hAnsi="宋体" w:cs="宋体"/>
          <w:szCs w:val="20"/>
        </w:rPr>
        <w:t>投标人未被列入“</w:t>
      </w:r>
      <w:r>
        <w:rPr>
          <w:rFonts w:hint="eastAsia" w:ascii="宋体" w:hAnsi="宋体" w:cs="宋体"/>
          <w:szCs w:val="20"/>
        </w:rPr>
        <w:t>失信被执行人</w:t>
      </w:r>
      <w:r>
        <w:rPr>
          <w:rFonts w:ascii="宋体" w:hAnsi="宋体" w:cs="宋体"/>
          <w:szCs w:val="20"/>
        </w:rPr>
        <w:t>”</w:t>
      </w:r>
      <w:r>
        <w:rPr>
          <w:rFonts w:hint="eastAsia" w:ascii="宋体" w:hAnsi="宋体" w:cs="宋体"/>
          <w:szCs w:val="20"/>
        </w:rPr>
        <w:t>名单</w:t>
      </w:r>
      <w:r>
        <w:rPr>
          <w:rFonts w:hint="eastAsia" w:ascii="宋体" w:hAnsi="宋体" w:cs="宋体"/>
          <w:szCs w:val="21"/>
        </w:rPr>
        <w:t>。</w:t>
      </w:r>
    </w:p>
    <w:p w14:paraId="55E1A44F">
      <w:pPr>
        <w:spacing w:line="360" w:lineRule="auto"/>
        <w:ind w:firstLine="420" w:firstLineChars="200"/>
        <w:jc w:val="left"/>
        <w:rPr>
          <w:rFonts w:hint="eastAsia" w:ascii="宋体" w:hAnsi="宋体" w:cs="宋体"/>
          <w:szCs w:val="21"/>
        </w:rPr>
      </w:pPr>
      <w:r>
        <w:rPr>
          <w:rFonts w:hint="eastAsia" w:ascii="宋体" w:hAnsi="宋体" w:cs="宋体"/>
          <w:szCs w:val="21"/>
        </w:rPr>
        <w:t>3.11</w:t>
      </w:r>
      <w:r>
        <w:rPr>
          <w:rFonts w:hint="eastAsia" w:ascii="宋体" w:hAnsi="宋体" w:cs="宋体"/>
        </w:rPr>
        <w:t>投标人在本公告发布前，未在以往工程中因不充分履约行为被本项目招标人书面规定时间内拒绝投标的</w:t>
      </w:r>
      <w:r>
        <w:rPr>
          <w:rFonts w:hint="eastAsia" w:ascii="宋体" w:hAnsi="宋体" w:cs="宋体"/>
          <w:u w:val="single"/>
        </w:rPr>
        <w:t>（详见附件一《被招标人拒绝投标的企业名单》）</w:t>
      </w:r>
      <w:r>
        <w:rPr>
          <w:rFonts w:hint="eastAsia" w:ascii="宋体" w:hAnsi="宋体" w:cs="宋体"/>
        </w:rPr>
        <w:t>。</w:t>
      </w:r>
    </w:p>
    <w:p w14:paraId="18C898C9">
      <w:pPr>
        <w:spacing w:line="360" w:lineRule="auto"/>
        <w:ind w:firstLine="480"/>
        <w:rPr>
          <w:rFonts w:hint="eastAsia" w:ascii="宋体" w:hAnsi="宋体"/>
          <w:szCs w:val="21"/>
          <w:u w:val="single"/>
        </w:rPr>
      </w:pPr>
      <w:r>
        <w:rPr>
          <w:rFonts w:hint="eastAsia" w:ascii="宋体" w:hAnsi="宋体" w:cs="宋体"/>
          <w:szCs w:val="21"/>
        </w:rPr>
        <w:t>3.12其他要求：</w:t>
      </w:r>
      <w:r>
        <w:rPr>
          <w:rFonts w:hint="eastAsia" w:ascii="宋体" w:hAnsi="宋体"/>
          <w:szCs w:val="21"/>
          <w:u w:val="single"/>
        </w:rPr>
        <w:t>本项目落实政府采购促进中小企业发展相关政策需满足的资格要求：投标</w:t>
      </w:r>
      <w:r>
        <w:rPr>
          <w:rFonts w:ascii="宋体" w:hAnsi="宋体"/>
          <w:szCs w:val="21"/>
          <w:u w:val="single"/>
        </w:rPr>
        <w:t>人应为中小微企业、监狱企业、残疾人福利性单位。（提供《中小企业声明函》，或属于监狱企业的证明材料，或《残疾人福利性单位声明函》）（具体格式详见本项目</w:t>
      </w:r>
      <w:r>
        <w:rPr>
          <w:rFonts w:hint="eastAsia" w:ascii="宋体" w:hAnsi="宋体"/>
          <w:szCs w:val="21"/>
          <w:u w:val="single"/>
        </w:rPr>
        <w:t>招标文件</w:t>
      </w:r>
      <w:r>
        <w:rPr>
          <w:rFonts w:ascii="宋体" w:hAnsi="宋体"/>
          <w:szCs w:val="21"/>
          <w:u w:val="single"/>
        </w:rPr>
        <w:t>）</w:t>
      </w:r>
    </w:p>
    <w:p w14:paraId="689BA4E1">
      <w:pPr>
        <w:spacing w:line="360" w:lineRule="auto"/>
        <w:ind w:firstLine="480"/>
        <w:rPr>
          <w:rFonts w:hint="eastAsia" w:ascii="宋体" w:hAnsi="宋体" w:cs="宋体"/>
          <w:szCs w:val="21"/>
          <w:u w:val="single"/>
        </w:rPr>
      </w:pPr>
      <w:r>
        <w:rPr>
          <w:rFonts w:hint="eastAsia" w:ascii="宋体" w:hAnsi="宋体" w:cs="宋体"/>
          <w:szCs w:val="21"/>
        </w:rPr>
        <w:t>注：</w:t>
      </w:r>
      <w:r>
        <w:rPr>
          <w:rFonts w:hint="eastAsia" w:ascii="宋体" w:hAnsi="宋体"/>
          <w:szCs w:val="21"/>
          <w:u w:val="single"/>
        </w:rPr>
        <w:t>中小微企业划分标准按照《工业和信息化部 国家统计局 国家发展和改革委员会 财政部关于印发中小企业划型标准规定的通知》（工信部联企业〔2011〕300号）执行。本招标项目属于其他未列明行业，从业人员300人以下的为中小微型企业。其中，从业人员100人及以上的为中型企业；从业人员10人及以上的为小型企业；从业人员10人以下的为微型企业。公示期间如有异议、投诉的，被异议、投诉单位需提供注册登记所在地的县级以上人民政府中小企业主管部门认定函。</w:t>
      </w:r>
    </w:p>
    <w:p w14:paraId="3EB01E48">
      <w:pPr>
        <w:pStyle w:val="4"/>
        <w:rPr>
          <w:rFonts w:hint="eastAsia"/>
          <w:highlight w:val="none"/>
        </w:rPr>
      </w:pPr>
      <w:bookmarkStart w:id="30" w:name="_Toc10789"/>
      <w:bookmarkStart w:id="31" w:name="_Toc32692"/>
      <w:bookmarkStart w:id="32" w:name="_Toc25355"/>
      <w:bookmarkStart w:id="33" w:name="_Toc31269"/>
      <w:bookmarkStart w:id="34" w:name="_Toc5034"/>
      <w:bookmarkStart w:id="35" w:name="_Toc492300549"/>
      <w:bookmarkStart w:id="36" w:name="_Toc1349"/>
      <w:bookmarkStart w:id="37" w:name="_Toc21595"/>
      <w:bookmarkStart w:id="38" w:name="_Toc7384"/>
      <w:bookmarkStart w:id="39" w:name="_Toc2300"/>
      <w:bookmarkStart w:id="40" w:name="_Toc17136"/>
      <w:r>
        <w:rPr>
          <w:rFonts w:hint="eastAsia"/>
          <w:highlight w:val="none"/>
        </w:rPr>
        <w:t>4.招标文件的获取</w:t>
      </w:r>
      <w:bookmarkEnd w:id="30"/>
      <w:bookmarkEnd w:id="31"/>
      <w:bookmarkEnd w:id="32"/>
      <w:bookmarkEnd w:id="33"/>
      <w:bookmarkEnd w:id="34"/>
      <w:bookmarkEnd w:id="35"/>
      <w:bookmarkEnd w:id="36"/>
      <w:bookmarkEnd w:id="37"/>
      <w:bookmarkEnd w:id="38"/>
      <w:bookmarkEnd w:id="39"/>
      <w:bookmarkEnd w:id="40"/>
    </w:p>
    <w:p w14:paraId="029CCF85">
      <w:pPr>
        <w:tabs>
          <w:tab w:val="left" w:pos="360"/>
        </w:tabs>
        <w:spacing w:line="360" w:lineRule="auto"/>
        <w:ind w:firstLine="420" w:firstLineChars="200"/>
        <w:jc w:val="left"/>
        <w:rPr>
          <w:rFonts w:hint="eastAsia"/>
          <w:szCs w:val="21"/>
          <w:highlight w:val="none"/>
        </w:rPr>
      </w:pPr>
      <w:r>
        <w:rPr>
          <w:szCs w:val="21"/>
          <w:highlight w:val="none"/>
        </w:rPr>
        <w:t>4.1</w:t>
      </w:r>
      <w:r>
        <w:rPr>
          <w:rFonts w:hint="eastAsia"/>
          <w:szCs w:val="21"/>
          <w:highlight w:val="none"/>
        </w:rPr>
        <w:t>凡有意参加投标者，请于</w:t>
      </w:r>
      <w:r>
        <w:rPr>
          <w:rFonts w:hint="eastAsia"/>
          <w:szCs w:val="21"/>
          <w:highlight w:val="none"/>
          <w:u w:val="single"/>
          <w:lang w:val="en-US" w:eastAsia="zh-CN"/>
        </w:rPr>
        <w:t>2025</w:t>
      </w:r>
      <w:r>
        <w:rPr>
          <w:rFonts w:hint="eastAsia"/>
          <w:szCs w:val="21"/>
          <w:highlight w:val="none"/>
        </w:rPr>
        <w:t>年</w:t>
      </w:r>
      <w:r>
        <w:rPr>
          <w:rFonts w:hint="eastAsia"/>
          <w:szCs w:val="21"/>
          <w:highlight w:val="none"/>
          <w:u w:val="single"/>
          <w:lang w:val="en-US" w:eastAsia="zh-CN"/>
        </w:rPr>
        <w:t>08</w:t>
      </w:r>
      <w:r>
        <w:rPr>
          <w:rFonts w:hint="eastAsia"/>
          <w:szCs w:val="21"/>
          <w:highlight w:val="none"/>
        </w:rPr>
        <w:t>月</w:t>
      </w:r>
      <w:r>
        <w:rPr>
          <w:rFonts w:hint="eastAsia"/>
          <w:szCs w:val="21"/>
          <w:highlight w:val="none"/>
          <w:u w:val="single"/>
          <w:lang w:val="en-US" w:eastAsia="zh-CN"/>
        </w:rPr>
        <w:t>06</w:t>
      </w:r>
      <w:r>
        <w:rPr>
          <w:rFonts w:hint="eastAsia"/>
          <w:szCs w:val="21"/>
          <w:highlight w:val="none"/>
        </w:rPr>
        <w:t>日</w:t>
      </w:r>
      <w:r>
        <w:rPr>
          <w:rFonts w:hint="eastAsia"/>
          <w:szCs w:val="21"/>
          <w:highlight w:val="none"/>
          <w:u w:val="single"/>
          <w:lang w:val="en-US" w:eastAsia="zh-CN"/>
        </w:rPr>
        <w:t>00</w:t>
      </w:r>
      <w:r>
        <w:rPr>
          <w:rFonts w:hint="eastAsia"/>
          <w:szCs w:val="21"/>
          <w:highlight w:val="none"/>
        </w:rPr>
        <w:t>时至</w:t>
      </w:r>
      <w:r>
        <w:rPr>
          <w:rFonts w:hint="eastAsia"/>
          <w:szCs w:val="21"/>
          <w:highlight w:val="none"/>
          <w:u w:val="single"/>
          <w:lang w:val="en-US" w:eastAsia="zh-CN"/>
        </w:rPr>
        <w:t>2025</w:t>
      </w:r>
      <w:r>
        <w:rPr>
          <w:rFonts w:hint="eastAsia"/>
          <w:szCs w:val="21"/>
          <w:highlight w:val="none"/>
        </w:rPr>
        <w:t>年</w:t>
      </w:r>
      <w:r>
        <w:rPr>
          <w:rFonts w:hint="eastAsia"/>
          <w:szCs w:val="21"/>
          <w:highlight w:val="none"/>
          <w:u w:val="single"/>
          <w:lang w:val="en-US" w:eastAsia="zh-CN"/>
        </w:rPr>
        <w:t>08</w:t>
      </w:r>
      <w:r>
        <w:rPr>
          <w:rFonts w:hint="eastAsia"/>
          <w:szCs w:val="21"/>
          <w:highlight w:val="none"/>
        </w:rPr>
        <w:t>月</w:t>
      </w:r>
      <w:r>
        <w:rPr>
          <w:rFonts w:hint="eastAsia"/>
          <w:szCs w:val="21"/>
          <w:highlight w:val="none"/>
          <w:u w:val="single"/>
          <w:lang w:val="en-US" w:eastAsia="zh-CN"/>
        </w:rPr>
        <w:t>26</w:t>
      </w:r>
      <w:r>
        <w:rPr>
          <w:rFonts w:hint="eastAsia"/>
          <w:szCs w:val="21"/>
          <w:highlight w:val="none"/>
        </w:rPr>
        <w:t>日</w:t>
      </w:r>
      <w:r>
        <w:rPr>
          <w:rFonts w:hint="eastAsia"/>
          <w:szCs w:val="21"/>
          <w:highlight w:val="none"/>
          <w:u w:val="single"/>
          <w:lang w:val="en-US" w:eastAsia="zh-CN"/>
        </w:rPr>
        <w:t>10</w:t>
      </w:r>
      <w:r>
        <w:rPr>
          <w:rFonts w:hint="eastAsia"/>
          <w:szCs w:val="21"/>
          <w:highlight w:val="none"/>
        </w:rPr>
        <w:t>时</w:t>
      </w:r>
      <w:r>
        <w:rPr>
          <w:rFonts w:hint="eastAsia"/>
          <w:szCs w:val="21"/>
          <w:highlight w:val="none"/>
          <w:u w:val="single"/>
          <w:lang w:val="en-US" w:eastAsia="zh-CN"/>
        </w:rPr>
        <w:t>30</w:t>
      </w:r>
      <w:r>
        <w:rPr>
          <w:rFonts w:hint="eastAsia"/>
          <w:szCs w:val="21"/>
          <w:highlight w:val="none"/>
        </w:rPr>
        <w:t>分</w:t>
      </w:r>
      <w:r>
        <w:rPr>
          <w:szCs w:val="21"/>
          <w:highlight w:val="none"/>
        </w:rPr>
        <w:t>(</w:t>
      </w:r>
      <w:r>
        <w:rPr>
          <w:rFonts w:hint="eastAsia"/>
          <w:szCs w:val="21"/>
          <w:highlight w:val="none"/>
        </w:rPr>
        <w:t>北京时间，下同</w:t>
      </w:r>
      <w:r>
        <w:rPr>
          <w:szCs w:val="21"/>
          <w:highlight w:val="none"/>
        </w:rPr>
        <w:t>)</w:t>
      </w:r>
      <w:r>
        <w:rPr>
          <w:rFonts w:hint="eastAsia"/>
          <w:szCs w:val="21"/>
          <w:highlight w:val="none"/>
        </w:rPr>
        <w:t>，登录</w:t>
      </w:r>
      <w:r>
        <w:rPr>
          <w:rFonts w:hint="eastAsia"/>
          <w:szCs w:val="21"/>
          <w:highlight w:val="none"/>
          <w:u w:val="single"/>
        </w:rPr>
        <w:t>广州交易集团有限公司（广州公共资源交易中心）官网（网址：http://www.gzggzy.cn）</w:t>
      </w:r>
      <w:r>
        <w:rPr>
          <w:rFonts w:hint="eastAsia"/>
          <w:szCs w:val="21"/>
          <w:highlight w:val="none"/>
        </w:rPr>
        <w:t>下载电子招标文件。</w:t>
      </w:r>
    </w:p>
    <w:p w14:paraId="01FDC0E2">
      <w:pPr>
        <w:spacing w:line="360" w:lineRule="auto"/>
        <w:ind w:firstLine="420" w:firstLineChars="200"/>
        <w:rPr>
          <w:rFonts w:hint="eastAsia"/>
          <w:szCs w:val="21"/>
          <w:highlight w:val="none"/>
        </w:rPr>
      </w:pPr>
      <w:r>
        <w:rPr>
          <w:rFonts w:hint="eastAsia"/>
          <w:szCs w:val="21"/>
          <w:highlight w:val="none"/>
        </w:rPr>
        <w:t>4.2发布招标公告时间（含本日）：</w:t>
      </w:r>
      <w:r>
        <w:rPr>
          <w:rFonts w:hint="eastAsia"/>
          <w:szCs w:val="21"/>
          <w:highlight w:val="none"/>
          <w:u w:val="single"/>
          <w:lang w:val="en-US" w:eastAsia="zh-CN"/>
        </w:rPr>
        <w:t>2025</w:t>
      </w:r>
      <w:r>
        <w:rPr>
          <w:rFonts w:hint="eastAsia"/>
          <w:szCs w:val="21"/>
          <w:highlight w:val="none"/>
        </w:rPr>
        <w:t>年</w:t>
      </w:r>
      <w:r>
        <w:rPr>
          <w:rFonts w:hint="eastAsia"/>
          <w:szCs w:val="21"/>
          <w:highlight w:val="none"/>
          <w:u w:val="single"/>
          <w:lang w:val="en-US" w:eastAsia="zh-CN"/>
        </w:rPr>
        <w:t>08</w:t>
      </w:r>
      <w:r>
        <w:rPr>
          <w:rFonts w:hint="eastAsia"/>
          <w:szCs w:val="21"/>
          <w:highlight w:val="none"/>
        </w:rPr>
        <w:t>月</w:t>
      </w:r>
      <w:r>
        <w:rPr>
          <w:rFonts w:hint="eastAsia"/>
          <w:szCs w:val="21"/>
          <w:highlight w:val="none"/>
          <w:u w:val="single"/>
          <w:lang w:val="en-US" w:eastAsia="zh-CN"/>
        </w:rPr>
        <w:t>06</w:t>
      </w:r>
      <w:r>
        <w:rPr>
          <w:rFonts w:hint="eastAsia"/>
          <w:szCs w:val="21"/>
          <w:highlight w:val="none"/>
        </w:rPr>
        <w:t>日</w:t>
      </w:r>
      <w:r>
        <w:rPr>
          <w:rFonts w:hint="eastAsia"/>
          <w:szCs w:val="21"/>
          <w:highlight w:val="none"/>
          <w:u w:val="single"/>
          <w:lang w:val="en-US" w:eastAsia="zh-CN"/>
        </w:rPr>
        <w:t>00</w:t>
      </w:r>
      <w:r>
        <w:rPr>
          <w:rFonts w:hint="eastAsia"/>
          <w:szCs w:val="21"/>
          <w:highlight w:val="none"/>
        </w:rPr>
        <w:t>时</w:t>
      </w:r>
      <w:r>
        <w:rPr>
          <w:rFonts w:hint="eastAsia"/>
          <w:szCs w:val="21"/>
          <w:highlight w:val="none"/>
          <w:u w:val="single"/>
          <w:lang w:val="en-US" w:eastAsia="zh-CN"/>
        </w:rPr>
        <w:t>00</w:t>
      </w:r>
      <w:r>
        <w:rPr>
          <w:rFonts w:hint="eastAsia"/>
          <w:szCs w:val="21"/>
          <w:highlight w:val="none"/>
        </w:rPr>
        <w:t>分至</w:t>
      </w:r>
      <w:r>
        <w:rPr>
          <w:rFonts w:hint="eastAsia"/>
          <w:szCs w:val="21"/>
          <w:highlight w:val="none"/>
          <w:u w:val="single"/>
          <w:lang w:val="en-US" w:eastAsia="zh-CN"/>
        </w:rPr>
        <w:t>2025</w:t>
      </w:r>
      <w:r>
        <w:rPr>
          <w:rFonts w:hint="eastAsia"/>
          <w:szCs w:val="21"/>
          <w:highlight w:val="none"/>
        </w:rPr>
        <w:t>年</w:t>
      </w:r>
      <w:r>
        <w:rPr>
          <w:rFonts w:hint="eastAsia"/>
          <w:szCs w:val="21"/>
          <w:highlight w:val="none"/>
          <w:u w:val="single"/>
          <w:lang w:val="en-US" w:eastAsia="zh-CN"/>
        </w:rPr>
        <w:t>08</w:t>
      </w:r>
      <w:r>
        <w:rPr>
          <w:rFonts w:hint="eastAsia"/>
          <w:szCs w:val="21"/>
          <w:highlight w:val="none"/>
        </w:rPr>
        <w:t>月</w:t>
      </w:r>
      <w:r>
        <w:rPr>
          <w:rFonts w:hint="eastAsia"/>
          <w:szCs w:val="21"/>
          <w:highlight w:val="none"/>
          <w:u w:val="single"/>
          <w:lang w:val="en-US" w:eastAsia="zh-CN"/>
        </w:rPr>
        <w:t>26</w:t>
      </w:r>
      <w:r>
        <w:rPr>
          <w:rFonts w:hint="eastAsia"/>
          <w:szCs w:val="21"/>
          <w:highlight w:val="none"/>
        </w:rPr>
        <w:t>日</w:t>
      </w:r>
      <w:r>
        <w:rPr>
          <w:rFonts w:hint="eastAsia"/>
          <w:szCs w:val="21"/>
          <w:highlight w:val="none"/>
          <w:u w:val="single"/>
          <w:lang w:val="en-US" w:eastAsia="zh-CN"/>
        </w:rPr>
        <w:t>10</w:t>
      </w:r>
      <w:r>
        <w:rPr>
          <w:rFonts w:hint="eastAsia"/>
          <w:szCs w:val="21"/>
          <w:highlight w:val="none"/>
        </w:rPr>
        <w:t>时</w:t>
      </w:r>
      <w:r>
        <w:rPr>
          <w:rFonts w:hint="eastAsia"/>
          <w:szCs w:val="21"/>
          <w:highlight w:val="none"/>
          <w:u w:val="single"/>
          <w:lang w:val="en-US" w:eastAsia="zh-CN"/>
        </w:rPr>
        <w:t>30</w:t>
      </w:r>
      <w:r>
        <w:rPr>
          <w:rFonts w:hint="eastAsia"/>
          <w:szCs w:val="21"/>
          <w:highlight w:val="none"/>
        </w:rPr>
        <w:t>分</w:t>
      </w:r>
    </w:p>
    <w:p w14:paraId="6AE2B1AF">
      <w:pPr>
        <w:spacing w:line="360" w:lineRule="auto"/>
        <w:ind w:firstLine="420" w:firstLineChars="200"/>
        <w:rPr>
          <w:rFonts w:hint="eastAsia" w:ascii="楷体_GB2312" w:hAnsi="楷体_GB2312" w:eastAsia="楷体_GB2312" w:cs="楷体_GB2312"/>
          <w:szCs w:val="21"/>
          <w:highlight w:val="none"/>
        </w:rPr>
      </w:pPr>
      <w:r>
        <w:rPr>
          <w:rFonts w:hint="eastAsia" w:ascii="楷体_GB2312" w:hAnsi="楷体_GB2312" w:eastAsia="楷体_GB2312" w:cs="楷体_GB2312"/>
          <w:szCs w:val="21"/>
          <w:highlight w:val="none"/>
        </w:rPr>
        <w:t>注：本公告发布之日起开始发布招标文件，发布招标公告的时间为招标公告发出之日起至递交投标文件截止时间止,并从招标公告发布之日起开始计算备标时间。</w:t>
      </w:r>
    </w:p>
    <w:p w14:paraId="35DF2174">
      <w:pPr>
        <w:spacing w:line="360" w:lineRule="auto"/>
        <w:ind w:firstLine="420" w:firstLineChars="200"/>
        <w:rPr>
          <w:rFonts w:hint="eastAsia" w:ascii="宋体" w:hAnsi="宋体" w:cs="宋体"/>
          <w:szCs w:val="21"/>
          <w:highlight w:val="none"/>
        </w:rPr>
      </w:pPr>
      <w:r>
        <w:rPr>
          <w:rFonts w:hint="eastAsia"/>
          <w:szCs w:val="21"/>
          <w:highlight w:val="none"/>
        </w:rPr>
        <w:t>4.3</w:t>
      </w:r>
      <w:r>
        <w:rPr>
          <w:rFonts w:hint="eastAsia" w:ascii="宋体" w:hAnsi="宋体" w:cs="宋体"/>
          <w:szCs w:val="21"/>
          <w:highlight w:val="none"/>
        </w:rPr>
        <w:t>本项目招标文件随招标公告一并在</w:t>
      </w:r>
      <w:r>
        <w:rPr>
          <w:rFonts w:hint="eastAsia" w:ascii="宋体" w:hAnsi="宋体" w:cs="宋体"/>
          <w:szCs w:val="21"/>
          <w:highlight w:val="none"/>
          <w:u w:val="single"/>
        </w:rPr>
        <w:t>广州交易集团有限公司（广州公共资源交易中心）官网（网址：http://www.gzggzy.cn）</w:t>
      </w:r>
      <w:r>
        <w:rPr>
          <w:rFonts w:hint="eastAsia" w:ascii="宋体" w:hAnsi="宋体" w:cs="宋体"/>
          <w:szCs w:val="21"/>
          <w:highlight w:val="none"/>
        </w:rPr>
        <w:t>交易平台发布。招标文件一经在交易平台发布，视为发出给投标人，招标文件由投标人自行在交易平台下载。</w:t>
      </w:r>
    </w:p>
    <w:p w14:paraId="10EA16A9">
      <w:pPr>
        <w:pStyle w:val="7"/>
        <w:rPr>
          <w:rFonts w:hint="eastAsia"/>
        </w:rPr>
      </w:pPr>
    </w:p>
    <w:p w14:paraId="0182C9C4">
      <w:pPr>
        <w:pStyle w:val="4"/>
        <w:rPr>
          <w:rFonts w:hint="eastAsia"/>
          <w:highlight w:val="none"/>
        </w:rPr>
      </w:pPr>
      <w:bookmarkStart w:id="41" w:name="_Toc22166"/>
      <w:bookmarkStart w:id="42" w:name="_Toc30981"/>
      <w:bookmarkStart w:id="43" w:name="_Toc3884"/>
      <w:bookmarkStart w:id="44" w:name="_Toc18670"/>
      <w:bookmarkStart w:id="45" w:name="_Toc30270"/>
      <w:bookmarkStart w:id="46" w:name="_Toc492300550"/>
      <w:bookmarkStart w:id="47" w:name="_Toc16837"/>
      <w:bookmarkStart w:id="48" w:name="_Toc3582"/>
      <w:bookmarkStart w:id="49" w:name="_Toc13305"/>
      <w:bookmarkStart w:id="50" w:name="_Toc6915"/>
      <w:bookmarkStart w:id="51" w:name="_Toc14445"/>
      <w:bookmarkStart w:id="52" w:name="_Toc8942"/>
      <w:bookmarkStart w:id="53" w:name="_Toc4976"/>
      <w:bookmarkStart w:id="54" w:name="_Toc28330"/>
      <w:bookmarkStart w:id="55" w:name="_Toc5954"/>
      <w:bookmarkStart w:id="56" w:name="_Toc996"/>
      <w:bookmarkStart w:id="57" w:name="_Toc5148"/>
      <w:bookmarkStart w:id="58" w:name="_Toc14276"/>
      <w:bookmarkStart w:id="59" w:name="_Toc25776"/>
      <w:bookmarkStart w:id="60" w:name="_Toc3643"/>
      <w:bookmarkStart w:id="61" w:name="_Toc492300551"/>
      <w:bookmarkStart w:id="62" w:name="_Toc9454"/>
      <w:r>
        <w:rPr>
          <w:rFonts w:hint="eastAsia"/>
          <w:highlight w:val="none"/>
        </w:rPr>
        <w:t>5.投标文件的递交</w:t>
      </w:r>
      <w:bookmarkEnd w:id="41"/>
      <w:bookmarkEnd w:id="42"/>
      <w:bookmarkEnd w:id="43"/>
      <w:bookmarkEnd w:id="44"/>
      <w:bookmarkEnd w:id="45"/>
      <w:bookmarkEnd w:id="46"/>
      <w:bookmarkEnd w:id="47"/>
      <w:bookmarkEnd w:id="48"/>
      <w:bookmarkEnd w:id="49"/>
      <w:bookmarkEnd w:id="50"/>
      <w:bookmarkEnd w:id="51"/>
    </w:p>
    <w:p w14:paraId="2ACBE6B1">
      <w:pPr>
        <w:tabs>
          <w:tab w:val="left" w:pos="360"/>
        </w:tabs>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5.1 投标文件</w:t>
      </w:r>
      <w:r>
        <w:rPr>
          <w:rFonts w:hint="eastAsia" w:ascii="宋体" w:hAnsi="宋体" w:cs="宋体"/>
          <w:sz w:val="21"/>
          <w:szCs w:val="21"/>
          <w:highlight w:val="none"/>
          <w:u w:val="single"/>
        </w:rPr>
        <w:t>（投标文件由评标部分和定标部分组成）</w:t>
      </w:r>
      <w:r>
        <w:rPr>
          <w:rFonts w:hint="eastAsia" w:ascii="宋体" w:hAnsi="宋体" w:cs="宋体"/>
          <w:szCs w:val="21"/>
          <w:highlight w:val="none"/>
        </w:rPr>
        <w:t>递交的截止时间（投标截止时间，下同）为</w:t>
      </w:r>
      <w:r>
        <w:rPr>
          <w:rFonts w:hint="eastAsia"/>
          <w:szCs w:val="21"/>
          <w:highlight w:val="none"/>
          <w:u w:val="single"/>
          <w:lang w:val="en-US" w:eastAsia="zh-CN"/>
        </w:rPr>
        <w:t>2025</w:t>
      </w:r>
      <w:r>
        <w:rPr>
          <w:rFonts w:hint="eastAsia"/>
          <w:szCs w:val="21"/>
          <w:highlight w:val="none"/>
        </w:rPr>
        <w:t>年</w:t>
      </w:r>
      <w:r>
        <w:rPr>
          <w:rFonts w:hint="eastAsia"/>
          <w:szCs w:val="21"/>
          <w:highlight w:val="none"/>
          <w:u w:val="single"/>
          <w:lang w:val="en-US" w:eastAsia="zh-CN"/>
        </w:rPr>
        <w:t>08</w:t>
      </w:r>
      <w:r>
        <w:rPr>
          <w:rFonts w:hint="eastAsia"/>
          <w:szCs w:val="21"/>
          <w:highlight w:val="none"/>
        </w:rPr>
        <w:t>月</w:t>
      </w:r>
      <w:r>
        <w:rPr>
          <w:rFonts w:hint="eastAsia"/>
          <w:szCs w:val="21"/>
          <w:highlight w:val="none"/>
          <w:u w:val="single"/>
          <w:lang w:val="en-US" w:eastAsia="zh-CN"/>
        </w:rPr>
        <w:t>26</w:t>
      </w:r>
      <w:r>
        <w:rPr>
          <w:rFonts w:hint="eastAsia"/>
          <w:szCs w:val="21"/>
          <w:highlight w:val="none"/>
        </w:rPr>
        <w:t>日</w:t>
      </w:r>
      <w:r>
        <w:rPr>
          <w:rFonts w:hint="eastAsia"/>
          <w:szCs w:val="21"/>
          <w:highlight w:val="none"/>
          <w:u w:val="single"/>
          <w:lang w:val="en-US" w:eastAsia="zh-CN"/>
        </w:rPr>
        <w:t>10</w:t>
      </w:r>
      <w:r>
        <w:rPr>
          <w:rFonts w:hint="eastAsia"/>
          <w:szCs w:val="21"/>
          <w:highlight w:val="none"/>
        </w:rPr>
        <w:t>时</w:t>
      </w:r>
      <w:r>
        <w:rPr>
          <w:rFonts w:hint="eastAsia"/>
          <w:szCs w:val="21"/>
          <w:highlight w:val="none"/>
          <w:u w:val="single"/>
          <w:lang w:val="en-US" w:eastAsia="zh-CN"/>
        </w:rPr>
        <w:t>30</w:t>
      </w:r>
      <w:r>
        <w:rPr>
          <w:rFonts w:hint="eastAsia"/>
          <w:szCs w:val="21"/>
          <w:highlight w:val="none"/>
        </w:rPr>
        <w:t>分</w:t>
      </w:r>
      <w:r>
        <w:rPr>
          <w:rFonts w:hint="eastAsia" w:ascii="宋体" w:hAnsi="宋体" w:cs="宋体"/>
          <w:szCs w:val="21"/>
          <w:highlight w:val="none"/>
        </w:rPr>
        <w:t>，投标人应在截止时间前通过</w:t>
      </w:r>
      <w:r>
        <w:rPr>
          <w:rFonts w:hint="eastAsia" w:ascii="宋体" w:hAnsi="宋体" w:cs="宋体"/>
          <w:szCs w:val="21"/>
          <w:highlight w:val="none"/>
          <w:u w:val="single"/>
        </w:rPr>
        <w:t>广州交易集团有限公司（广州公共资源交易中心）官网（网址：http://www.gzggzy.cn）</w:t>
      </w:r>
      <w:r>
        <w:rPr>
          <w:rFonts w:hint="eastAsia" w:ascii="宋体" w:hAnsi="宋体" w:cs="宋体"/>
          <w:szCs w:val="21"/>
          <w:highlight w:val="none"/>
        </w:rPr>
        <w:t>递交电子投标文件。投标人完成电子投标文件上传后，交易平台即时向投标人发出递交回执通知。递交时间以递交回执通知载明的传输完成时间为准。</w:t>
      </w:r>
    </w:p>
    <w:p w14:paraId="2E013422">
      <w:pPr>
        <w:widowControl/>
        <w:topLinePunct/>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在投标截止时间后</w:t>
      </w:r>
      <w:r>
        <w:rPr>
          <w:rFonts w:hint="eastAsia" w:ascii="宋体" w:hAnsi="宋体" w:cs="宋体"/>
          <w:szCs w:val="21"/>
          <w:highlight w:val="none"/>
          <w:u w:val="single"/>
        </w:rPr>
        <w:t>一</w:t>
      </w:r>
      <w:r>
        <w:rPr>
          <w:rFonts w:hint="eastAsia" w:ascii="宋体" w:hAnsi="宋体" w:cs="宋体"/>
          <w:szCs w:val="21"/>
          <w:highlight w:val="none"/>
        </w:rPr>
        <w:t>小时内，投标人通过</w:t>
      </w:r>
      <w:r>
        <w:rPr>
          <w:rFonts w:hint="eastAsia" w:ascii="宋体" w:hAnsi="宋体" w:cs="宋体"/>
          <w:szCs w:val="21"/>
          <w:highlight w:val="none"/>
          <w:u w:val="single"/>
        </w:rPr>
        <w:t>广州交易集团有限公司（广州公共资源交易中心）官网（网址：http://www.gzggzy.cn）</w:t>
      </w:r>
      <w:r>
        <w:rPr>
          <w:rFonts w:hint="eastAsia" w:ascii="宋体" w:hAnsi="宋体" w:cs="宋体"/>
          <w:szCs w:val="21"/>
          <w:highlight w:val="none"/>
        </w:rPr>
        <w:t>对已递交的电子投标文件进行解密。</w:t>
      </w:r>
    </w:p>
    <w:p w14:paraId="0D1C7214">
      <w:pPr>
        <w:pStyle w:val="9"/>
        <w:tabs>
          <w:tab w:val="left" w:pos="3492"/>
          <w:tab w:val="left" w:pos="7063"/>
        </w:tabs>
        <w:kinsoku w:val="0"/>
        <w:overflowPunct w:val="0"/>
        <w:autoSpaceDE w:val="0"/>
        <w:autoSpaceDN w:val="0"/>
        <w:spacing w:line="360" w:lineRule="auto"/>
        <w:ind w:right="113" w:firstLine="424" w:firstLineChars="202"/>
        <w:rPr>
          <w:rFonts w:hint="eastAsia"/>
          <w:szCs w:val="21"/>
          <w:highlight w:val="none"/>
          <w:u w:val="single"/>
        </w:rPr>
      </w:pPr>
      <w:r>
        <w:rPr>
          <w:rFonts w:hint="eastAsia" w:ascii="宋体" w:hAnsi="宋体" w:cs="宋体"/>
          <w:szCs w:val="21"/>
          <w:highlight w:val="none"/>
        </w:rPr>
        <w:t>5.2 投标人应在递交投标文件截止时间前，登录</w:t>
      </w:r>
      <w:r>
        <w:rPr>
          <w:rFonts w:hint="eastAsia" w:ascii="宋体" w:hAnsi="宋体" w:cs="宋体"/>
          <w:szCs w:val="21"/>
          <w:highlight w:val="none"/>
          <w:u w:val="single"/>
        </w:rPr>
        <w:t>广州交易集团有限公司（广州公共资源交易中心）官网（网址：http://www.gzggzy.cn）</w:t>
      </w:r>
      <w:r>
        <w:rPr>
          <w:rFonts w:hint="eastAsia" w:ascii="宋体" w:hAnsi="宋体" w:cs="宋体"/>
          <w:szCs w:val="21"/>
          <w:highlight w:val="none"/>
        </w:rPr>
        <w:t>交易平台办理网上投标登记手续；投标登记时间（含本日）</w:t>
      </w:r>
      <w:r>
        <w:rPr>
          <w:rFonts w:hint="eastAsia"/>
          <w:szCs w:val="21"/>
          <w:highlight w:val="none"/>
        </w:rPr>
        <w:t>：</w:t>
      </w:r>
      <w:r>
        <w:rPr>
          <w:rFonts w:hint="eastAsia"/>
          <w:szCs w:val="21"/>
          <w:highlight w:val="none"/>
          <w:u w:val="single"/>
          <w:lang w:val="en-US" w:eastAsia="zh-CN"/>
        </w:rPr>
        <w:t>2025</w:t>
      </w:r>
      <w:r>
        <w:rPr>
          <w:rFonts w:hint="eastAsia"/>
          <w:szCs w:val="21"/>
          <w:highlight w:val="none"/>
        </w:rPr>
        <w:t>年</w:t>
      </w:r>
      <w:r>
        <w:rPr>
          <w:rFonts w:hint="eastAsia"/>
          <w:szCs w:val="21"/>
          <w:highlight w:val="none"/>
          <w:u w:val="single"/>
          <w:lang w:val="en-US" w:eastAsia="zh-CN"/>
        </w:rPr>
        <w:t>08</w:t>
      </w:r>
      <w:r>
        <w:rPr>
          <w:rFonts w:hint="eastAsia"/>
          <w:szCs w:val="21"/>
          <w:highlight w:val="none"/>
        </w:rPr>
        <w:t>月</w:t>
      </w:r>
      <w:r>
        <w:rPr>
          <w:rFonts w:hint="eastAsia"/>
          <w:szCs w:val="21"/>
          <w:highlight w:val="none"/>
          <w:u w:val="single"/>
          <w:lang w:val="en-US" w:eastAsia="zh-CN"/>
        </w:rPr>
        <w:t>06</w:t>
      </w:r>
      <w:r>
        <w:rPr>
          <w:rFonts w:hint="eastAsia"/>
          <w:szCs w:val="21"/>
          <w:highlight w:val="none"/>
        </w:rPr>
        <w:t>日</w:t>
      </w:r>
      <w:r>
        <w:rPr>
          <w:rFonts w:hint="eastAsia"/>
          <w:szCs w:val="21"/>
          <w:highlight w:val="none"/>
          <w:u w:val="single"/>
          <w:lang w:val="en-US" w:eastAsia="zh-CN"/>
        </w:rPr>
        <w:t>00</w:t>
      </w:r>
      <w:r>
        <w:rPr>
          <w:rFonts w:hint="eastAsia"/>
          <w:szCs w:val="21"/>
          <w:highlight w:val="none"/>
        </w:rPr>
        <w:t>时</w:t>
      </w:r>
      <w:r>
        <w:rPr>
          <w:rFonts w:hint="eastAsia"/>
          <w:szCs w:val="21"/>
          <w:highlight w:val="none"/>
          <w:u w:val="single"/>
          <w:lang w:val="en-US" w:eastAsia="zh-CN"/>
        </w:rPr>
        <w:t>00</w:t>
      </w:r>
      <w:r>
        <w:rPr>
          <w:rFonts w:hint="eastAsia"/>
          <w:szCs w:val="21"/>
          <w:highlight w:val="none"/>
        </w:rPr>
        <w:t>分至</w:t>
      </w:r>
      <w:r>
        <w:rPr>
          <w:rFonts w:hint="eastAsia"/>
          <w:szCs w:val="21"/>
          <w:highlight w:val="none"/>
          <w:u w:val="single"/>
          <w:lang w:val="en-US" w:eastAsia="zh-CN"/>
        </w:rPr>
        <w:t>2025</w:t>
      </w:r>
      <w:r>
        <w:rPr>
          <w:rFonts w:hint="eastAsia"/>
          <w:szCs w:val="21"/>
          <w:highlight w:val="none"/>
        </w:rPr>
        <w:t>年</w:t>
      </w:r>
      <w:r>
        <w:rPr>
          <w:rFonts w:hint="eastAsia"/>
          <w:szCs w:val="21"/>
          <w:highlight w:val="none"/>
          <w:u w:val="single"/>
          <w:lang w:val="en-US" w:eastAsia="zh-CN"/>
        </w:rPr>
        <w:t>08</w:t>
      </w:r>
      <w:r>
        <w:rPr>
          <w:rFonts w:hint="eastAsia"/>
          <w:szCs w:val="21"/>
          <w:highlight w:val="none"/>
        </w:rPr>
        <w:t>月</w:t>
      </w:r>
      <w:r>
        <w:rPr>
          <w:rFonts w:hint="eastAsia"/>
          <w:szCs w:val="21"/>
          <w:highlight w:val="none"/>
          <w:u w:val="single"/>
          <w:lang w:val="en-US" w:eastAsia="zh-CN"/>
        </w:rPr>
        <w:t>26</w:t>
      </w:r>
      <w:r>
        <w:rPr>
          <w:rFonts w:hint="eastAsia"/>
          <w:szCs w:val="21"/>
          <w:highlight w:val="none"/>
        </w:rPr>
        <w:t>日</w:t>
      </w:r>
      <w:r>
        <w:rPr>
          <w:rFonts w:hint="eastAsia"/>
          <w:szCs w:val="21"/>
          <w:highlight w:val="none"/>
          <w:u w:val="single"/>
          <w:lang w:val="en-US" w:eastAsia="zh-CN"/>
        </w:rPr>
        <w:t>10</w:t>
      </w:r>
      <w:r>
        <w:rPr>
          <w:rFonts w:hint="eastAsia"/>
          <w:szCs w:val="21"/>
          <w:highlight w:val="none"/>
        </w:rPr>
        <w:t>时</w:t>
      </w:r>
      <w:r>
        <w:rPr>
          <w:rFonts w:hint="eastAsia"/>
          <w:szCs w:val="21"/>
          <w:highlight w:val="none"/>
          <w:u w:val="single"/>
          <w:lang w:val="en-US" w:eastAsia="zh-CN"/>
        </w:rPr>
        <w:t>30</w:t>
      </w:r>
      <w:r>
        <w:rPr>
          <w:rFonts w:hint="eastAsia"/>
          <w:szCs w:val="21"/>
          <w:highlight w:val="none"/>
        </w:rPr>
        <w:t>分。</w:t>
      </w:r>
    </w:p>
    <w:p w14:paraId="1ADFA8D8">
      <w:pPr>
        <w:pStyle w:val="9"/>
        <w:tabs>
          <w:tab w:val="left" w:pos="3492"/>
          <w:tab w:val="left" w:pos="7063"/>
        </w:tabs>
        <w:kinsoku w:val="0"/>
        <w:overflowPunct w:val="0"/>
        <w:autoSpaceDE w:val="0"/>
        <w:autoSpaceDN w:val="0"/>
        <w:spacing w:line="360" w:lineRule="auto"/>
        <w:ind w:right="113" w:firstLine="424" w:firstLineChars="202"/>
        <w:rPr>
          <w:rFonts w:hint="eastAsia" w:ascii="楷体_GB2312" w:hAnsi="楷体_GB2312" w:eastAsia="楷体_GB2312" w:cs="楷体_GB2312"/>
          <w:szCs w:val="21"/>
          <w:highlight w:val="none"/>
        </w:rPr>
      </w:pPr>
      <w:r>
        <w:rPr>
          <w:rFonts w:hint="eastAsia" w:ascii="楷体_GB2312" w:hAnsi="楷体_GB2312" w:eastAsia="楷体_GB2312" w:cs="楷体_GB2312"/>
          <w:szCs w:val="21"/>
          <w:highlight w:val="none"/>
        </w:rPr>
        <w:t>注：详见电子招标投标交易平台网站发布的最新版操作指引。</w:t>
      </w:r>
    </w:p>
    <w:p w14:paraId="29F5E577">
      <w:pPr>
        <w:tabs>
          <w:tab w:val="left" w:pos="360"/>
        </w:tabs>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5.3 开标开始时间：</w:t>
      </w:r>
      <w:r>
        <w:rPr>
          <w:rFonts w:hint="eastAsia"/>
          <w:szCs w:val="21"/>
          <w:highlight w:val="none"/>
          <w:u w:val="single"/>
          <w:lang w:val="en-US" w:eastAsia="zh-CN"/>
        </w:rPr>
        <w:t>2025</w:t>
      </w:r>
      <w:r>
        <w:rPr>
          <w:rFonts w:hint="eastAsia"/>
          <w:szCs w:val="21"/>
          <w:highlight w:val="none"/>
        </w:rPr>
        <w:t>年</w:t>
      </w:r>
      <w:r>
        <w:rPr>
          <w:rFonts w:hint="eastAsia"/>
          <w:szCs w:val="21"/>
          <w:highlight w:val="none"/>
          <w:u w:val="single"/>
          <w:lang w:val="en-US" w:eastAsia="zh-CN"/>
        </w:rPr>
        <w:t>08</w:t>
      </w:r>
      <w:r>
        <w:rPr>
          <w:rFonts w:hint="eastAsia"/>
          <w:szCs w:val="21"/>
          <w:highlight w:val="none"/>
        </w:rPr>
        <w:t>月</w:t>
      </w:r>
      <w:r>
        <w:rPr>
          <w:rFonts w:hint="eastAsia"/>
          <w:szCs w:val="21"/>
          <w:highlight w:val="none"/>
          <w:u w:val="single"/>
          <w:lang w:val="en-US" w:eastAsia="zh-CN"/>
        </w:rPr>
        <w:t>26</w:t>
      </w:r>
      <w:r>
        <w:rPr>
          <w:rFonts w:hint="eastAsia"/>
          <w:szCs w:val="21"/>
          <w:highlight w:val="none"/>
        </w:rPr>
        <w:t>日</w:t>
      </w:r>
      <w:r>
        <w:rPr>
          <w:rFonts w:hint="eastAsia"/>
          <w:szCs w:val="21"/>
          <w:highlight w:val="none"/>
          <w:u w:val="single"/>
          <w:lang w:val="en-US" w:eastAsia="zh-CN"/>
        </w:rPr>
        <w:t>10</w:t>
      </w:r>
      <w:r>
        <w:rPr>
          <w:rFonts w:hint="eastAsia"/>
          <w:szCs w:val="21"/>
          <w:highlight w:val="none"/>
        </w:rPr>
        <w:t>时</w:t>
      </w:r>
      <w:r>
        <w:rPr>
          <w:rFonts w:hint="eastAsia"/>
          <w:szCs w:val="21"/>
          <w:highlight w:val="none"/>
          <w:u w:val="single"/>
          <w:lang w:val="en-US" w:eastAsia="zh-CN"/>
        </w:rPr>
        <w:t>30</w:t>
      </w:r>
      <w:r>
        <w:rPr>
          <w:rFonts w:hint="eastAsia"/>
          <w:szCs w:val="21"/>
          <w:highlight w:val="none"/>
        </w:rPr>
        <w:t>分</w:t>
      </w:r>
      <w:r>
        <w:rPr>
          <w:rFonts w:hint="eastAsia" w:ascii="宋体" w:hAnsi="宋体" w:cs="宋体"/>
          <w:szCs w:val="21"/>
          <w:highlight w:val="none"/>
        </w:rPr>
        <w:t>；地点：</w:t>
      </w:r>
      <w:r>
        <w:rPr>
          <w:rFonts w:hint="eastAsia" w:ascii="宋体" w:hAnsi="宋体" w:eastAsia="宋体" w:cs="宋体"/>
          <w:bCs/>
          <w:color w:val="auto"/>
          <w:kern w:val="0"/>
          <w:szCs w:val="21"/>
          <w:highlight w:val="none"/>
          <w:u w:val="single"/>
          <w:lang w:eastAsia="zh-CN"/>
        </w:rPr>
        <w:t>广州交易集团有限公司（广州公共资源交易中心）</w:t>
      </w:r>
      <w:r>
        <w:rPr>
          <w:rFonts w:hint="eastAsia" w:ascii="宋体" w:hAnsi="宋体" w:eastAsia="宋体" w:cs="宋体"/>
          <w:bCs/>
          <w:color w:val="auto"/>
          <w:kern w:val="0"/>
          <w:szCs w:val="21"/>
          <w:highlight w:val="none"/>
          <w:u w:val="single"/>
        </w:rPr>
        <w:t>（</w:t>
      </w:r>
      <w:r>
        <w:rPr>
          <w:rFonts w:hint="eastAsia" w:ascii="宋体" w:hAnsi="宋体" w:eastAsia="宋体" w:cs="宋体"/>
          <w:bCs/>
          <w:i w:val="0"/>
          <w:iCs w:val="0"/>
          <w:caps w:val="0"/>
          <w:color w:val="auto"/>
          <w:spacing w:val="0"/>
          <w:kern w:val="0"/>
          <w:sz w:val="21"/>
          <w:szCs w:val="21"/>
          <w:highlight w:val="none"/>
          <w:u w:val="single"/>
          <w:shd w:val="clear" w:color="auto" w:fill="auto"/>
        </w:rPr>
        <w:t>天润路333号</w:t>
      </w:r>
      <w:r>
        <w:rPr>
          <w:rFonts w:hint="eastAsia" w:ascii="宋体" w:hAnsi="宋体" w:eastAsia="宋体" w:cs="宋体"/>
          <w:bCs/>
          <w:color w:val="auto"/>
          <w:kern w:val="0"/>
          <w:szCs w:val="21"/>
          <w:highlight w:val="none"/>
          <w:u w:val="single"/>
        </w:rPr>
        <w:t>）开标室</w:t>
      </w:r>
      <w:r>
        <w:rPr>
          <w:rFonts w:hint="eastAsia" w:ascii="宋体" w:hAnsi="宋体" w:cs="宋体"/>
          <w:szCs w:val="21"/>
          <w:highlight w:val="none"/>
        </w:rPr>
        <w:t>。</w:t>
      </w:r>
    </w:p>
    <w:p w14:paraId="54B406C0">
      <w:pPr>
        <w:tabs>
          <w:tab w:val="left" w:pos="360"/>
        </w:tabs>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5.4 投标文件光盘（备用）递交时间：</w:t>
      </w:r>
      <w:r>
        <w:rPr>
          <w:rFonts w:hint="eastAsia"/>
          <w:szCs w:val="21"/>
          <w:highlight w:val="none"/>
          <w:u w:val="single"/>
          <w:lang w:val="en-US" w:eastAsia="zh-CN"/>
        </w:rPr>
        <w:t>2025</w:t>
      </w:r>
      <w:r>
        <w:rPr>
          <w:rFonts w:hint="eastAsia"/>
          <w:szCs w:val="21"/>
          <w:highlight w:val="none"/>
        </w:rPr>
        <w:t>年</w:t>
      </w:r>
      <w:r>
        <w:rPr>
          <w:rFonts w:hint="eastAsia"/>
          <w:szCs w:val="21"/>
          <w:highlight w:val="none"/>
          <w:u w:val="single"/>
          <w:lang w:val="en-US" w:eastAsia="zh-CN"/>
        </w:rPr>
        <w:t>08</w:t>
      </w:r>
      <w:r>
        <w:rPr>
          <w:rFonts w:hint="eastAsia"/>
          <w:szCs w:val="21"/>
          <w:highlight w:val="none"/>
        </w:rPr>
        <w:t>月</w:t>
      </w:r>
      <w:r>
        <w:rPr>
          <w:rFonts w:hint="eastAsia"/>
          <w:szCs w:val="21"/>
          <w:highlight w:val="none"/>
          <w:u w:val="single"/>
          <w:lang w:val="en-US" w:eastAsia="zh-CN"/>
        </w:rPr>
        <w:t>26</w:t>
      </w:r>
      <w:r>
        <w:rPr>
          <w:rFonts w:hint="eastAsia"/>
          <w:szCs w:val="21"/>
          <w:highlight w:val="none"/>
        </w:rPr>
        <w:t>日</w:t>
      </w:r>
      <w:r>
        <w:rPr>
          <w:rFonts w:hint="eastAsia"/>
          <w:szCs w:val="21"/>
          <w:highlight w:val="none"/>
          <w:u w:val="single"/>
          <w:lang w:val="en-US" w:eastAsia="zh-CN"/>
        </w:rPr>
        <w:t>10</w:t>
      </w:r>
      <w:r>
        <w:rPr>
          <w:rFonts w:hint="eastAsia"/>
          <w:szCs w:val="21"/>
          <w:highlight w:val="none"/>
        </w:rPr>
        <w:t>时</w:t>
      </w:r>
      <w:r>
        <w:rPr>
          <w:rFonts w:hint="eastAsia"/>
          <w:szCs w:val="21"/>
          <w:highlight w:val="none"/>
          <w:u w:val="single"/>
          <w:lang w:val="en-US" w:eastAsia="zh-CN"/>
        </w:rPr>
        <w:t>15</w:t>
      </w:r>
      <w:r>
        <w:rPr>
          <w:rFonts w:hint="eastAsia"/>
          <w:szCs w:val="21"/>
          <w:highlight w:val="none"/>
        </w:rPr>
        <w:t>分</w:t>
      </w:r>
      <w:r>
        <w:rPr>
          <w:rFonts w:hint="eastAsia"/>
          <w:szCs w:val="18"/>
          <w:highlight w:val="none"/>
        </w:rPr>
        <w:t>至</w:t>
      </w:r>
      <w:r>
        <w:rPr>
          <w:rFonts w:hint="eastAsia"/>
          <w:szCs w:val="21"/>
          <w:highlight w:val="none"/>
          <w:u w:val="single"/>
          <w:lang w:val="en-US" w:eastAsia="zh-CN"/>
        </w:rPr>
        <w:t>2025</w:t>
      </w:r>
      <w:r>
        <w:rPr>
          <w:rFonts w:hint="eastAsia"/>
          <w:szCs w:val="21"/>
          <w:highlight w:val="none"/>
        </w:rPr>
        <w:t>年</w:t>
      </w:r>
      <w:r>
        <w:rPr>
          <w:rFonts w:hint="eastAsia"/>
          <w:szCs w:val="21"/>
          <w:highlight w:val="none"/>
          <w:u w:val="single"/>
          <w:lang w:val="en-US" w:eastAsia="zh-CN"/>
        </w:rPr>
        <w:t>08</w:t>
      </w:r>
      <w:r>
        <w:rPr>
          <w:rFonts w:hint="eastAsia"/>
          <w:szCs w:val="21"/>
          <w:highlight w:val="none"/>
        </w:rPr>
        <w:t>月</w:t>
      </w:r>
      <w:r>
        <w:rPr>
          <w:rFonts w:hint="eastAsia"/>
          <w:szCs w:val="21"/>
          <w:highlight w:val="none"/>
          <w:u w:val="single"/>
          <w:lang w:val="en-US" w:eastAsia="zh-CN"/>
        </w:rPr>
        <w:t>26</w:t>
      </w:r>
      <w:r>
        <w:rPr>
          <w:rFonts w:hint="eastAsia"/>
          <w:szCs w:val="21"/>
          <w:highlight w:val="none"/>
        </w:rPr>
        <w:t>日</w:t>
      </w:r>
      <w:r>
        <w:rPr>
          <w:rFonts w:hint="eastAsia"/>
          <w:szCs w:val="21"/>
          <w:highlight w:val="none"/>
          <w:u w:val="single"/>
          <w:lang w:val="en-US" w:eastAsia="zh-CN"/>
        </w:rPr>
        <w:t>10</w:t>
      </w:r>
      <w:r>
        <w:rPr>
          <w:rFonts w:hint="eastAsia"/>
          <w:szCs w:val="21"/>
          <w:highlight w:val="none"/>
        </w:rPr>
        <w:t>时</w:t>
      </w:r>
      <w:r>
        <w:rPr>
          <w:rFonts w:hint="eastAsia"/>
          <w:szCs w:val="21"/>
          <w:highlight w:val="none"/>
          <w:u w:val="single"/>
          <w:lang w:val="en-US" w:eastAsia="zh-CN"/>
        </w:rPr>
        <w:t>30</w:t>
      </w:r>
      <w:r>
        <w:rPr>
          <w:rFonts w:hint="eastAsia"/>
          <w:szCs w:val="21"/>
          <w:highlight w:val="none"/>
        </w:rPr>
        <w:t>分</w:t>
      </w:r>
      <w:r>
        <w:rPr>
          <w:rFonts w:hint="eastAsia" w:ascii="宋体" w:hAnsi="宋体" w:cs="宋体"/>
          <w:szCs w:val="21"/>
          <w:highlight w:val="none"/>
        </w:rPr>
        <w:t>；地点：</w:t>
      </w:r>
      <w:r>
        <w:rPr>
          <w:rFonts w:hint="eastAsia" w:ascii="宋体" w:hAnsi="宋体" w:eastAsia="宋体" w:cs="宋体"/>
          <w:bCs/>
          <w:color w:val="auto"/>
          <w:kern w:val="0"/>
          <w:szCs w:val="21"/>
          <w:highlight w:val="none"/>
          <w:u w:val="single"/>
          <w:lang w:eastAsia="zh-CN"/>
        </w:rPr>
        <w:t>广州交易集团有限公司（广州公共资源交易中心）</w:t>
      </w:r>
      <w:r>
        <w:rPr>
          <w:rFonts w:hint="eastAsia" w:ascii="宋体" w:hAnsi="宋体" w:eastAsia="宋体" w:cs="宋体"/>
          <w:bCs/>
          <w:color w:val="auto"/>
          <w:kern w:val="0"/>
          <w:szCs w:val="21"/>
          <w:highlight w:val="none"/>
          <w:u w:val="single"/>
        </w:rPr>
        <w:t>（</w:t>
      </w:r>
      <w:r>
        <w:rPr>
          <w:rFonts w:hint="eastAsia" w:ascii="宋体" w:hAnsi="宋体" w:eastAsia="宋体" w:cs="宋体"/>
          <w:bCs/>
          <w:i w:val="0"/>
          <w:iCs w:val="0"/>
          <w:caps w:val="0"/>
          <w:color w:val="auto"/>
          <w:spacing w:val="0"/>
          <w:kern w:val="0"/>
          <w:sz w:val="21"/>
          <w:szCs w:val="21"/>
          <w:highlight w:val="none"/>
          <w:u w:val="single"/>
          <w:shd w:val="clear" w:color="auto" w:fill="auto"/>
        </w:rPr>
        <w:t>天润路333号</w:t>
      </w:r>
      <w:r>
        <w:rPr>
          <w:rFonts w:hint="eastAsia" w:ascii="宋体" w:hAnsi="宋体" w:eastAsia="宋体" w:cs="宋体"/>
          <w:bCs/>
          <w:color w:val="auto"/>
          <w:kern w:val="0"/>
          <w:szCs w:val="21"/>
          <w:highlight w:val="none"/>
          <w:u w:val="single"/>
        </w:rPr>
        <w:t>）开标室</w:t>
      </w:r>
      <w:r>
        <w:rPr>
          <w:rFonts w:hint="eastAsia" w:ascii="宋体" w:hAnsi="宋体" w:cs="宋体"/>
          <w:szCs w:val="21"/>
          <w:highlight w:val="none"/>
        </w:rPr>
        <w:t>。（投标人自行决定是否递交备用电子光盘，若提交电子光盘需则按规定封装。投标人将数据刻录到光盘之后，投标前自行检查文件是否可以读取）。逾期送达的投标文件光盘（备用），招标人将予以拒收。</w:t>
      </w:r>
    </w:p>
    <w:p w14:paraId="7A0C2427">
      <w:pPr>
        <w:tabs>
          <w:tab w:val="left" w:pos="360"/>
        </w:tabs>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5.5 投标文件解密时间为：</w:t>
      </w:r>
      <w:r>
        <w:rPr>
          <w:rFonts w:hint="eastAsia"/>
          <w:szCs w:val="21"/>
          <w:highlight w:val="none"/>
          <w:u w:val="single"/>
          <w:lang w:val="en-US" w:eastAsia="zh-CN"/>
        </w:rPr>
        <w:t>2025</w:t>
      </w:r>
      <w:r>
        <w:rPr>
          <w:rFonts w:hint="eastAsia"/>
          <w:szCs w:val="21"/>
          <w:highlight w:val="none"/>
        </w:rPr>
        <w:t>年</w:t>
      </w:r>
      <w:r>
        <w:rPr>
          <w:rFonts w:hint="eastAsia"/>
          <w:szCs w:val="21"/>
          <w:highlight w:val="none"/>
          <w:u w:val="single"/>
          <w:lang w:val="en-US" w:eastAsia="zh-CN"/>
        </w:rPr>
        <w:t>08</w:t>
      </w:r>
      <w:r>
        <w:rPr>
          <w:rFonts w:hint="eastAsia"/>
          <w:szCs w:val="21"/>
          <w:highlight w:val="none"/>
        </w:rPr>
        <w:t>月</w:t>
      </w:r>
      <w:r>
        <w:rPr>
          <w:rFonts w:hint="eastAsia"/>
          <w:szCs w:val="21"/>
          <w:highlight w:val="none"/>
          <w:u w:val="single"/>
          <w:lang w:val="en-US" w:eastAsia="zh-CN"/>
        </w:rPr>
        <w:t>26</w:t>
      </w:r>
      <w:r>
        <w:rPr>
          <w:rFonts w:hint="eastAsia"/>
          <w:szCs w:val="21"/>
          <w:highlight w:val="none"/>
        </w:rPr>
        <w:t>日</w:t>
      </w:r>
      <w:r>
        <w:rPr>
          <w:rFonts w:hint="eastAsia"/>
          <w:szCs w:val="21"/>
          <w:highlight w:val="none"/>
          <w:u w:val="single"/>
          <w:lang w:val="en-US" w:eastAsia="zh-CN"/>
        </w:rPr>
        <w:t>10</w:t>
      </w:r>
      <w:r>
        <w:rPr>
          <w:rFonts w:hint="eastAsia"/>
          <w:szCs w:val="21"/>
          <w:highlight w:val="none"/>
        </w:rPr>
        <w:t>时</w:t>
      </w:r>
      <w:r>
        <w:rPr>
          <w:rFonts w:hint="eastAsia"/>
          <w:szCs w:val="21"/>
          <w:highlight w:val="none"/>
          <w:u w:val="single"/>
          <w:lang w:val="en-US" w:eastAsia="zh-CN"/>
        </w:rPr>
        <w:t>30</w:t>
      </w:r>
      <w:r>
        <w:rPr>
          <w:rFonts w:hint="eastAsia"/>
          <w:szCs w:val="21"/>
          <w:highlight w:val="none"/>
        </w:rPr>
        <w:t>分</w:t>
      </w:r>
      <w:r>
        <w:rPr>
          <w:rFonts w:hint="eastAsia"/>
          <w:szCs w:val="18"/>
          <w:highlight w:val="none"/>
        </w:rPr>
        <w:t>至</w:t>
      </w:r>
      <w:r>
        <w:rPr>
          <w:rFonts w:hint="eastAsia"/>
          <w:szCs w:val="21"/>
          <w:highlight w:val="none"/>
          <w:u w:val="single"/>
          <w:lang w:val="en-US" w:eastAsia="zh-CN"/>
        </w:rPr>
        <w:t>2025</w:t>
      </w:r>
      <w:r>
        <w:rPr>
          <w:rFonts w:hint="eastAsia"/>
          <w:szCs w:val="21"/>
          <w:highlight w:val="none"/>
        </w:rPr>
        <w:t>年</w:t>
      </w:r>
      <w:r>
        <w:rPr>
          <w:rFonts w:hint="eastAsia"/>
          <w:szCs w:val="21"/>
          <w:highlight w:val="none"/>
          <w:u w:val="single"/>
          <w:lang w:val="en-US" w:eastAsia="zh-CN"/>
        </w:rPr>
        <w:t>08</w:t>
      </w:r>
      <w:r>
        <w:rPr>
          <w:rFonts w:hint="eastAsia"/>
          <w:szCs w:val="21"/>
          <w:highlight w:val="none"/>
        </w:rPr>
        <w:t>月</w:t>
      </w:r>
      <w:r>
        <w:rPr>
          <w:rFonts w:hint="eastAsia"/>
          <w:szCs w:val="21"/>
          <w:highlight w:val="none"/>
          <w:u w:val="single"/>
          <w:lang w:val="en-US" w:eastAsia="zh-CN"/>
        </w:rPr>
        <w:t>26</w:t>
      </w:r>
      <w:r>
        <w:rPr>
          <w:rFonts w:hint="eastAsia"/>
          <w:szCs w:val="21"/>
          <w:highlight w:val="none"/>
        </w:rPr>
        <w:t>日</w:t>
      </w:r>
      <w:r>
        <w:rPr>
          <w:rFonts w:hint="eastAsia"/>
          <w:szCs w:val="21"/>
          <w:highlight w:val="none"/>
          <w:u w:val="single"/>
          <w:lang w:val="en-US" w:eastAsia="zh-CN"/>
        </w:rPr>
        <w:t>11</w:t>
      </w:r>
      <w:r>
        <w:rPr>
          <w:rFonts w:hint="eastAsia"/>
          <w:szCs w:val="21"/>
          <w:highlight w:val="none"/>
        </w:rPr>
        <w:t>时</w:t>
      </w:r>
      <w:r>
        <w:rPr>
          <w:rFonts w:hint="eastAsia"/>
          <w:szCs w:val="21"/>
          <w:highlight w:val="none"/>
          <w:u w:val="single"/>
          <w:lang w:val="en-US" w:eastAsia="zh-CN"/>
        </w:rPr>
        <w:t>30</w:t>
      </w:r>
      <w:r>
        <w:rPr>
          <w:rFonts w:hint="eastAsia"/>
          <w:szCs w:val="21"/>
          <w:highlight w:val="none"/>
        </w:rPr>
        <w:t>分</w:t>
      </w:r>
      <w:r>
        <w:rPr>
          <w:rFonts w:hint="eastAsia" w:ascii="宋体" w:hAnsi="宋体" w:cs="宋体"/>
          <w:szCs w:val="21"/>
          <w:highlight w:val="none"/>
        </w:rPr>
        <w:t>，投标人应在截止时间前通过</w:t>
      </w:r>
      <w:r>
        <w:rPr>
          <w:rFonts w:hint="eastAsia" w:ascii="宋体" w:hAnsi="宋体" w:cs="宋体"/>
          <w:szCs w:val="21"/>
          <w:highlight w:val="none"/>
          <w:u w:val="single"/>
        </w:rPr>
        <w:t>广州交易集团有限公司（广州公共资源交易中心）官网（网址：http://www.gzggzy.cn）</w:t>
      </w:r>
      <w:r>
        <w:rPr>
          <w:rFonts w:hint="eastAsia" w:ascii="宋体" w:hAnsi="宋体" w:cs="宋体"/>
          <w:szCs w:val="21"/>
          <w:highlight w:val="none"/>
        </w:rPr>
        <w:t>对电子投标文件进行投标文件解密。</w:t>
      </w:r>
    </w:p>
    <w:p w14:paraId="49B3C88F">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5.6 逾期送达的投标文件，电子招标投标交易平台将予以拒收。</w:t>
      </w:r>
    </w:p>
    <w:p w14:paraId="2A4C03C4">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5.7 递交投标文件截止时间及开标时间是否有变化，请密切留意</w:t>
      </w:r>
      <w:r>
        <w:rPr>
          <w:rFonts w:hint="eastAsia" w:ascii="宋体" w:hAnsi="宋体" w:cs="宋体"/>
          <w:szCs w:val="21"/>
          <w:highlight w:val="none"/>
          <w:u w:val="single"/>
        </w:rPr>
        <w:t>广州交易集团有限公司（广州公共资源交易中心）官网（网址：http://www.gzggzy.cn）</w:t>
      </w:r>
      <w:r>
        <w:rPr>
          <w:rFonts w:hint="eastAsia" w:ascii="宋体" w:hAnsi="宋体" w:cs="宋体"/>
          <w:szCs w:val="21"/>
          <w:highlight w:val="none"/>
        </w:rPr>
        <w:t>中的相关信息。递交投标文件截止时间后，投标文件评审时间因故推迟的，相关资审信息仍以原递交投标文件截止时间的信息为准。</w:t>
      </w:r>
    </w:p>
    <w:p w14:paraId="65CF0924">
      <w:pPr>
        <w:pStyle w:val="4"/>
        <w:rPr>
          <w:rFonts w:hint="eastAsia"/>
        </w:rPr>
      </w:pPr>
      <w:r>
        <w:rPr>
          <w:rFonts w:hint="eastAsia"/>
        </w:rPr>
        <w:t>6.发布公告的媒介</w:t>
      </w:r>
      <w:bookmarkEnd w:id="52"/>
      <w:bookmarkEnd w:id="53"/>
      <w:bookmarkEnd w:id="54"/>
      <w:bookmarkEnd w:id="55"/>
      <w:bookmarkEnd w:id="56"/>
      <w:bookmarkEnd w:id="57"/>
      <w:bookmarkEnd w:id="58"/>
      <w:bookmarkEnd w:id="59"/>
      <w:bookmarkEnd w:id="60"/>
      <w:bookmarkEnd w:id="61"/>
      <w:bookmarkEnd w:id="62"/>
    </w:p>
    <w:p w14:paraId="715A6786">
      <w:pPr>
        <w:spacing w:line="400" w:lineRule="exact"/>
        <w:ind w:firstLine="420" w:firstLineChars="200"/>
        <w:rPr>
          <w:rFonts w:hint="eastAsia"/>
        </w:rPr>
      </w:pPr>
      <w:r>
        <w:rPr>
          <w:rFonts w:hint="eastAsia" w:ascii="宋体" w:hAnsi="宋体" w:cs="宋体"/>
          <w:szCs w:val="21"/>
        </w:rPr>
        <w:t>本次招标公告同时在</w:t>
      </w:r>
      <w:r>
        <w:rPr>
          <w:rFonts w:hint="eastAsia" w:ascii="宋体" w:hAnsi="宋体" w:cs="宋体"/>
          <w:szCs w:val="21"/>
          <w:u w:val="single"/>
        </w:rPr>
        <w:t>广州交易集团有限公司（广州公共资源交易中心）官网（网址：http://www.gzggzy.cn）</w:t>
      </w:r>
      <w:r>
        <w:rPr>
          <w:rFonts w:hint="eastAsia" w:ascii="宋体" w:hAnsi="宋体" w:cs="宋体"/>
          <w:szCs w:val="21"/>
        </w:rPr>
        <w:t>、广东省招标投标监管网（网址： http://zbtb.gd.gov.cn/login）、中国招标投标公共服务平台（网址：http://www.cebpubservice.com/）上发布。本公告的修改、补充，在</w:t>
      </w:r>
      <w:r>
        <w:rPr>
          <w:rFonts w:hint="eastAsia" w:ascii="宋体" w:hAnsi="宋体" w:cs="宋体"/>
          <w:szCs w:val="21"/>
          <w:u w:val="single"/>
        </w:rPr>
        <w:t xml:space="preserve">           广州交易集团有限公司（广州公共资源交易中心）官网（网址：http://www.gzggzy.cn）</w:t>
      </w:r>
      <w:r>
        <w:rPr>
          <w:rFonts w:hint="eastAsia" w:ascii="宋体" w:hAnsi="宋体" w:cs="宋体"/>
          <w:szCs w:val="21"/>
        </w:rPr>
        <w:t>、广东省招标投标监管网和中国招标投标公共服务平台发布。招标公告、公示信息的发布时间和内容，以在广东省招标投标监管网(网址: http://zbtb.gd.gov.cn/) 发布的为准。本项目相关附件具体详见</w:t>
      </w:r>
      <w:r>
        <w:rPr>
          <w:rFonts w:hint="eastAsia" w:ascii="宋体" w:hAnsi="宋体" w:cs="宋体"/>
          <w:szCs w:val="21"/>
          <w:u w:val="single"/>
        </w:rPr>
        <w:t>广州交易集团有限公司（广州公共资源交易中心）官网（网址：http://www.gzggzy.cn）</w:t>
      </w:r>
      <w:r>
        <w:rPr>
          <w:rFonts w:hint="eastAsia"/>
        </w:rPr>
        <w:t>。</w:t>
      </w:r>
    </w:p>
    <w:p w14:paraId="4CB88715">
      <w:pPr>
        <w:pStyle w:val="7"/>
        <w:rPr>
          <w:rFonts w:hint="eastAsia"/>
          <w:lang w:val="en-US"/>
        </w:rPr>
      </w:pPr>
    </w:p>
    <w:p w14:paraId="7406469D">
      <w:pPr>
        <w:pStyle w:val="4"/>
        <w:rPr>
          <w:rFonts w:hint="eastAsia"/>
        </w:rPr>
      </w:pPr>
      <w:bookmarkStart w:id="63" w:name="_Toc12872"/>
      <w:bookmarkStart w:id="64" w:name="_Toc14159"/>
      <w:bookmarkStart w:id="65" w:name="_Toc31630"/>
      <w:bookmarkStart w:id="66" w:name="_Toc492300552"/>
      <w:bookmarkStart w:id="67" w:name="_Toc17274"/>
      <w:bookmarkStart w:id="68" w:name="_Toc19129"/>
      <w:bookmarkStart w:id="69" w:name="_Toc22894"/>
      <w:bookmarkStart w:id="70" w:name="_Toc29446"/>
      <w:bookmarkStart w:id="71" w:name="_Toc4765"/>
      <w:bookmarkStart w:id="72" w:name="_Toc26465"/>
      <w:bookmarkStart w:id="73" w:name="_Toc2596"/>
      <w:r>
        <w:rPr>
          <w:rFonts w:hint="eastAsia"/>
        </w:rPr>
        <w:t>7.</w:t>
      </w:r>
      <w:bookmarkEnd w:id="63"/>
      <w:bookmarkEnd w:id="64"/>
      <w:bookmarkEnd w:id="65"/>
      <w:bookmarkEnd w:id="66"/>
      <w:bookmarkEnd w:id="67"/>
      <w:bookmarkEnd w:id="68"/>
      <w:bookmarkEnd w:id="69"/>
      <w:bookmarkEnd w:id="70"/>
      <w:bookmarkEnd w:id="71"/>
      <w:bookmarkEnd w:id="72"/>
      <w:r>
        <w:rPr>
          <w:rFonts w:hint="eastAsia"/>
        </w:rPr>
        <w:t>资格审查方式</w:t>
      </w:r>
      <w:bookmarkEnd w:id="73"/>
    </w:p>
    <w:p w14:paraId="57399A8D">
      <w:pPr>
        <w:autoSpaceDE w:val="0"/>
        <w:autoSpaceDN w:val="0"/>
        <w:spacing w:line="360" w:lineRule="auto"/>
        <w:ind w:firstLine="420" w:firstLineChars="200"/>
        <w:rPr>
          <w:rFonts w:hint="eastAsia" w:ascii="宋体" w:hAnsi="宋体" w:cs="宋体"/>
          <w:szCs w:val="21"/>
        </w:rPr>
      </w:pPr>
      <w:r>
        <w:rPr>
          <w:rFonts w:hint="eastAsia" w:ascii="宋体" w:hAnsi="宋体" w:cs="宋体"/>
          <w:szCs w:val="21"/>
        </w:rPr>
        <w:t>7.1 本工程采用资格后审方式，由评标委员会负责资格审查。</w:t>
      </w:r>
    </w:p>
    <w:p w14:paraId="43EBA1F4">
      <w:pPr>
        <w:autoSpaceDE w:val="0"/>
        <w:autoSpaceDN w:val="0"/>
        <w:spacing w:line="360" w:lineRule="auto"/>
        <w:ind w:firstLine="420" w:firstLineChars="200"/>
        <w:rPr>
          <w:rFonts w:hint="eastAsia" w:ascii="宋体" w:hAnsi="宋体" w:cs="宋体"/>
          <w:szCs w:val="21"/>
        </w:rPr>
      </w:pPr>
      <w:r>
        <w:rPr>
          <w:rFonts w:hint="eastAsia" w:ascii="宋体" w:hAnsi="宋体" w:cs="宋体"/>
          <w:szCs w:val="21"/>
        </w:rPr>
        <w:t>7.2 资格审查结果将在</w:t>
      </w:r>
      <w:r>
        <w:rPr>
          <w:rFonts w:hint="eastAsia" w:ascii="宋体" w:hAnsi="宋体" w:cs="宋体"/>
          <w:szCs w:val="21"/>
          <w:u w:val="single"/>
        </w:rPr>
        <w:t>广州交易集团有限公司（广州公共资源交易中心）官网（网址：http://www.gzggzy.cn）</w:t>
      </w:r>
      <w:r>
        <w:rPr>
          <w:rFonts w:hint="eastAsia" w:ascii="宋体" w:hAnsi="宋体" w:cs="宋体"/>
          <w:szCs w:val="21"/>
        </w:rPr>
        <w:t>和广东省招标投标监管网公示，公示时间不得少于3日，最后一天应为工作日。</w:t>
      </w:r>
    </w:p>
    <w:p w14:paraId="6E5BA499">
      <w:pPr>
        <w:pStyle w:val="7"/>
        <w:rPr>
          <w:lang w:val="en-US"/>
        </w:rPr>
      </w:pPr>
    </w:p>
    <w:p w14:paraId="40C8BF6C">
      <w:pPr>
        <w:pStyle w:val="4"/>
        <w:rPr>
          <w:rFonts w:hint="eastAsia"/>
        </w:rPr>
      </w:pPr>
      <w:bookmarkStart w:id="74" w:name="_Toc748"/>
      <w:r>
        <w:rPr>
          <w:rFonts w:hint="eastAsia"/>
        </w:rPr>
        <w:t>8.疑问、异议、投诉处理</w:t>
      </w:r>
      <w:bookmarkEnd w:id="74"/>
    </w:p>
    <w:p w14:paraId="3E92F0BE">
      <w:pPr>
        <w:autoSpaceDE w:val="0"/>
        <w:autoSpaceDN w:val="0"/>
        <w:spacing w:line="360" w:lineRule="auto"/>
        <w:ind w:firstLine="420" w:firstLineChars="200"/>
        <w:rPr>
          <w:rFonts w:hint="eastAsia" w:ascii="宋体" w:hAnsi="宋体" w:cs="宋体"/>
          <w:szCs w:val="21"/>
        </w:rPr>
      </w:pPr>
      <w:r>
        <w:rPr>
          <w:rFonts w:hint="eastAsia" w:ascii="宋体" w:hAnsi="宋体" w:cs="宋体"/>
          <w:szCs w:val="21"/>
        </w:rPr>
        <w:t xml:space="preserve">8.1 </w:t>
      </w:r>
      <w:r>
        <w:rPr>
          <w:rFonts w:ascii="宋体" w:hAnsi="宋体" w:cs="宋体"/>
          <w:szCs w:val="21"/>
        </w:rPr>
        <w:t>关于疑问、异议、投诉的基本概念和处理程序详见《中华人民共和国招标投标法》、《中华人民共和国招标投标法实施条例》、《工程建设项目招标投标活动投诉处理办法》</w:t>
      </w:r>
      <w:r>
        <w:rPr>
          <w:rFonts w:hint="eastAsia" w:ascii="宋体" w:hAnsi="宋体" w:cs="宋体"/>
          <w:szCs w:val="21"/>
        </w:rPr>
        <w:t>。</w:t>
      </w:r>
    </w:p>
    <w:p w14:paraId="7962DBC3">
      <w:pPr>
        <w:autoSpaceDE w:val="0"/>
        <w:autoSpaceDN w:val="0"/>
        <w:spacing w:line="360" w:lineRule="auto"/>
        <w:ind w:firstLine="420" w:firstLineChars="200"/>
        <w:rPr>
          <w:rFonts w:hint="eastAsia" w:ascii="宋体" w:hAnsi="宋体" w:cs="宋体"/>
          <w:szCs w:val="21"/>
        </w:rPr>
      </w:pPr>
      <w:r>
        <w:rPr>
          <w:rFonts w:hint="eastAsia" w:ascii="宋体" w:hAnsi="宋体" w:cs="宋体"/>
          <w:szCs w:val="21"/>
        </w:rPr>
        <w:t xml:space="preserve">8.2 </w:t>
      </w:r>
      <w:r>
        <w:rPr>
          <w:rFonts w:ascii="宋体" w:hAnsi="宋体" w:cs="宋体"/>
          <w:szCs w:val="21"/>
        </w:rPr>
        <w:t>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r>
        <w:rPr>
          <w:rFonts w:hint="eastAsia" w:ascii="宋体" w:hAnsi="宋体" w:cs="宋体"/>
          <w:szCs w:val="21"/>
        </w:rPr>
        <w:t>。</w:t>
      </w:r>
    </w:p>
    <w:p w14:paraId="3AD3EC3D">
      <w:pPr>
        <w:autoSpaceDE w:val="0"/>
        <w:autoSpaceDN w:val="0"/>
        <w:spacing w:line="360" w:lineRule="auto"/>
        <w:ind w:firstLine="281" w:firstLineChars="134"/>
        <w:rPr>
          <w:rFonts w:hint="eastAsia" w:ascii="宋体" w:hAnsi="宋体" w:cs="宋体"/>
          <w:szCs w:val="21"/>
        </w:rPr>
      </w:pPr>
      <w:r>
        <w:rPr>
          <w:rFonts w:hint="eastAsia" w:ascii="宋体" w:hAnsi="宋体" w:cs="宋体"/>
          <w:szCs w:val="21"/>
        </w:rPr>
        <w:t>8.3 潜在投标人或利害关系人对本招标公告、招标文件有异议的，应当在招标投标相关法律法规规定的时间内（投标截止时间</w:t>
      </w:r>
      <w:r>
        <w:rPr>
          <w:rFonts w:hint="eastAsia" w:ascii="宋体" w:hAnsi="宋体" w:cs="宋体"/>
          <w:szCs w:val="21"/>
          <w:u w:val="single"/>
        </w:rPr>
        <w:t>10</w:t>
      </w:r>
      <w:r>
        <w:rPr>
          <w:rFonts w:hint="eastAsia" w:ascii="宋体" w:hAnsi="宋体" w:cs="宋体"/>
          <w:szCs w:val="21"/>
        </w:rPr>
        <w:t>日前）通过电子交易系统向招标人提出，具体按照</w:t>
      </w:r>
      <w:r>
        <w:rPr>
          <w:rFonts w:hint="eastAsia" w:ascii="宋体" w:hAnsi="宋体" w:cs="宋体"/>
          <w:szCs w:val="21"/>
          <w:u w:val="single"/>
        </w:rPr>
        <w:t>广州交易集团有限公司（广州公共资源交易中心）官网（网址：http://www.gzggzy.cn）</w:t>
      </w:r>
      <w:r>
        <w:rPr>
          <w:rFonts w:hint="eastAsia" w:ascii="宋体" w:hAnsi="宋体" w:cs="宋体"/>
          <w:szCs w:val="21"/>
        </w:rPr>
        <w:t>相关指南进行操作；尚未登记注册的，可</w:t>
      </w:r>
      <w:r>
        <w:rPr>
          <w:rFonts w:hint="eastAsia" w:ascii="宋体" w:hAnsi="宋体" w:cs="宋体"/>
          <w:szCs w:val="21"/>
          <w:u w:val="single"/>
        </w:rPr>
        <w:t xml:space="preserve">       </w:t>
      </w:r>
      <w:r>
        <w:rPr>
          <w:rFonts w:hint="eastAsia" w:ascii="宋体" w:hAnsi="宋体" w:cs="宋体"/>
          <w:szCs w:val="21"/>
        </w:rPr>
        <w:t>（按照招标文件明确的其他方式）向招标人提出。招标人应当在规定的异议答复期限内作出答复；作出答复前，应当暂停招标投标活动。招标人依法作出答复、发布招标文件澄清或者修改文件的，应当通过电子交易系统进行。</w:t>
      </w:r>
    </w:p>
    <w:p w14:paraId="758A2FDB">
      <w:pPr>
        <w:autoSpaceDE w:val="0"/>
        <w:autoSpaceDN w:val="0"/>
        <w:spacing w:line="360" w:lineRule="auto"/>
        <w:ind w:firstLine="281" w:firstLineChars="134"/>
        <w:rPr>
          <w:rFonts w:hint="eastAsia" w:ascii="宋体" w:hAnsi="宋体" w:cs="宋体"/>
          <w:szCs w:val="21"/>
        </w:rPr>
      </w:pPr>
      <w:r>
        <w:rPr>
          <w:rFonts w:hint="eastAsia" w:ascii="宋体" w:hAnsi="宋体" w:cs="宋体"/>
          <w:szCs w:val="21"/>
        </w:rPr>
        <w:t>异议受理部门：</w:t>
      </w:r>
      <w:r>
        <w:rPr>
          <w:rFonts w:hint="eastAsia" w:ascii="宋体" w:hAnsi="宋体" w:cs="宋体"/>
          <w:szCs w:val="21"/>
          <w:u w:val="single"/>
        </w:rPr>
        <w:t>广州市番禺区基本建设投资管理中心</w:t>
      </w:r>
    </w:p>
    <w:p w14:paraId="7F95D137">
      <w:pPr>
        <w:autoSpaceDE w:val="0"/>
        <w:autoSpaceDN w:val="0"/>
        <w:spacing w:line="360" w:lineRule="auto"/>
        <w:ind w:firstLine="281" w:firstLineChars="134"/>
        <w:rPr>
          <w:rFonts w:hint="eastAsia" w:ascii="宋体" w:hAnsi="宋体" w:cs="宋体"/>
          <w:szCs w:val="21"/>
          <w:u w:val="single"/>
        </w:rPr>
      </w:pPr>
      <w:r>
        <w:rPr>
          <w:rFonts w:hint="eastAsia" w:ascii="宋体" w:hAnsi="宋体" w:cs="宋体"/>
          <w:szCs w:val="21"/>
        </w:rPr>
        <w:t>异议受理电话：</w:t>
      </w:r>
      <w:r>
        <w:rPr>
          <w:rFonts w:hint="eastAsia" w:ascii="宋体" w:hAnsi="宋体" w:cs="宋体"/>
          <w:szCs w:val="21"/>
          <w:u w:val="single"/>
        </w:rPr>
        <w:t>020-</w:t>
      </w:r>
      <w:r>
        <w:rPr>
          <w:rFonts w:hint="eastAsia" w:ascii="宋体" w:hAnsi="宋体"/>
          <w:szCs w:val="21"/>
          <w:u w:val="single"/>
        </w:rPr>
        <w:t>84612339</w:t>
      </w:r>
    </w:p>
    <w:p w14:paraId="685D10F9">
      <w:pPr>
        <w:autoSpaceDE w:val="0"/>
        <w:autoSpaceDN w:val="0"/>
        <w:spacing w:line="360" w:lineRule="auto"/>
        <w:ind w:firstLine="281" w:firstLineChars="134"/>
        <w:rPr>
          <w:rFonts w:hint="eastAsia" w:ascii="宋体" w:hAnsi="宋体" w:cs="宋体"/>
          <w:szCs w:val="21"/>
        </w:rPr>
      </w:pPr>
      <w:r>
        <w:rPr>
          <w:rFonts w:hint="eastAsia" w:ascii="宋体" w:hAnsi="宋体" w:cs="宋体"/>
          <w:szCs w:val="21"/>
        </w:rPr>
        <w:t>地址：</w:t>
      </w:r>
      <w:r>
        <w:rPr>
          <w:rFonts w:hint="eastAsia" w:ascii="宋体" w:hAnsi="宋体"/>
          <w:szCs w:val="21"/>
          <w:u w:val="single"/>
        </w:rPr>
        <w:t>广州市番禺区清河东路319号西副楼六楼607室</w:t>
      </w:r>
    </w:p>
    <w:p w14:paraId="19B14D60">
      <w:pPr>
        <w:pStyle w:val="3"/>
        <w:ind w:firstLine="420" w:firstLineChars="200"/>
        <w:rPr>
          <w:rFonts w:hint="eastAsia" w:ascii="宋体" w:hAnsi="宋体" w:eastAsia="宋体" w:cs="宋体"/>
          <w:b w:val="0"/>
          <w:sz w:val="21"/>
          <w:szCs w:val="21"/>
        </w:rPr>
      </w:pPr>
      <w:bookmarkStart w:id="75" w:name="_Toc27994"/>
      <w:r>
        <w:rPr>
          <w:rFonts w:hint="eastAsia" w:ascii="宋体" w:hAnsi="宋体" w:cs="宋体"/>
          <w:b w:val="0"/>
          <w:sz w:val="21"/>
          <w:szCs w:val="21"/>
        </w:rPr>
        <w:t>8</w:t>
      </w:r>
      <w:r>
        <w:rPr>
          <w:rFonts w:hint="eastAsia" w:ascii="宋体" w:hAnsi="宋体" w:eastAsia="宋体" w:cs="宋体"/>
          <w:b w:val="0"/>
          <w:sz w:val="21"/>
          <w:szCs w:val="21"/>
        </w:rPr>
        <w:t>.4 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广州市交通建设项目企业信息库诚信评价管理系统。</w:t>
      </w:r>
      <w:r>
        <w:rPr>
          <w:rFonts w:ascii="宋体" w:hAnsi="宋体" w:eastAsia="宋体" w:cs="宋体"/>
          <w:b w:val="0"/>
          <w:sz w:val="21"/>
          <w:szCs w:val="21"/>
        </w:rPr>
        <w:t>在招投标过程中，投诉人投诉事项经查实不属实的恶意投诉，招标人将提请行政主管部门，并按《中华人民共和国招标投标法实施条例》、《工程建设项目招标投标活动投诉处理办法》等进行处理，</w:t>
      </w:r>
      <w:r>
        <w:rPr>
          <w:rFonts w:hint="eastAsia" w:ascii="宋体" w:hAnsi="宋体" w:eastAsia="宋体" w:cs="宋体"/>
          <w:b w:val="0"/>
          <w:sz w:val="21"/>
          <w:szCs w:val="21"/>
        </w:rPr>
        <w:t>同时将记录到广州市交通建设项目企业信息库诚信评价管理系统。</w:t>
      </w:r>
      <w:bookmarkEnd w:id="75"/>
    </w:p>
    <w:p w14:paraId="691299C0">
      <w:pPr>
        <w:pStyle w:val="4"/>
        <w:rPr>
          <w:rFonts w:hint="eastAsia" w:ascii="宋体" w:hAnsi="宋体" w:cs="宋体"/>
        </w:rPr>
      </w:pPr>
      <w:bookmarkStart w:id="76" w:name="_Toc11636"/>
      <w:r>
        <w:rPr>
          <w:rFonts w:hint="eastAsia" w:ascii="宋体" w:hAnsi="宋体" w:cs="宋体"/>
        </w:rPr>
        <w:t>9.其它事项</w:t>
      </w:r>
      <w:bookmarkEnd w:id="76"/>
    </w:p>
    <w:p w14:paraId="1F542F4D">
      <w:pPr>
        <w:autoSpaceDE w:val="0"/>
        <w:autoSpaceDN w:val="0"/>
        <w:spacing w:line="360" w:lineRule="auto"/>
        <w:ind w:firstLine="420" w:firstLineChars="200"/>
        <w:rPr>
          <w:rFonts w:hint="eastAsia" w:ascii="宋体" w:hAnsi="宋体" w:cs="宋体"/>
          <w:szCs w:val="21"/>
        </w:rPr>
      </w:pPr>
      <w:r>
        <w:rPr>
          <w:rFonts w:hint="eastAsia" w:ascii="宋体" w:hAnsi="宋体" w:cs="宋体"/>
          <w:szCs w:val="21"/>
        </w:rPr>
        <w:t>9.1 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3B9FCB3A">
      <w:pPr>
        <w:pStyle w:val="12"/>
        <w:autoSpaceDE w:val="0"/>
        <w:autoSpaceDN w:val="0"/>
        <w:spacing w:line="360" w:lineRule="auto"/>
        <w:ind w:firstLine="420" w:firstLineChars="200"/>
        <w:rPr>
          <w:rFonts w:hint="eastAsia" w:hAnsi="宋体" w:cs="宋体"/>
        </w:rPr>
      </w:pPr>
      <w:r>
        <w:rPr>
          <w:rFonts w:hint="eastAsia" w:hAnsi="宋体" w:cs="宋体"/>
        </w:rPr>
        <w:t>9.2 其它（由招标人依法添加）：</w:t>
      </w:r>
      <w:r>
        <w:rPr>
          <w:rFonts w:hint="eastAsia" w:hAnsi="宋体" w:cs="宋体"/>
          <w:u w:val="single"/>
        </w:rPr>
        <w:t>无</w:t>
      </w:r>
      <w:r>
        <w:rPr>
          <w:rFonts w:hint="eastAsia" w:hAnsi="宋体" w:cs="宋体"/>
        </w:rPr>
        <w:t>。</w:t>
      </w:r>
    </w:p>
    <w:p w14:paraId="1CBCF43A">
      <w:pPr>
        <w:rPr>
          <w:rFonts w:hint="eastAsia"/>
        </w:rPr>
      </w:pPr>
    </w:p>
    <w:p w14:paraId="006CC874">
      <w:pPr>
        <w:pStyle w:val="4"/>
        <w:rPr>
          <w:rFonts w:hint="eastAsia" w:ascii="宋体" w:hAnsi="宋体" w:cs="宋体"/>
        </w:rPr>
      </w:pPr>
      <w:bookmarkStart w:id="77" w:name="bookmark9"/>
      <w:bookmarkEnd w:id="77"/>
      <w:bookmarkStart w:id="78" w:name="_Toc13798"/>
      <w:bookmarkStart w:id="79" w:name="_Toc9802"/>
      <w:bookmarkStart w:id="80" w:name="_Toc20345"/>
      <w:bookmarkStart w:id="81" w:name="_Toc25287"/>
      <w:bookmarkStart w:id="82" w:name="_Toc26307"/>
      <w:bookmarkStart w:id="83" w:name="_Toc15585"/>
      <w:r>
        <w:rPr>
          <w:rFonts w:hint="eastAsia" w:ascii="宋体" w:hAnsi="宋体" w:cs="宋体"/>
        </w:rPr>
        <w:t>10.联系方式</w:t>
      </w:r>
      <w:bookmarkEnd w:id="78"/>
      <w:bookmarkEnd w:id="79"/>
      <w:bookmarkEnd w:id="80"/>
      <w:bookmarkEnd w:id="81"/>
      <w:bookmarkEnd w:id="82"/>
      <w:bookmarkEnd w:id="83"/>
    </w:p>
    <w:p w14:paraId="28AC09A0">
      <w:pPr>
        <w:kinsoku w:val="0"/>
        <w:overflowPunct w:val="0"/>
        <w:spacing w:before="6" w:line="120" w:lineRule="exact"/>
        <w:rPr>
          <w:sz w:val="12"/>
        </w:rPr>
      </w:pPr>
    </w:p>
    <w:p w14:paraId="05728128">
      <w:pPr>
        <w:pStyle w:val="9"/>
        <w:tabs>
          <w:tab w:val="left" w:pos="1151"/>
          <w:tab w:val="left" w:pos="4228"/>
          <w:tab w:val="left" w:pos="4862"/>
          <w:tab w:val="left" w:pos="7942"/>
        </w:tabs>
        <w:kinsoku w:val="0"/>
        <w:overflowPunct w:val="0"/>
        <w:spacing w:line="310" w:lineRule="auto"/>
        <w:ind w:right="915"/>
        <w:rPr>
          <w:szCs w:val="21"/>
          <w:u w:val="single"/>
        </w:rPr>
      </w:pPr>
      <w:r>
        <w:rPr>
          <w:szCs w:val="21"/>
        </w:rPr>
        <w:t>招 标</w:t>
      </w:r>
      <w:r>
        <w:rPr>
          <w:spacing w:val="-2"/>
          <w:szCs w:val="21"/>
        </w:rPr>
        <w:t xml:space="preserve"> </w:t>
      </w:r>
      <w:r>
        <w:rPr>
          <w:szCs w:val="21"/>
        </w:rPr>
        <w:t>人：</w:t>
      </w:r>
      <w:r>
        <w:rPr>
          <w:rFonts w:hint="eastAsia" w:ascii="宋体" w:hAnsi="宋体" w:cs="宋体"/>
          <w:szCs w:val="21"/>
          <w:u w:val="single"/>
        </w:rPr>
        <w:t>广州市番禺区基本建设投资管理中心</w:t>
      </w:r>
    </w:p>
    <w:p w14:paraId="72FC5869">
      <w:pPr>
        <w:pStyle w:val="9"/>
        <w:tabs>
          <w:tab w:val="left" w:pos="1151"/>
          <w:tab w:val="left" w:pos="4228"/>
          <w:tab w:val="left" w:pos="4862"/>
          <w:tab w:val="left" w:pos="7942"/>
        </w:tabs>
        <w:kinsoku w:val="0"/>
        <w:overflowPunct w:val="0"/>
        <w:spacing w:line="310" w:lineRule="auto"/>
        <w:ind w:right="915"/>
        <w:rPr>
          <w:szCs w:val="21"/>
        </w:rPr>
      </w:pPr>
      <w:r>
        <w:rPr>
          <w:rFonts w:hint="eastAsia"/>
          <w:szCs w:val="21"/>
        </w:rPr>
        <w:t>邮政编码</w:t>
      </w:r>
      <w:r>
        <w:rPr>
          <w:szCs w:val="21"/>
        </w:rPr>
        <w:t>：</w:t>
      </w:r>
      <w:r>
        <w:rPr>
          <w:rFonts w:hint="eastAsia"/>
          <w:szCs w:val="21"/>
          <w:u w:val="single"/>
        </w:rPr>
        <w:t>511400</w:t>
      </w:r>
    </w:p>
    <w:p w14:paraId="6B2DB43B">
      <w:pPr>
        <w:pStyle w:val="9"/>
        <w:tabs>
          <w:tab w:val="left" w:pos="1151"/>
          <w:tab w:val="left" w:pos="4228"/>
          <w:tab w:val="left" w:pos="4862"/>
          <w:tab w:val="left" w:pos="7942"/>
        </w:tabs>
        <w:kinsoku w:val="0"/>
        <w:overflowPunct w:val="0"/>
        <w:spacing w:line="310" w:lineRule="auto"/>
        <w:ind w:right="915"/>
        <w:rPr>
          <w:szCs w:val="21"/>
          <w:u w:val="single"/>
        </w:rPr>
      </w:pPr>
      <w:r>
        <w:rPr>
          <w:szCs w:val="21"/>
        </w:rPr>
        <w:t>地</w:t>
      </w:r>
      <w:r>
        <w:rPr>
          <w:rFonts w:hint="eastAsia"/>
          <w:szCs w:val="21"/>
        </w:rPr>
        <w:t xml:space="preserve">    </w:t>
      </w:r>
      <w:r>
        <w:rPr>
          <w:szCs w:val="21"/>
        </w:rPr>
        <w:t>址：</w:t>
      </w:r>
      <w:r>
        <w:rPr>
          <w:rFonts w:hint="eastAsia" w:ascii="宋体" w:hAnsi="宋体"/>
          <w:szCs w:val="21"/>
          <w:u w:val="single"/>
        </w:rPr>
        <w:t>广州市番禺区清河东路319号西副楼六楼607室</w:t>
      </w:r>
    </w:p>
    <w:p w14:paraId="6C4C5989">
      <w:pPr>
        <w:pStyle w:val="9"/>
        <w:tabs>
          <w:tab w:val="left" w:pos="1151"/>
          <w:tab w:val="left" w:pos="4228"/>
          <w:tab w:val="left" w:pos="7942"/>
          <w:tab w:val="left" w:pos="9400"/>
        </w:tabs>
        <w:kinsoku w:val="0"/>
        <w:overflowPunct w:val="0"/>
        <w:spacing w:line="310" w:lineRule="auto"/>
        <w:ind w:right="915"/>
        <w:rPr>
          <w:rFonts w:hint="eastAsia" w:eastAsia="宋体"/>
          <w:szCs w:val="21"/>
          <w:lang w:eastAsia="zh-CN"/>
        </w:rPr>
      </w:pPr>
      <w:r>
        <w:rPr>
          <w:rFonts w:hint="eastAsia"/>
          <w:szCs w:val="21"/>
        </w:rPr>
        <w:t>联系电话</w:t>
      </w:r>
      <w:r>
        <w:rPr>
          <w:szCs w:val="21"/>
        </w:rPr>
        <w:t>：</w:t>
      </w:r>
      <w:r>
        <w:rPr>
          <w:rFonts w:hint="eastAsia" w:ascii="宋体" w:hAnsi="宋体"/>
          <w:szCs w:val="21"/>
          <w:u w:val="single"/>
          <w:lang w:eastAsia="zh-CN"/>
        </w:rPr>
        <w:t>020-84640765</w:t>
      </w:r>
    </w:p>
    <w:p w14:paraId="39BA6B6D">
      <w:pPr>
        <w:pStyle w:val="9"/>
        <w:tabs>
          <w:tab w:val="left" w:pos="1151"/>
          <w:tab w:val="left" w:pos="4228"/>
          <w:tab w:val="left" w:pos="4862"/>
          <w:tab w:val="left" w:pos="7942"/>
        </w:tabs>
        <w:kinsoku w:val="0"/>
        <w:overflowPunct w:val="0"/>
        <w:spacing w:line="310" w:lineRule="auto"/>
        <w:ind w:right="915"/>
        <w:rPr>
          <w:szCs w:val="21"/>
          <w:u w:val="single"/>
        </w:rPr>
      </w:pPr>
      <w:r>
        <w:rPr>
          <w:rFonts w:hint="eastAsia"/>
          <w:szCs w:val="21"/>
        </w:rPr>
        <w:t>传真号码</w:t>
      </w:r>
      <w:r>
        <w:rPr>
          <w:szCs w:val="21"/>
        </w:rPr>
        <w:t>：</w:t>
      </w:r>
      <w:r>
        <w:rPr>
          <w:rFonts w:hint="eastAsia"/>
          <w:szCs w:val="21"/>
          <w:u w:val="single"/>
        </w:rPr>
        <w:t>/</w:t>
      </w:r>
    </w:p>
    <w:p w14:paraId="662A87E7">
      <w:pPr>
        <w:pStyle w:val="9"/>
        <w:tabs>
          <w:tab w:val="left" w:pos="1151"/>
          <w:tab w:val="left" w:pos="4228"/>
          <w:tab w:val="left" w:pos="4862"/>
          <w:tab w:val="left" w:pos="7942"/>
        </w:tabs>
        <w:kinsoku w:val="0"/>
        <w:overflowPunct w:val="0"/>
        <w:spacing w:line="310" w:lineRule="auto"/>
        <w:ind w:right="915"/>
        <w:rPr>
          <w:szCs w:val="21"/>
        </w:rPr>
      </w:pPr>
      <w:r>
        <w:rPr>
          <w:rFonts w:hint="eastAsia"/>
          <w:szCs w:val="21"/>
        </w:rPr>
        <w:t>电子邮箱</w:t>
      </w:r>
      <w:r>
        <w:rPr>
          <w:szCs w:val="21"/>
        </w:rPr>
        <w:t>：</w:t>
      </w:r>
      <w:r>
        <w:rPr>
          <w:rFonts w:hint="eastAsia"/>
          <w:szCs w:val="21"/>
          <w:u w:val="single"/>
        </w:rPr>
        <w:t>/</w:t>
      </w:r>
    </w:p>
    <w:p w14:paraId="628BA546">
      <w:pPr>
        <w:pStyle w:val="9"/>
        <w:tabs>
          <w:tab w:val="left" w:pos="1151"/>
          <w:tab w:val="left" w:pos="4228"/>
          <w:tab w:val="left" w:pos="4862"/>
          <w:tab w:val="left" w:pos="7942"/>
        </w:tabs>
        <w:kinsoku w:val="0"/>
        <w:overflowPunct w:val="0"/>
        <w:spacing w:line="310" w:lineRule="auto"/>
        <w:ind w:right="915"/>
        <w:rPr>
          <w:rFonts w:hint="eastAsia"/>
          <w:szCs w:val="21"/>
        </w:rPr>
      </w:pPr>
      <w:r>
        <w:rPr>
          <w:rFonts w:hint="eastAsia"/>
          <w:szCs w:val="21"/>
        </w:rPr>
        <w:t xml:space="preserve"> </w:t>
      </w:r>
    </w:p>
    <w:p w14:paraId="4C1FB055">
      <w:pPr>
        <w:pStyle w:val="9"/>
        <w:tabs>
          <w:tab w:val="left" w:pos="1151"/>
          <w:tab w:val="left" w:pos="4228"/>
          <w:tab w:val="left" w:pos="4862"/>
          <w:tab w:val="left" w:pos="7942"/>
        </w:tabs>
        <w:kinsoku w:val="0"/>
        <w:overflowPunct w:val="0"/>
        <w:spacing w:line="310" w:lineRule="auto"/>
        <w:ind w:right="915"/>
        <w:rPr>
          <w:rFonts w:hint="eastAsia" w:eastAsia="宋体"/>
          <w:szCs w:val="21"/>
          <w:highlight w:val="none"/>
          <w:u w:val="single"/>
          <w:lang w:eastAsia="zh-CN"/>
        </w:rPr>
      </w:pPr>
      <w:r>
        <w:rPr>
          <w:szCs w:val="21"/>
          <w:highlight w:val="none"/>
        </w:rPr>
        <w:t>招</w:t>
      </w:r>
      <w:r>
        <w:rPr>
          <w:rFonts w:hint="eastAsia"/>
          <w:szCs w:val="21"/>
          <w:highlight w:val="none"/>
        </w:rPr>
        <w:t>标代理机构</w:t>
      </w:r>
      <w:r>
        <w:rPr>
          <w:szCs w:val="21"/>
          <w:highlight w:val="none"/>
        </w:rPr>
        <w:t>：</w:t>
      </w:r>
      <w:r>
        <w:rPr>
          <w:rFonts w:hint="eastAsia" w:ascii="宋体" w:hAnsi="宋体" w:cs="宋体"/>
          <w:szCs w:val="21"/>
          <w:highlight w:val="none"/>
          <w:u w:val="single"/>
          <w:lang w:eastAsia="zh-CN"/>
        </w:rPr>
        <w:t>广东弘海实业发展有限公司</w:t>
      </w:r>
    </w:p>
    <w:p w14:paraId="4B2C48DD">
      <w:pPr>
        <w:pStyle w:val="9"/>
        <w:tabs>
          <w:tab w:val="left" w:pos="1151"/>
          <w:tab w:val="left" w:pos="4228"/>
          <w:tab w:val="left" w:pos="4862"/>
          <w:tab w:val="left" w:pos="7942"/>
        </w:tabs>
        <w:kinsoku w:val="0"/>
        <w:overflowPunct w:val="0"/>
        <w:spacing w:line="310" w:lineRule="auto"/>
        <w:ind w:right="915"/>
        <w:rPr>
          <w:szCs w:val="21"/>
          <w:highlight w:val="none"/>
        </w:rPr>
      </w:pPr>
      <w:r>
        <w:rPr>
          <w:rFonts w:hint="eastAsia"/>
          <w:szCs w:val="21"/>
          <w:highlight w:val="none"/>
        </w:rPr>
        <w:t>邮政编码</w:t>
      </w:r>
      <w:r>
        <w:rPr>
          <w:szCs w:val="21"/>
          <w:highlight w:val="none"/>
        </w:rPr>
        <w:t>：</w:t>
      </w:r>
      <w:r>
        <w:rPr>
          <w:rFonts w:hint="eastAsia" w:ascii="宋体" w:hAnsi="宋体" w:eastAsia="宋体" w:cs="宋体"/>
          <w:szCs w:val="21"/>
          <w:highlight w:val="none"/>
          <w:u w:val="single"/>
        </w:rPr>
        <w:t xml:space="preserve">511400 </w:t>
      </w:r>
    </w:p>
    <w:p w14:paraId="74A2AB50">
      <w:pPr>
        <w:pStyle w:val="9"/>
        <w:tabs>
          <w:tab w:val="left" w:pos="1151"/>
          <w:tab w:val="left" w:pos="4228"/>
          <w:tab w:val="left" w:pos="4862"/>
          <w:tab w:val="left" w:pos="7942"/>
        </w:tabs>
        <w:kinsoku w:val="0"/>
        <w:overflowPunct w:val="0"/>
        <w:spacing w:line="310" w:lineRule="auto"/>
        <w:ind w:right="915"/>
        <w:rPr>
          <w:szCs w:val="21"/>
          <w:highlight w:val="none"/>
          <w:u w:val="single"/>
        </w:rPr>
      </w:pPr>
      <w:r>
        <w:rPr>
          <w:szCs w:val="21"/>
          <w:highlight w:val="none"/>
        </w:rPr>
        <w:t>地</w:t>
      </w:r>
      <w:r>
        <w:rPr>
          <w:rFonts w:hint="eastAsia"/>
          <w:szCs w:val="21"/>
          <w:highlight w:val="none"/>
        </w:rPr>
        <w:t xml:space="preserve">    </w:t>
      </w:r>
      <w:r>
        <w:rPr>
          <w:szCs w:val="21"/>
          <w:highlight w:val="none"/>
        </w:rPr>
        <w:t>址：</w:t>
      </w:r>
      <w:r>
        <w:rPr>
          <w:rFonts w:hint="eastAsia" w:ascii="宋体" w:hAnsi="宋体" w:eastAsia="宋体" w:cs="宋体"/>
          <w:szCs w:val="21"/>
          <w:highlight w:val="none"/>
          <w:u w:val="single"/>
        </w:rPr>
        <w:t>广州市番禺区富石路大石街3-15号碧桂园藏珑府长盛汇A4栋7楼718、719号</w:t>
      </w:r>
    </w:p>
    <w:p w14:paraId="5579A67F">
      <w:pPr>
        <w:pStyle w:val="9"/>
        <w:tabs>
          <w:tab w:val="left" w:pos="1151"/>
          <w:tab w:val="left" w:pos="4228"/>
          <w:tab w:val="left" w:pos="7942"/>
          <w:tab w:val="left" w:pos="9400"/>
        </w:tabs>
        <w:kinsoku w:val="0"/>
        <w:overflowPunct w:val="0"/>
        <w:spacing w:line="310" w:lineRule="auto"/>
        <w:ind w:right="915"/>
        <w:rPr>
          <w:szCs w:val="21"/>
          <w:highlight w:val="none"/>
        </w:rPr>
      </w:pPr>
      <w:r>
        <w:rPr>
          <w:rFonts w:hint="eastAsia"/>
          <w:szCs w:val="21"/>
          <w:highlight w:val="none"/>
        </w:rPr>
        <w:t>联系电话</w:t>
      </w:r>
      <w:r>
        <w:rPr>
          <w:szCs w:val="21"/>
          <w:highlight w:val="none"/>
        </w:rPr>
        <w:t>：</w:t>
      </w:r>
      <w:r>
        <w:rPr>
          <w:rFonts w:hint="eastAsia" w:ascii="宋体" w:hAnsi="宋体" w:eastAsia="宋体" w:cs="宋体"/>
          <w:szCs w:val="21"/>
          <w:highlight w:val="none"/>
          <w:u w:val="single"/>
        </w:rPr>
        <w:t>020-84788606</w:t>
      </w:r>
    </w:p>
    <w:p w14:paraId="30B5F6A0">
      <w:pPr>
        <w:pStyle w:val="9"/>
        <w:tabs>
          <w:tab w:val="left" w:pos="1151"/>
          <w:tab w:val="left" w:pos="4228"/>
          <w:tab w:val="left" w:pos="4862"/>
          <w:tab w:val="left" w:pos="7942"/>
        </w:tabs>
        <w:kinsoku w:val="0"/>
        <w:overflowPunct w:val="0"/>
        <w:spacing w:line="310" w:lineRule="auto"/>
        <w:ind w:right="915"/>
        <w:rPr>
          <w:szCs w:val="21"/>
          <w:highlight w:val="none"/>
          <w:u w:val="single"/>
        </w:rPr>
      </w:pPr>
      <w:r>
        <w:rPr>
          <w:rFonts w:hint="eastAsia"/>
          <w:szCs w:val="21"/>
          <w:highlight w:val="none"/>
        </w:rPr>
        <w:t>传真号码</w:t>
      </w:r>
      <w:r>
        <w:rPr>
          <w:szCs w:val="21"/>
          <w:highlight w:val="none"/>
        </w:rPr>
        <w:t>：</w:t>
      </w:r>
      <w:r>
        <w:rPr>
          <w:rFonts w:hint="eastAsia" w:ascii="宋体" w:hAnsi="宋体" w:eastAsia="宋体" w:cs="宋体"/>
          <w:szCs w:val="21"/>
          <w:highlight w:val="none"/>
          <w:u w:val="single"/>
        </w:rPr>
        <w:t>/</w:t>
      </w:r>
    </w:p>
    <w:p w14:paraId="042E491A">
      <w:pPr>
        <w:pStyle w:val="9"/>
        <w:tabs>
          <w:tab w:val="left" w:pos="1151"/>
          <w:tab w:val="left" w:pos="4228"/>
          <w:tab w:val="left" w:pos="4862"/>
          <w:tab w:val="left" w:pos="7942"/>
        </w:tabs>
        <w:kinsoku w:val="0"/>
        <w:overflowPunct w:val="0"/>
        <w:spacing w:line="310" w:lineRule="auto"/>
        <w:ind w:right="915"/>
        <w:rPr>
          <w:szCs w:val="21"/>
          <w:highlight w:val="none"/>
        </w:rPr>
      </w:pPr>
      <w:r>
        <w:rPr>
          <w:rFonts w:hint="eastAsia"/>
          <w:szCs w:val="21"/>
          <w:highlight w:val="none"/>
        </w:rPr>
        <w:t>电子邮箱</w:t>
      </w:r>
      <w:r>
        <w:rPr>
          <w:szCs w:val="21"/>
          <w:highlight w:val="none"/>
        </w:rPr>
        <w:t>：</w:t>
      </w:r>
      <w:r>
        <w:rPr>
          <w:rFonts w:hint="eastAsia" w:ascii="宋体" w:hAnsi="宋体" w:eastAsia="宋体" w:cs="宋体"/>
          <w:szCs w:val="21"/>
          <w:highlight w:val="none"/>
          <w:u w:val="single"/>
        </w:rPr>
        <w:t>/</w:t>
      </w:r>
    </w:p>
    <w:p w14:paraId="7FC3C597">
      <w:pPr>
        <w:pStyle w:val="9"/>
        <w:tabs>
          <w:tab w:val="left" w:pos="1151"/>
          <w:tab w:val="left" w:pos="4228"/>
          <w:tab w:val="left" w:pos="4862"/>
          <w:tab w:val="left" w:pos="7942"/>
        </w:tabs>
        <w:kinsoku w:val="0"/>
        <w:overflowPunct w:val="0"/>
        <w:spacing w:line="310" w:lineRule="auto"/>
        <w:ind w:right="915"/>
        <w:rPr>
          <w:szCs w:val="21"/>
        </w:rPr>
      </w:pPr>
    </w:p>
    <w:p w14:paraId="24DDF8CE">
      <w:pPr>
        <w:pStyle w:val="9"/>
        <w:tabs>
          <w:tab w:val="left" w:pos="1151"/>
          <w:tab w:val="left" w:pos="4228"/>
          <w:tab w:val="left" w:pos="4862"/>
          <w:tab w:val="left" w:pos="7942"/>
        </w:tabs>
        <w:kinsoku w:val="0"/>
        <w:overflowPunct w:val="0"/>
        <w:spacing w:line="310" w:lineRule="auto"/>
        <w:ind w:right="915"/>
        <w:rPr>
          <w:szCs w:val="21"/>
          <w:u w:val="single"/>
        </w:rPr>
      </w:pPr>
      <w:r>
        <w:rPr>
          <w:szCs w:val="21"/>
        </w:rPr>
        <w:t>招标</w:t>
      </w:r>
      <w:r>
        <w:rPr>
          <w:rFonts w:hint="eastAsia"/>
          <w:szCs w:val="21"/>
        </w:rPr>
        <w:t>管理机构</w:t>
      </w:r>
      <w:r>
        <w:rPr>
          <w:szCs w:val="21"/>
        </w:rPr>
        <w:t>：</w:t>
      </w:r>
      <w:r>
        <w:rPr>
          <w:rFonts w:hint="eastAsia" w:ascii="宋体" w:hAnsi="宋体"/>
          <w:szCs w:val="21"/>
          <w:u w:val="single"/>
        </w:rPr>
        <w:t>广州市番禺区建设工程招标管理办公室</w:t>
      </w:r>
    </w:p>
    <w:p w14:paraId="72BAAB24">
      <w:pPr>
        <w:pStyle w:val="9"/>
        <w:tabs>
          <w:tab w:val="left" w:pos="1151"/>
          <w:tab w:val="left" w:pos="4228"/>
          <w:tab w:val="left" w:pos="4862"/>
          <w:tab w:val="left" w:pos="7942"/>
        </w:tabs>
        <w:kinsoku w:val="0"/>
        <w:overflowPunct w:val="0"/>
        <w:spacing w:line="310" w:lineRule="auto"/>
        <w:ind w:right="915"/>
        <w:rPr>
          <w:szCs w:val="21"/>
        </w:rPr>
      </w:pPr>
      <w:r>
        <w:rPr>
          <w:rFonts w:hint="eastAsia"/>
          <w:szCs w:val="21"/>
        </w:rPr>
        <w:t>邮政编码</w:t>
      </w:r>
      <w:r>
        <w:rPr>
          <w:szCs w:val="21"/>
        </w:rPr>
        <w:t>：</w:t>
      </w:r>
      <w:r>
        <w:rPr>
          <w:szCs w:val="21"/>
          <w:u w:val="single"/>
        </w:rPr>
        <w:t xml:space="preserve"> </w:t>
      </w:r>
      <w:r>
        <w:rPr>
          <w:rFonts w:hint="eastAsia"/>
          <w:szCs w:val="21"/>
          <w:u w:val="single"/>
        </w:rPr>
        <w:t>511400</w:t>
      </w:r>
      <w:r>
        <w:rPr>
          <w:szCs w:val="21"/>
        </w:rPr>
        <w:t xml:space="preserve"> </w:t>
      </w:r>
    </w:p>
    <w:p w14:paraId="4B26FA1A">
      <w:pPr>
        <w:pStyle w:val="9"/>
        <w:tabs>
          <w:tab w:val="left" w:pos="1151"/>
          <w:tab w:val="left" w:pos="4228"/>
          <w:tab w:val="left" w:pos="4862"/>
          <w:tab w:val="left" w:pos="7942"/>
        </w:tabs>
        <w:kinsoku w:val="0"/>
        <w:overflowPunct w:val="0"/>
        <w:spacing w:line="310" w:lineRule="auto"/>
        <w:ind w:right="915"/>
        <w:rPr>
          <w:szCs w:val="21"/>
          <w:u w:val="single"/>
        </w:rPr>
      </w:pPr>
      <w:r>
        <w:rPr>
          <w:szCs w:val="21"/>
        </w:rPr>
        <w:t>地</w:t>
      </w:r>
      <w:r>
        <w:rPr>
          <w:rFonts w:hint="eastAsia"/>
          <w:szCs w:val="21"/>
        </w:rPr>
        <w:t xml:space="preserve">    </w:t>
      </w:r>
      <w:r>
        <w:rPr>
          <w:szCs w:val="21"/>
        </w:rPr>
        <w:t>址：</w:t>
      </w:r>
      <w:r>
        <w:rPr>
          <w:rFonts w:hint="eastAsia" w:ascii="宋体" w:hAnsi="宋体"/>
          <w:szCs w:val="21"/>
          <w:u w:val="single"/>
        </w:rPr>
        <w:t>广州市番禺区景观大道7号2楼211室</w:t>
      </w:r>
    </w:p>
    <w:p w14:paraId="797BC059">
      <w:pPr>
        <w:pStyle w:val="9"/>
        <w:tabs>
          <w:tab w:val="left" w:pos="1151"/>
          <w:tab w:val="left" w:pos="4228"/>
          <w:tab w:val="left" w:pos="7942"/>
          <w:tab w:val="left" w:pos="9400"/>
        </w:tabs>
        <w:kinsoku w:val="0"/>
        <w:overflowPunct w:val="0"/>
        <w:spacing w:line="310" w:lineRule="auto"/>
        <w:ind w:right="915"/>
        <w:rPr>
          <w:szCs w:val="21"/>
        </w:rPr>
      </w:pPr>
      <w:r>
        <w:rPr>
          <w:rFonts w:hint="eastAsia"/>
          <w:szCs w:val="21"/>
        </w:rPr>
        <w:t>电    话</w:t>
      </w:r>
      <w:r>
        <w:rPr>
          <w:szCs w:val="21"/>
        </w:rPr>
        <w:t>：</w:t>
      </w:r>
      <w:r>
        <w:rPr>
          <w:rFonts w:hint="eastAsia" w:ascii="宋体" w:hAnsi="宋体" w:cs="宋体"/>
          <w:kern w:val="0"/>
          <w:szCs w:val="21"/>
          <w:u w:val="single"/>
        </w:rPr>
        <w:t>020-84892221</w:t>
      </w:r>
    </w:p>
    <w:p w14:paraId="21DCC7BE">
      <w:pPr>
        <w:spacing w:line="400" w:lineRule="exact"/>
        <w:rPr>
          <w:rFonts w:hint="eastAsia"/>
        </w:rPr>
      </w:pPr>
    </w:p>
    <w:p w14:paraId="43177575">
      <w:pPr>
        <w:spacing w:line="400" w:lineRule="exact"/>
        <w:ind w:firstLine="210" w:firstLineChars="100"/>
        <w:jc w:val="center"/>
        <w:rPr>
          <w:rFonts w:hint="eastAsia" w:ascii="宋体" w:hAnsi="宋体"/>
          <w:u w:val="single"/>
        </w:rPr>
      </w:pPr>
      <w:r>
        <w:rPr>
          <w:rFonts w:hint="eastAsia" w:ascii="宋体" w:hAnsi="宋体"/>
          <w:u w:val="single"/>
          <w:lang w:val="en-US" w:eastAsia="zh-CN"/>
        </w:rPr>
        <w:t xml:space="preserve"> </w:t>
      </w:r>
      <w:r>
        <w:rPr>
          <w:rFonts w:hint="eastAsia" w:ascii="宋体" w:hAnsi="宋体"/>
          <w:u w:val="single"/>
        </w:rPr>
        <w:t>2025年</w:t>
      </w:r>
      <w:r>
        <w:rPr>
          <w:rFonts w:hint="eastAsia" w:ascii="宋体" w:hAnsi="宋体"/>
          <w:u w:val="single"/>
          <w:lang w:val="en-US" w:eastAsia="zh-CN"/>
        </w:rPr>
        <w:t>08</w:t>
      </w:r>
      <w:r>
        <w:rPr>
          <w:rFonts w:hint="eastAsia" w:ascii="宋体" w:hAnsi="宋体"/>
          <w:u w:val="single"/>
        </w:rPr>
        <w:t>月</w:t>
      </w:r>
      <w:r>
        <w:rPr>
          <w:rFonts w:hint="eastAsia" w:ascii="宋体" w:hAnsi="宋体"/>
          <w:u w:val="single"/>
          <w:lang w:val="en-US" w:eastAsia="zh-CN"/>
        </w:rPr>
        <w:t>05</w:t>
      </w:r>
      <w:r>
        <w:rPr>
          <w:rFonts w:hint="eastAsia" w:ascii="宋体" w:hAnsi="宋体"/>
          <w:u w:val="single"/>
        </w:rPr>
        <w:t>日</w:t>
      </w:r>
    </w:p>
    <w:p w14:paraId="5A47D272">
      <w:pPr>
        <w:spacing w:line="400" w:lineRule="exact"/>
        <w:ind w:firstLine="210" w:firstLineChars="100"/>
        <w:jc w:val="center"/>
        <w:rPr>
          <w:rFonts w:hint="eastAsia" w:ascii="宋体" w:hAnsi="宋体"/>
          <w:u w:val="single"/>
        </w:rPr>
      </w:pPr>
    </w:p>
    <w:p w14:paraId="7118D411">
      <w:pPr>
        <w:topLinePunct/>
        <w:spacing w:line="360" w:lineRule="auto"/>
        <w:jc w:val="left"/>
        <w:rPr>
          <w:rFonts w:hint="eastAsia" w:ascii="宋体" w:hAnsi="宋体"/>
          <w:sz w:val="24"/>
          <w:szCs w:val="24"/>
          <w:u w:val="single"/>
        </w:rPr>
      </w:pPr>
    </w:p>
    <w:p w14:paraId="21FF1E25">
      <w:pPr>
        <w:pStyle w:val="37"/>
        <w:jc w:val="both"/>
        <w:rPr>
          <w:rFonts w:ascii="宋体" w:hAnsi="宋体"/>
          <w:b w:val="0"/>
          <w:sz w:val="24"/>
          <w:szCs w:val="24"/>
        </w:rPr>
      </w:pPr>
      <w:r>
        <w:rPr>
          <w:kern w:val="0"/>
        </w:rPr>
        <w:br w:type="page"/>
      </w:r>
      <w:r>
        <w:rPr>
          <w:rFonts w:hint="eastAsia"/>
          <w:kern w:val="0"/>
        </w:rPr>
        <w:t>附件一：</w:t>
      </w:r>
      <w:r>
        <w:rPr>
          <w:rFonts w:hint="eastAsia" w:ascii="宋体" w:hAnsi="宋体"/>
          <w:b w:val="0"/>
          <w:sz w:val="24"/>
          <w:szCs w:val="24"/>
        </w:rPr>
        <w:t>被招标人拒绝投标的企业名单</w:t>
      </w:r>
    </w:p>
    <w:p w14:paraId="21F350E4">
      <w:pPr>
        <w:spacing w:line="360" w:lineRule="auto"/>
        <w:rPr>
          <w:rFonts w:ascii="宋体" w:hAnsi="宋体" w:cs="宋体"/>
          <w:sz w:val="24"/>
          <w:szCs w:val="24"/>
        </w:rPr>
      </w:pPr>
    </w:p>
    <w:tbl>
      <w:tblPr>
        <w:tblStyle w:val="19"/>
        <w:tblW w:w="0" w:type="auto"/>
        <w:tblInd w:w="108" w:type="dxa"/>
        <w:tblLayout w:type="fixed"/>
        <w:tblCellMar>
          <w:top w:w="0" w:type="dxa"/>
          <w:left w:w="108" w:type="dxa"/>
          <w:bottom w:w="0" w:type="dxa"/>
          <w:right w:w="108" w:type="dxa"/>
        </w:tblCellMar>
      </w:tblPr>
      <w:tblGrid>
        <w:gridCol w:w="780"/>
        <w:gridCol w:w="8380"/>
      </w:tblGrid>
      <w:tr w14:paraId="45E32D79">
        <w:tblPrEx>
          <w:tblCellMar>
            <w:top w:w="0" w:type="dxa"/>
            <w:left w:w="108" w:type="dxa"/>
            <w:bottom w:w="0" w:type="dxa"/>
            <w:right w:w="108" w:type="dxa"/>
          </w:tblCellMar>
        </w:tblPrEx>
        <w:trPr>
          <w:trHeight w:val="945" w:hRule="atLeast"/>
        </w:trPr>
        <w:tc>
          <w:tcPr>
            <w:tcW w:w="9160" w:type="dxa"/>
            <w:gridSpan w:val="2"/>
            <w:tcBorders>
              <w:top w:val="nil"/>
              <w:left w:val="nil"/>
              <w:bottom w:val="single" w:color="auto" w:sz="4" w:space="0"/>
              <w:right w:val="nil"/>
            </w:tcBorders>
            <w:noWrap w:val="0"/>
            <w:vAlign w:val="center"/>
          </w:tcPr>
          <w:p w14:paraId="1CC3550D">
            <w:pPr>
              <w:keepNext w:val="0"/>
              <w:keepLines w:val="0"/>
              <w:widowControl/>
              <w:suppressLineNumbers w:val="0"/>
              <w:spacing w:before="0" w:beforeAutospacing="0" w:after="0" w:afterAutospacing="0"/>
              <w:ind w:left="0" w:right="0"/>
              <w:jc w:val="center"/>
              <w:rPr>
                <w:rFonts w:hint="default" w:ascii="宋体" w:hAnsi="宋体" w:eastAsia="Times New Roman" w:cs="宋体"/>
                <w:b/>
                <w:bCs/>
                <w:kern w:val="0"/>
                <w:sz w:val="32"/>
                <w:szCs w:val="32"/>
              </w:rPr>
            </w:pPr>
            <w:r>
              <w:rPr>
                <w:rFonts w:hint="eastAsia" w:ascii="宋体" w:hAnsi="宋体" w:eastAsia="Times New Roman" w:cs="宋体"/>
                <w:b/>
                <w:sz w:val="32"/>
                <w:szCs w:val="32"/>
              </w:rPr>
              <w:t>被招标人拒绝投标的企业名单</w:t>
            </w:r>
          </w:p>
        </w:tc>
      </w:tr>
      <w:tr w14:paraId="3797E06D">
        <w:tblPrEx>
          <w:tblCellMar>
            <w:top w:w="0" w:type="dxa"/>
            <w:left w:w="108" w:type="dxa"/>
            <w:bottom w:w="0" w:type="dxa"/>
            <w:right w:w="108" w:type="dxa"/>
          </w:tblCellMar>
        </w:tblPrEx>
        <w:trPr>
          <w:trHeight w:val="495"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14:paraId="0B3B43FE">
            <w:pPr>
              <w:keepNext w:val="0"/>
              <w:keepLines w:val="0"/>
              <w:widowControl/>
              <w:suppressLineNumbers w:val="0"/>
              <w:spacing w:before="0" w:beforeAutospacing="0" w:after="0" w:afterAutospacing="0"/>
              <w:ind w:left="0" w:right="0"/>
              <w:jc w:val="center"/>
              <w:rPr>
                <w:rFonts w:hint="default" w:ascii="宋体" w:hAnsi="宋体" w:eastAsia="Times New Roman" w:cs="宋体"/>
                <w:b/>
                <w:bCs/>
                <w:kern w:val="0"/>
                <w:sz w:val="24"/>
                <w:szCs w:val="24"/>
              </w:rPr>
            </w:pPr>
            <w:r>
              <w:rPr>
                <w:rFonts w:hint="eastAsia" w:ascii="宋体" w:hAnsi="宋体" w:eastAsia="Times New Roman" w:cs="宋体"/>
                <w:b/>
                <w:bCs/>
                <w:kern w:val="0"/>
                <w:sz w:val="24"/>
                <w:szCs w:val="24"/>
              </w:rPr>
              <w:t>序号</w:t>
            </w:r>
          </w:p>
        </w:tc>
        <w:tc>
          <w:tcPr>
            <w:tcW w:w="8380" w:type="dxa"/>
            <w:tcBorders>
              <w:top w:val="single" w:color="auto" w:sz="4" w:space="0"/>
              <w:left w:val="nil"/>
              <w:bottom w:val="single" w:color="auto" w:sz="4" w:space="0"/>
              <w:right w:val="single" w:color="auto" w:sz="4" w:space="0"/>
            </w:tcBorders>
            <w:noWrap w:val="0"/>
            <w:vAlign w:val="center"/>
          </w:tcPr>
          <w:p w14:paraId="5EA32AF9">
            <w:pPr>
              <w:keepNext w:val="0"/>
              <w:keepLines w:val="0"/>
              <w:widowControl/>
              <w:suppressLineNumbers w:val="0"/>
              <w:spacing w:before="0" w:beforeAutospacing="0" w:after="0" w:afterAutospacing="0"/>
              <w:ind w:left="0" w:right="0"/>
              <w:jc w:val="center"/>
              <w:rPr>
                <w:rFonts w:hint="default" w:ascii="宋体" w:hAnsi="宋体" w:eastAsia="Times New Roman" w:cs="宋体"/>
                <w:b/>
                <w:bCs/>
                <w:kern w:val="0"/>
                <w:sz w:val="24"/>
                <w:szCs w:val="24"/>
              </w:rPr>
            </w:pPr>
            <w:r>
              <w:rPr>
                <w:rFonts w:hint="eastAsia" w:ascii="宋体" w:hAnsi="宋体" w:eastAsia="Times New Roman" w:cs="宋体"/>
                <w:b/>
                <w:bCs/>
                <w:kern w:val="0"/>
                <w:sz w:val="24"/>
                <w:szCs w:val="24"/>
              </w:rPr>
              <w:t>单位名称</w:t>
            </w:r>
          </w:p>
        </w:tc>
      </w:tr>
      <w:tr w14:paraId="29F43A1D">
        <w:tblPrEx>
          <w:tblCellMar>
            <w:top w:w="0" w:type="dxa"/>
            <w:left w:w="108" w:type="dxa"/>
            <w:bottom w:w="0" w:type="dxa"/>
            <w:right w:w="108" w:type="dxa"/>
          </w:tblCellMar>
        </w:tblPrEx>
        <w:trPr>
          <w:trHeight w:val="495"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14:paraId="5E5E60F3">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Times New Roman" w:cs="宋体"/>
                <w:kern w:val="0"/>
                <w:sz w:val="24"/>
                <w:szCs w:val="24"/>
              </w:rPr>
              <w:t>1</w:t>
            </w:r>
          </w:p>
        </w:tc>
        <w:tc>
          <w:tcPr>
            <w:tcW w:w="8380" w:type="dxa"/>
            <w:tcBorders>
              <w:top w:val="single" w:color="auto" w:sz="4" w:space="0"/>
              <w:left w:val="nil"/>
              <w:bottom w:val="single" w:color="auto" w:sz="4" w:space="0"/>
              <w:right w:val="single" w:color="auto" w:sz="4" w:space="0"/>
            </w:tcBorders>
            <w:noWrap w:val="0"/>
            <w:vAlign w:val="center"/>
          </w:tcPr>
          <w:p w14:paraId="225438B9">
            <w:pPr>
              <w:keepNext w:val="0"/>
              <w:keepLines w:val="0"/>
              <w:widowControl/>
              <w:suppressLineNumbers w:val="0"/>
              <w:spacing w:before="0" w:beforeAutospacing="0" w:after="0" w:afterAutospacing="0"/>
              <w:ind w:left="0" w:right="0"/>
              <w:jc w:val="center"/>
              <w:rPr>
                <w:rFonts w:hint="eastAsia" w:ascii="宋体" w:hAnsi="宋体" w:eastAsia="Times New Roman" w:cs="宋体"/>
                <w:kern w:val="0"/>
                <w:sz w:val="24"/>
                <w:szCs w:val="24"/>
              </w:rPr>
            </w:pPr>
            <w:r>
              <w:rPr>
                <w:rFonts w:hint="eastAsia" w:ascii="宋体" w:hAnsi="宋体" w:eastAsia="Times New Roman" w:cs="宋体"/>
                <w:kern w:val="0"/>
                <w:sz w:val="24"/>
                <w:szCs w:val="24"/>
              </w:rPr>
              <w:t>广东省建筑工程监理有限公司</w:t>
            </w:r>
          </w:p>
        </w:tc>
      </w:tr>
    </w:tbl>
    <w:p w14:paraId="07B1AFEB">
      <w:pPr>
        <w:pStyle w:val="2"/>
        <w:rPr>
          <w:rFonts w:hint="eastAsia" w:ascii="宋体" w:hAnsi="宋体" w:cs="宋体"/>
          <w:sz w:val="24"/>
          <w:szCs w:val="24"/>
        </w:rPr>
      </w:pPr>
    </w:p>
    <w:sectPr>
      <w:footerReference r:id="rId3" w:type="default"/>
      <w:pgSz w:w="11906" w:h="16838"/>
      <w:pgMar w:top="1020" w:right="1134" w:bottom="1020" w:left="1134" w:header="851" w:footer="55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0095E">
    <w:pPr>
      <w:pStyle w:val="2"/>
      <w:jc w:val="center"/>
    </w:pPr>
    <w:r>
      <w:fldChar w:fldCharType="begin"/>
    </w:r>
    <w:r>
      <w:instrText xml:space="preserve">PAGE   \* MERGEFORMAT</w:instrText>
    </w:r>
    <w:r>
      <w:fldChar w:fldCharType="separate"/>
    </w:r>
    <w:r>
      <w:rPr>
        <w:lang w:val="zh-CN"/>
      </w:rPr>
      <w:t>1</w:t>
    </w:r>
    <w:r>
      <w:fldChar w:fldCharType="end"/>
    </w:r>
  </w:p>
  <w:p w14:paraId="07EA8B0D">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0B24CB"/>
    <w:multiLevelType w:val="multilevel"/>
    <w:tmpl w:val="5A0B24CB"/>
    <w:lvl w:ilvl="0" w:tentative="0">
      <w:start w:val="1"/>
      <w:numFmt w:val="decimal"/>
      <w:pStyle w:val="5"/>
      <w:lvlText w:val="1.%1"/>
      <w:lvlJc w:val="left"/>
      <w:pPr>
        <w:ind w:left="0" w:firstLine="0"/>
      </w:pPr>
      <w:rPr>
        <w:rFonts w:hint="eastAsia"/>
      </w:rPr>
    </w:lvl>
    <w:lvl w:ilvl="1" w:tentative="0">
      <w:start w:val="1"/>
      <w:numFmt w:val="lowerLetter"/>
      <w:lvlText w:val="%2)"/>
      <w:lvlJc w:val="left"/>
      <w:pPr>
        <w:ind w:left="1660" w:hanging="420"/>
      </w:pPr>
    </w:lvl>
    <w:lvl w:ilvl="2" w:tentative="0">
      <w:start w:val="1"/>
      <w:numFmt w:val="lowerRoman"/>
      <w:lvlText w:val="%3."/>
      <w:lvlJc w:val="right"/>
      <w:pPr>
        <w:ind w:left="2080" w:hanging="420"/>
      </w:pPr>
    </w:lvl>
    <w:lvl w:ilvl="3" w:tentative="0">
      <w:start w:val="1"/>
      <w:numFmt w:val="decimal"/>
      <w:lvlText w:val="%4."/>
      <w:lvlJc w:val="left"/>
      <w:pPr>
        <w:ind w:left="2500" w:hanging="420"/>
      </w:pPr>
    </w:lvl>
    <w:lvl w:ilvl="4" w:tentative="0">
      <w:start w:val="1"/>
      <w:numFmt w:val="lowerLetter"/>
      <w:lvlText w:val="%5)"/>
      <w:lvlJc w:val="left"/>
      <w:pPr>
        <w:ind w:left="2920" w:hanging="420"/>
      </w:pPr>
    </w:lvl>
    <w:lvl w:ilvl="5" w:tentative="0">
      <w:start w:val="1"/>
      <w:numFmt w:val="lowerRoman"/>
      <w:lvlText w:val="%6."/>
      <w:lvlJc w:val="right"/>
      <w:pPr>
        <w:ind w:left="3340" w:hanging="420"/>
      </w:pPr>
    </w:lvl>
    <w:lvl w:ilvl="6" w:tentative="0">
      <w:start w:val="1"/>
      <w:numFmt w:val="decimal"/>
      <w:lvlText w:val="%7."/>
      <w:lvlJc w:val="left"/>
      <w:pPr>
        <w:ind w:left="3760" w:hanging="420"/>
      </w:pPr>
    </w:lvl>
    <w:lvl w:ilvl="7" w:tentative="0">
      <w:start w:val="1"/>
      <w:numFmt w:val="lowerLetter"/>
      <w:lvlText w:val="%8)"/>
      <w:lvlJc w:val="left"/>
      <w:pPr>
        <w:ind w:left="4180" w:hanging="420"/>
      </w:pPr>
    </w:lvl>
    <w:lvl w:ilvl="8" w:tentative="0">
      <w:start w:val="1"/>
      <w:numFmt w:val="lowerRoman"/>
      <w:lvlText w:val="%9."/>
      <w:lvlJc w:val="right"/>
      <w:pPr>
        <w:ind w:left="46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4YWM1NGVjZTdkMDlhNWFhYjkwODc2NzI3NGJjYzIifQ=="/>
  </w:docVars>
  <w:rsids>
    <w:rsidRoot w:val="00172A27"/>
    <w:rsid w:val="000026A2"/>
    <w:rsid w:val="00013EBB"/>
    <w:rsid w:val="00015F2C"/>
    <w:rsid w:val="000411AE"/>
    <w:rsid w:val="00042E23"/>
    <w:rsid w:val="00043C94"/>
    <w:rsid w:val="00046162"/>
    <w:rsid w:val="000601E9"/>
    <w:rsid w:val="00081399"/>
    <w:rsid w:val="0008600C"/>
    <w:rsid w:val="000A31D6"/>
    <w:rsid w:val="000C4758"/>
    <w:rsid w:val="000C71E7"/>
    <w:rsid w:val="000F295A"/>
    <w:rsid w:val="0011419E"/>
    <w:rsid w:val="00114F7B"/>
    <w:rsid w:val="00140C7A"/>
    <w:rsid w:val="0014123D"/>
    <w:rsid w:val="00147026"/>
    <w:rsid w:val="00165D09"/>
    <w:rsid w:val="001704FE"/>
    <w:rsid w:val="0017163F"/>
    <w:rsid w:val="001879B5"/>
    <w:rsid w:val="001A08CC"/>
    <w:rsid w:val="001A095F"/>
    <w:rsid w:val="001A3FEA"/>
    <w:rsid w:val="001B4D97"/>
    <w:rsid w:val="001D19BB"/>
    <w:rsid w:val="001D38FF"/>
    <w:rsid w:val="001D6000"/>
    <w:rsid w:val="001F086A"/>
    <w:rsid w:val="001F18EB"/>
    <w:rsid w:val="00202464"/>
    <w:rsid w:val="00203546"/>
    <w:rsid w:val="0020496F"/>
    <w:rsid w:val="00220DC3"/>
    <w:rsid w:val="0023252B"/>
    <w:rsid w:val="002407B4"/>
    <w:rsid w:val="002540E7"/>
    <w:rsid w:val="00257CF3"/>
    <w:rsid w:val="00261768"/>
    <w:rsid w:val="002622EB"/>
    <w:rsid w:val="00263E75"/>
    <w:rsid w:val="00282B7C"/>
    <w:rsid w:val="00293700"/>
    <w:rsid w:val="002B4B47"/>
    <w:rsid w:val="002B68F9"/>
    <w:rsid w:val="002C53DC"/>
    <w:rsid w:val="002D2BD3"/>
    <w:rsid w:val="002E3CCA"/>
    <w:rsid w:val="002F6ACC"/>
    <w:rsid w:val="00321858"/>
    <w:rsid w:val="00325ACA"/>
    <w:rsid w:val="00331596"/>
    <w:rsid w:val="00344B91"/>
    <w:rsid w:val="00345521"/>
    <w:rsid w:val="00355432"/>
    <w:rsid w:val="00356A73"/>
    <w:rsid w:val="00365473"/>
    <w:rsid w:val="00370B07"/>
    <w:rsid w:val="00384FC8"/>
    <w:rsid w:val="00390596"/>
    <w:rsid w:val="003C4A55"/>
    <w:rsid w:val="003C5FFA"/>
    <w:rsid w:val="0040256F"/>
    <w:rsid w:val="00415F70"/>
    <w:rsid w:val="00425AB7"/>
    <w:rsid w:val="00433EC6"/>
    <w:rsid w:val="00444CE2"/>
    <w:rsid w:val="004613F5"/>
    <w:rsid w:val="00464A2B"/>
    <w:rsid w:val="0047313F"/>
    <w:rsid w:val="00483037"/>
    <w:rsid w:val="00492E3F"/>
    <w:rsid w:val="004A0210"/>
    <w:rsid w:val="004B264E"/>
    <w:rsid w:val="004B41DC"/>
    <w:rsid w:val="004C4674"/>
    <w:rsid w:val="004D2CB9"/>
    <w:rsid w:val="004D55B6"/>
    <w:rsid w:val="004D5A4E"/>
    <w:rsid w:val="004E7DFE"/>
    <w:rsid w:val="004F0567"/>
    <w:rsid w:val="004F7B7E"/>
    <w:rsid w:val="00501E36"/>
    <w:rsid w:val="00504E28"/>
    <w:rsid w:val="00523F0A"/>
    <w:rsid w:val="00526F84"/>
    <w:rsid w:val="00562326"/>
    <w:rsid w:val="0057486C"/>
    <w:rsid w:val="00583B31"/>
    <w:rsid w:val="005850AD"/>
    <w:rsid w:val="005B248F"/>
    <w:rsid w:val="005B4684"/>
    <w:rsid w:val="005B5F9E"/>
    <w:rsid w:val="005B7C9E"/>
    <w:rsid w:val="005C0257"/>
    <w:rsid w:val="005D16FD"/>
    <w:rsid w:val="005D3D4A"/>
    <w:rsid w:val="005D74C4"/>
    <w:rsid w:val="005E647E"/>
    <w:rsid w:val="00610C65"/>
    <w:rsid w:val="00612EC6"/>
    <w:rsid w:val="0061545B"/>
    <w:rsid w:val="006160B6"/>
    <w:rsid w:val="00621983"/>
    <w:rsid w:val="00652B73"/>
    <w:rsid w:val="00653F87"/>
    <w:rsid w:val="00656FD0"/>
    <w:rsid w:val="00657CF5"/>
    <w:rsid w:val="006677CD"/>
    <w:rsid w:val="006C5D01"/>
    <w:rsid w:val="006D090A"/>
    <w:rsid w:val="006E14DF"/>
    <w:rsid w:val="006E32FA"/>
    <w:rsid w:val="006F26BA"/>
    <w:rsid w:val="007018B8"/>
    <w:rsid w:val="00707DB0"/>
    <w:rsid w:val="00713085"/>
    <w:rsid w:val="007269BB"/>
    <w:rsid w:val="00735814"/>
    <w:rsid w:val="007359B2"/>
    <w:rsid w:val="00737B7F"/>
    <w:rsid w:val="007456E7"/>
    <w:rsid w:val="00767317"/>
    <w:rsid w:val="00781675"/>
    <w:rsid w:val="00785D86"/>
    <w:rsid w:val="00793CA6"/>
    <w:rsid w:val="007A0BFA"/>
    <w:rsid w:val="007A14F0"/>
    <w:rsid w:val="007B0B63"/>
    <w:rsid w:val="007B43D2"/>
    <w:rsid w:val="007B60EF"/>
    <w:rsid w:val="007B62A0"/>
    <w:rsid w:val="007C120B"/>
    <w:rsid w:val="007C5D0C"/>
    <w:rsid w:val="007C5EC6"/>
    <w:rsid w:val="007C6924"/>
    <w:rsid w:val="007D1565"/>
    <w:rsid w:val="007D372F"/>
    <w:rsid w:val="007E293A"/>
    <w:rsid w:val="007F2021"/>
    <w:rsid w:val="007F3786"/>
    <w:rsid w:val="007F7D28"/>
    <w:rsid w:val="00806799"/>
    <w:rsid w:val="00831272"/>
    <w:rsid w:val="00833877"/>
    <w:rsid w:val="00850F47"/>
    <w:rsid w:val="0085123E"/>
    <w:rsid w:val="0086708A"/>
    <w:rsid w:val="008A29DA"/>
    <w:rsid w:val="008A5FBB"/>
    <w:rsid w:val="008A6109"/>
    <w:rsid w:val="008B1D51"/>
    <w:rsid w:val="008B5C4B"/>
    <w:rsid w:val="008C0895"/>
    <w:rsid w:val="008C7BF4"/>
    <w:rsid w:val="008D0FD4"/>
    <w:rsid w:val="008E5AB6"/>
    <w:rsid w:val="008F06DD"/>
    <w:rsid w:val="009024B6"/>
    <w:rsid w:val="009124DD"/>
    <w:rsid w:val="00922EA1"/>
    <w:rsid w:val="00934E0A"/>
    <w:rsid w:val="00963AE0"/>
    <w:rsid w:val="0097612A"/>
    <w:rsid w:val="00977ED9"/>
    <w:rsid w:val="00984533"/>
    <w:rsid w:val="009B6EC8"/>
    <w:rsid w:val="009D2546"/>
    <w:rsid w:val="009D6C57"/>
    <w:rsid w:val="009E3554"/>
    <w:rsid w:val="009F2B28"/>
    <w:rsid w:val="009F7B0B"/>
    <w:rsid w:val="00A02E60"/>
    <w:rsid w:val="00A04997"/>
    <w:rsid w:val="00A052D0"/>
    <w:rsid w:val="00A13DE6"/>
    <w:rsid w:val="00A20D97"/>
    <w:rsid w:val="00A55ABA"/>
    <w:rsid w:val="00A918F0"/>
    <w:rsid w:val="00A91FD7"/>
    <w:rsid w:val="00A97DD3"/>
    <w:rsid w:val="00AC1D7E"/>
    <w:rsid w:val="00AC47FE"/>
    <w:rsid w:val="00AC5275"/>
    <w:rsid w:val="00AC7C68"/>
    <w:rsid w:val="00AD647A"/>
    <w:rsid w:val="00AF1411"/>
    <w:rsid w:val="00AF3DD5"/>
    <w:rsid w:val="00AF5F44"/>
    <w:rsid w:val="00B047D3"/>
    <w:rsid w:val="00B12C03"/>
    <w:rsid w:val="00B178FB"/>
    <w:rsid w:val="00B23FCB"/>
    <w:rsid w:val="00B27737"/>
    <w:rsid w:val="00B3470B"/>
    <w:rsid w:val="00B54727"/>
    <w:rsid w:val="00B55993"/>
    <w:rsid w:val="00B55A4E"/>
    <w:rsid w:val="00B61895"/>
    <w:rsid w:val="00B70E54"/>
    <w:rsid w:val="00B80D05"/>
    <w:rsid w:val="00B82205"/>
    <w:rsid w:val="00B94E1F"/>
    <w:rsid w:val="00B96939"/>
    <w:rsid w:val="00BA5067"/>
    <w:rsid w:val="00BA7116"/>
    <w:rsid w:val="00BB121A"/>
    <w:rsid w:val="00BD5ADF"/>
    <w:rsid w:val="00BD72EF"/>
    <w:rsid w:val="00BE196E"/>
    <w:rsid w:val="00C14D0F"/>
    <w:rsid w:val="00C1545C"/>
    <w:rsid w:val="00C42DB1"/>
    <w:rsid w:val="00C45C1F"/>
    <w:rsid w:val="00C508F5"/>
    <w:rsid w:val="00C82F35"/>
    <w:rsid w:val="00C87C72"/>
    <w:rsid w:val="00C93A3C"/>
    <w:rsid w:val="00CA3A65"/>
    <w:rsid w:val="00CB2117"/>
    <w:rsid w:val="00CC2BCC"/>
    <w:rsid w:val="00CD0A09"/>
    <w:rsid w:val="00CD3CED"/>
    <w:rsid w:val="00CE1A61"/>
    <w:rsid w:val="00CF6E82"/>
    <w:rsid w:val="00D113FD"/>
    <w:rsid w:val="00D209A0"/>
    <w:rsid w:val="00D22D0A"/>
    <w:rsid w:val="00D334C5"/>
    <w:rsid w:val="00D334CE"/>
    <w:rsid w:val="00D34B38"/>
    <w:rsid w:val="00D4046F"/>
    <w:rsid w:val="00D47F5C"/>
    <w:rsid w:val="00D631A8"/>
    <w:rsid w:val="00D64885"/>
    <w:rsid w:val="00D72EA1"/>
    <w:rsid w:val="00D7363D"/>
    <w:rsid w:val="00D74C75"/>
    <w:rsid w:val="00D849FB"/>
    <w:rsid w:val="00D91BA9"/>
    <w:rsid w:val="00D94144"/>
    <w:rsid w:val="00DA3F37"/>
    <w:rsid w:val="00DC27FD"/>
    <w:rsid w:val="00DC3E97"/>
    <w:rsid w:val="00DE2716"/>
    <w:rsid w:val="00DF5CD0"/>
    <w:rsid w:val="00E01428"/>
    <w:rsid w:val="00E15E2F"/>
    <w:rsid w:val="00E239A3"/>
    <w:rsid w:val="00E352D3"/>
    <w:rsid w:val="00E4172B"/>
    <w:rsid w:val="00E427F5"/>
    <w:rsid w:val="00E470FA"/>
    <w:rsid w:val="00E55A15"/>
    <w:rsid w:val="00E55EC2"/>
    <w:rsid w:val="00E5617B"/>
    <w:rsid w:val="00E62D44"/>
    <w:rsid w:val="00E62E81"/>
    <w:rsid w:val="00E633C0"/>
    <w:rsid w:val="00E70299"/>
    <w:rsid w:val="00EB0077"/>
    <w:rsid w:val="00EF3C59"/>
    <w:rsid w:val="00EF41F8"/>
    <w:rsid w:val="00F00BC9"/>
    <w:rsid w:val="00F056C7"/>
    <w:rsid w:val="00F1194E"/>
    <w:rsid w:val="00F20436"/>
    <w:rsid w:val="00F3558D"/>
    <w:rsid w:val="00F47A6C"/>
    <w:rsid w:val="00F74C4E"/>
    <w:rsid w:val="00F801C1"/>
    <w:rsid w:val="00F85E5C"/>
    <w:rsid w:val="00F90E30"/>
    <w:rsid w:val="00F9374C"/>
    <w:rsid w:val="00FA208C"/>
    <w:rsid w:val="00FC7F7A"/>
    <w:rsid w:val="00FD3CDB"/>
    <w:rsid w:val="00FE4969"/>
    <w:rsid w:val="00FE52AA"/>
    <w:rsid w:val="00FF281C"/>
    <w:rsid w:val="00FF40D6"/>
    <w:rsid w:val="01350E9B"/>
    <w:rsid w:val="013C246A"/>
    <w:rsid w:val="015141BC"/>
    <w:rsid w:val="03471A2F"/>
    <w:rsid w:val="038A443A"/>
    <w:rsid w:val="03AC4F68"/>
    <w:rsid w:val="03B409DD"/>
    <w:rsid w:val="03BA0BB5"/>
    <w:rsid w:val="0463739A"/>
    <w:rsid w:val="04FD516D"/>
    <w:rsid w:val="051A60E2"/>
    <w:rsid w:val="052676B9"/>
    <w:rsid w:val="05462D9A"/>
    <w:rsid w:val="055C4C43"/>
    <w:rsid w:val="05900FD6"/>
    <w:rsid w:val="068F5865"/>
    <w:rsid w:val="06A87B11"/>
    <w:rsid w:val="06C910BE"/>
    <w:rsid w:val="06F24108"/>
    <w:rsid w:val="07101B2F"/>
    <w:rsid w:val="0739537B"/>
    <w:rsid w:val="073F4615"/>
    <w:rsid w:val="073F7DD8"/>
    <w:rsid w:val="07613623"/>
    <w:rsid w:val="07C76C61"/>
    <w:rsid w:val="07DB35E8"/>
    <w:rsid w:val="080564E3"/>
    <w:rsid w:val="08976DAA"/>
    <w:rsid w:val="08BF5E5A"/>
    <w:rsid w:val="08E6788B"/>
    <w:rsid w:val="090D306A"/>
    <w:rsid w:val="09365362"/>
    <w:rsid w:val="09374912"/>
    <w:rsid w:val="093F49DB"/>
    <w:rsid w:val="09A053D2"/>
    <w:rsid w:val="0A3F6360"/>
    <w:rsid w:val="0A59337B"/>
    <w:rsid w:val="0A600C55"/>
    <w:rsid w:val="0A63763F"/>
    <w:rsid w:val="0B042002"/>
    <w:rsid w:val="0C822C9A"/>
    <w:rsid w:val="0CA03B8D"/>
    <w:rsid w:val="0CF95178"/>
    <w:rsid w:val="0D9933AB"/>
    <w:rsid w:val="0DA2444C"/>
    <w:rsid w:val="0E335F18"/>
    <w:rsid w:val="0EB1549D"/>
    <w:rsid w:val="0F2F4762"/>
    <w:rsid w:val="0F440705"/>
    <w:rsid w:val="0F446C1A"/>
    <w:rsid w:val="0F5875D7"/>
    <w:rsid w:val="10035EA4"/>
    <w:rsid w:val="100C3C25"/>
    <w:rsid w:val="102C7EC4"/>
    <w:rsid w:val="10A81E09"/>
    <w:rsid w:val="113F1976"/>
    <w:rsid w:val="11BC33E0"/>
    <w:rsid w:val="1202500A"/>
    <w:rsid w:val="12F24914"/>
    <w:rsid w:val="137E1654"/>
    <w:rsid w:val="13BB3336"/>
    <w:rsid w:val="13BD39C0"/>
    <w:rsid w:val="13E30573"/>
    <w:rsid w:val="1406670E"/>
    <w:rsid w:val="14B27BCC"/>
    <w:rsid w:val="15032105"/>
    <w:rsid w:val="153F5F81"/>
    <w:rsid w:val="157A66B7"/>
    <w:rsid w:val="15955189"/>
    <w:rsid w:val="159C141F"/>
    <w:rsid w:val="15D10D62"/>
    <w:rsid w:val="16894F90"/>
    <w:rsid w:val="16AE6B2E"/>
    <w:rsid w:val="16DA0820"/>
    <w:rsid w:val="17054BBE"/>
    <w:rsid w:val="17C34D32"/>
    <w:rsid w:val="183B224D"/>
    <w:rsid w:val="18DC6F85"/>
    <w:rsid w:val="19EE4704"/>
    <w:rsid w:val="19FB75B6"/>
    <w:rsid w:val="19FD7845"/>
    <w:rsid w:val="1AC10E62"/>
    <w:rsid w:val="1ACD26EA"/>
    <w:rsid w:val="1AD56CF6"/>
    <w:rsid w:val="1ADC06DE"/>
    <w:rsid w:val="1AE45DC0"/>
    <w:rsid w:val="1AEB35C0"/>
    <w:rsid w:val="1B0C6751"/>
    <w:rsid w:val="1B704045"/>
    <w:rsid w:val="1B75684C"/>
    <w:rsid w:val="1B9969DF"/>
    <w:rsid w:val="1C0249C6"/>
    <w:rsid w:val="1C4E77C9"/>
    <w:rsid w:val="1C671061"/>
    <w:rsid w:val="1C69300A"/>
    <w:rsid w:val="1C6A7B72"/>
    <w:rsid w:val="1CAA5C5E"/>
    <w:rsid w:val="1CF64CEC"/>
    <w:rsid w:val="1E291A21"/>
    <w:rsid w:val="1E9560BA"/>
    <w:rsid w:val="1EBD3DD7"/>
    <w:rsid w:val="1ED949AE"/>
    <w:rsid w:val="1EEC5FC6"/>
    <w:rsid w:val="1F0E4FEE"/>
    <w:rsid w:val="1F1A7E37"/>
    <w:rsid w:val="1F702086"/>
    <w:rsid w:val="1FA52A8D"/>
    <w:rsid w:val="201D0563"/>
    <w:rsid w:val="202B4BAB"/>
    <w:rsid w:val="205048B7"/>
    <w:rsid w:val="20885CC7"/>
    <w:rsid w:val="20AA52D0"/>
    <w:rsid w:val="20CF4C51"/>
    <w:rsid w:val="225125EE"/>
    <w:rsid w:val="233A686A"/>
    <w:rsid w:val="237873D9"/>
    <w:rsid w:val="238B1E27"/>
    <w:rsid w:val="239630E7"/>
    <w:rsid w:val="23B51622"/>
    <w:rsid w:val="23CF6184"/>
    <w:rsid w:val="24293B8D"/>
    <w:rsid w:val="24426AE8"/>
    <w:rsid w:val="24C531E6"/>
    <w:rsid w:val="25BA2507"/>
    <w:rsid w:val="26706992"/>
    <w:rsid w:val="26D86F4A"/>
    <w:rsid w:val="26E66447"/>
    <w:rsid w:val="27463BEA"/>
    <w:rsid w:val="27C22E19"/>
    <w:rsid w:val="27E87A90"/>
    <w:rsid w:val="27FD0B0C"/>
    <w:rsid w:val="280B3804"/>
    <w:rsid w:val="2818402B"/>
    <w:rsid w:val="284E7649"/>
    <w:rsid w:val="285216FC"/>
    <w:rsid w:val="287C2F76"/>
    <w:rsid w:val="28E77D73"/>
    <w:rsid w:val="296E4EC5"/>
    <w:rsid w:val="29A902EA"/>
    <w:rsid w:val="29C06493"/>
    <w:rsid w:val="29CE77FE"/>
    <w:rsid w:val="2A167956"/>
    <w:rsid w:val="2A41271B"/>
    <w:rsid w:val="2ADB258E"/>
    <w:rsid w:val="2B180960"/>
    <w:rsid w:val="2B4263DB"/>
    <w:rsid w:val="2B6A205C"/>
    <w:rsid w:val="2BBC04F4"/>
    <w:rsid w:val="2BED2D6E"/>
    <w:rsid w:val="2C6B6A8B"/>
    <w:rsid w:val="2CCB494C"/>
    <w:rsid w:val="2CEF77E9"/>
    <w:rsid w:val="2D114F41"/>
    <w:rsid w:val="2D2652FE"/>
    <w:rsid w:val="2E13670A"/>
    <w:rsid w:val="2EFA612A"/>
    <w:rsid w:val="2F6F068E"/>
    <w:rsid w:val="2FA61D39"/>
    <w:rsid w:val="2FC97BDE"/>
    <w:rsid w:val="311E264C"/>
    <w:rsid w:val="31812079"/>
    <w:rsid w:val="31A96286"/>
    <w:rsid w:val="31C52AEE"/>
    <w:rsid w:val="31E93637"/>
    <w:rsid w:val="31EA4F94"/>
    <w:rsid w:val="32F5013C"/>
    <w:rsid w:val="33087C03"/>
    <w:rsid w:val="330E0237"/>
    <w:rsid w:val="33F132BC"/>
    <w:rsid w:val="350A27C4"/>
    <w:rsid w:val="352678F3"/>
    <w:rsid w:val="354D5B85"/>
    <w:rsid w:val="355A7767"/>
    <w:rsid w:val="363E6640"/>
    <w:rsid w:val="369B32D9"/>
    <w:rsid w:val="373A427A"/>
    <w:rsid w:val="37B001E3"/>
    <w:rsid w:val="37BC6BCF"/>
    <w:rsid w:val="380B4369"/>
    <w:rsid w:val="3814402B"/>
    <w:rsid w:val="381B164B"/>
    <w:rsid w:val="384165E4"/>
    <w:rsid w:val="388C2337"/>
    <w:rsid w:val="38C95E13"/>
    <w:rsid w:val="38D6254B"/>
    <w:rsid w:val="38EC507C"/>
    <w:rsid w:val="39163EFF"/>
    <w:rsid w:val="392A1022"/>
    <w:rsid w:val="39A63122"/>
    <w:rsid w:val="39BE5CA1"/>
    <w:rsid w:val="39D14999"/>
    <w:rsid w:val="3A0156B5"/>
    <w:rsid w:val="3A174C59"/>
    <w:rsid w:val="3A33560A"/>
    <w:rsid w:val="3A5D6D16"/>
    <w:rsid w:val="3A70209B"/>
    <w:rsid w:val="3A945E77"/>
    <w:rsid w:val="3B4F4B37"/>
    <w:rsid w:val="3BE319B5"/>
    <w:rsid w:val="3C3A5E98"/>
    <w:rsid w:val="3C766FD0"/>
    <w:rsid w:val="3D4979A9"/>
    <w:rsid w:val="3DD426A3"/>
    <w:rsid w:val="3E0D0E3B"/>
    <w:rsid w:val="3F0833B0"/>
    <w:rsid w:val="3F0F21EC"/>
    <w:rsid w:val="3F101FAB"/>
    <w:rsid w:val="3F975143"/>
    <w:rsid w:val="40553A0B"/>
    <w:rsid w:val="40567C51"/>
    <w:rsid w:val="40996F39"/>
    <w:rsid w:val="40D519B8"/>
    <w:rsid w:val="40FC5BFC"/>
    <w:rsid w:val="412C551E"/>
    <w:rsid w:val="41862E31"/>
    <w:rsid w:val="41C45CB4"/>
    <w:rsid w:val="41DD623C"/>
    <w:rsid w:val="420F6F4F"/>
    <w:rsid w:val="423A0D89"/>
    <w:rsid w:val="42731488"/>
    <w:rsid w:val="42F26126"/>
    <w:rsid w:val="43142702"/>
    <w:rsid w:val="43711DCD"/>
    <w:rsid w:val="43B04FC4"/>
    <w:rsid w:val="441609FE"/>
    <w:rsid w:val="441D3DFB"/>
    <w:rsid w:val="44332C7D"/>
    <w:rsid w:val="44787119"/>
    <w:rsid w:val="449E0C3A"/>
    <w:rsid w:val="44B14BAD"/>
    <w:rsid w:val="453F1567"/>
    <w:rsid w:val="45481D0B"/>
    <w:rsid w:val="45EC271B"/>
    <w:rsid w:val="460D0138"/>
    <w:rsid w:val="46341605"/>
    <w:rsid w:val="464F792E"/>
    <w:rsid w:val="46710A82"/>
    <w:rsid w:val="46786C46"/>
    <w:rsid w:val="46BB1440"/>
    <w:rsid w:val="46C01A18"/>
    <w:rsid w:val="471B7FDF"/>
    <w:rsid w:val="4796337E"/>
    <w:rsid w:val="47DB5C52"/>
    <w:rsid w:val="47EB3931"/>
    <w:rsid w:val="484861D5"/>
    <w:rsid w:val="48494B47"/>
    <w:rsid w:val="490360ED"/>
    <w:rsid w:val="497639BC"/>
    <w:rsid w:val="499E06A4"/>
    <w:rsid w:val="4B111180"/>
    <w:rsid w:val="4B3B06EC"/>
    <w:rsid w:val="4B703251"/>
    <w:rsid w:val="4B84692E"/>
    <w:rsid w:val="4B9B2EA2"/>
    <w:rsid w:val="4C5C739B"/>
    <w:rsid w:val="4C816B2A"/>
    <w:rsid w:val="4CB82022"/>
    <w:rsid w:val="4CD95E1F"/>
    <w:rsid w:val="4CE32671"/>
    <w:rsid w:val="4CE814FE"/>
    <w:rsid w:val="4D212BF1"/>
    <w:rsid w:val="4D2E0FFF"/>
    <w:rsid w:val="4D361F8B"/>
    <w:rsid w:val="4D666715"/>
    <w:rsid w:val="4D9779D9"/>
    <w:rsid w:val="4DC86FFC"/>
    <w:rsid w:val="4F6D6CA2"/>
    <w:rsid w:val="4FB428EC"/>
    <w:rsid w:val="4FB54E8E"/>
    <w:rsid w:val="4FCB46B2"/>
    <w:rsid w:val="50715259"/>
    <w:rsid w:val="5074549A"/>
    <w:rsid w:val="5076724B"/>
    <w:rsid w:val="516D06A3"/>
    <w:rsid w:val="518F21EB"/>
    <w:rsid w:val="51A667D4"/>
    <w:rsid w:val="51D47985"/>
    <w:rsid w:val="51EE4DE7"/>
    <w:rsid w:val="520166C8"/>
    <w:rsid w:val="52746648"/>
    <w:rsid w:val="52B67C0D"/>
    <w:rsid w:val="52E93D38"/>
    <w:rsid w:val="54C13C43"/>
    <w:rsid w:val="54D74443"/>
    <w:rsid w:val="54F357D4"/>
    <w:rsid w:val="55387425"/>
    <w:rsid w:val="554627AE"/>
    <w:rsid w:val="556E1E6A"/>
    <w:rsid w:val="559A57A0"/>
    <w:rsid w:val="55FC28E0"/>
    <w:rsid w:val="567745B4"/>
    <w:rsid w:val="57681FD0"/>
    <w:rsid w:val="57D91C88"/>
    <w:rsid w:val="57E70801"/>
    <w:rsid w:val="57FE7442"/>
    <w:rsid w:val="583126AA"/>
    <w:rsid w:val="58E81E30"/>
    <w:rsid w:val="58F76144"/>
    <w:rsid w:val="59A8160A"/>
    <w:rsid w:val="59DB6C55"/>
    <w:rsid w:val="5A1E278E"/>
    <w:rsid w:val="5A326B85"/>
    <w:rsid w:val="5A414977"/>
    <w:rsid w:val="5ADC59C5"/>
    <w:rsid w:val="5ADD01BC"/>
    <w:rsid w:val="5AE243B7"/>
    <w:rsid w:val="5BF93D40"/>
    <w:rsid w:val="5C1C2125"/>
    <w:rsid w:val="5D0311E9"/>
    <w:rsid w:val="5E2203EB"/>
    <w:rsid w:val="5E9B7945"/>
    <w:rsid w:val="5F312D19"/>
    <w:rsid w:val="5F750689"/>
    <w:rsid w:val="5FB7772B"/>
    <w:rsid w:val="5FEB0C71"/>
    <w:rsid w:val="603F0325"/>
    <w:rsid w:val="612E5216"/>
    <w:rsid w:val="6155350A"/>
    <w:rsid w:val="61831F0A"/>
    <w:rsid w:val="63366D89"/>
    <w:rsid w:val="64421357"/>
    <w:rsid w:val="64726D1F"/>
    <w:rsid w:val="652B6423"/>
    <w:rsid w:val="66597038"/>
    <w:rsid w:val="669F40CA"/>
    <w:rsid w:val="66A53296"/>
    <w:rsid w:val="67C7203D"/>
    <w:rsid w:val="68A14A2C"/>
    <w:rsid w:val="68F3702E"/>
    <w:rsid w:val="695907B8"/>
    <w:rsid w:val="69F543AD"/>
    <w:rsid w:val="6A532006"/>
    <w:rsid w:val="6A7F3DE5"/>
    <w:rsid w:val="6A94488C"/>
    <w:rsid w:val="6BDA2C1D"/>
    <w:rsid w:val="6BEB52D3"/>
    <w:rsid w:val="6BF24223"/>
    <w:rsid w:val="6C100D0C"/>
    <w:rsid w:val="6C3D322F"/>
    <w:rsid w:val="6C6456C4"/>
    <w:rsid w:val="6D3B3E6B"/>
    <w:rsid w:val="6E3F1379"/>
    <w:rsid w:val="6EBD3355"/>
    <w:rsid w:val="6ED85718"/>
    <w:rsid w:val="6EE129B5"/>
    <w:rsid w:val="6F0D1104"/>
    <w:rsid w:val="6F0F2C1A"/>
    <w:rsid w:val="6F5E1AE9"/>
    <w:rsid w:val="6FA66A34"/>
    <w:rsid w:val="6FC24C3D"/>
    <w:rsid w:val="700D3919"/>
    <w:rsid w:val="702A3507"/>
    <w:rsid w:val="70CE1656"/>
    <w:rsid w:val="70D00924"/>
    <w:rsid w:val="713B610A"/>
    <w:rsid w:val="713D20F5"/>
    <w:rsid w:val="713E2ADE"/>
    <w:rsid w:val="71A76C32"/>
    <w:rsid w:val="720F5874"/>
    <w:rsid w:val="72A04FD6"/>
    <w:rsid w:val="72AA2A1C"/>
    <w:rsid w:val="72C94629"/>
    <w:rsid w:val="73522E2D"/>
    <w:rsid w:val="74413315"/>
    <w:rsid w:val="747B1953"/>
    <w:rsid w:val="74F84AD6"/>
    <w:rsid w:val="75306BE1"/>
    <w:rsid w:val="75426891"/>
    <w:rsid w:val="75907FBC"/>
    <w:rsid w:val="75A35186"/>
    <w:rsid w:val="765B1AD3"/>
    <w:rsid w:val="76F755FD"/>
    <w:rsid w:val="76FC7E3D"/>
    <w:rsid w:val="777804D2"/>
    <w:rsid w:val="77931C2F"/>
    <w:rsid w:val="786F723F"/>
    <w:rsid w:val="788D60F9"/>
    <w:rsid w:val="78A70B52"/>
    <w:rsid w:val="78B27628"/>
    <w:rsid w:val="78C37D6C"/>
    <w:rsid w:val="78CE35CE"/>
    <w:rsid w:val="78FD0959"/>
    <w:rsid w:val="79136B34"/>
    <w:rsid w:val="79312888"/>
    <w:rsid w:val="7997264E"/>
    <w:rsid w:val="79A962A3"/>
    <w:rsid w:val="7A0D74F8"/>
    <w:rsid w:val="7A23247F"/>
    <w:rsid w:val="7A2A5A1B"/>
    <w:rsid w:val="7A2F0295"/>
    <w:rsid w:val="7AB4309F"/>
    <w:rsid w:val="7AB51620"/>
    <w:rsid w:val="7AE51DF6"/>
    <w:rsid w:val="7B24133B"/>
    <w:rsid w:val="7B4D1237"/>
    <w:rsid w:val="7C2C38B1"/>
    <w:rsid w:val="7C7D44F9"/>
    <w:rsid w:val="7CC44BB2"/>
    <w:rsid w:val="7D377990"/>
    <w:rsid w:val="7DDB1000"/>
    <w:rsid w:val="7E72616C"/>
    <w:rsid w:val="7EB754E9"/>
    <w:rsid w:val="7EF12116"/>
    <w:rsid w:val="7F6F6558"/>
    <w:rsid w:val="7FF560A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link w:val="24"/>
    <w:qFormat/>
    <w:uiPriority w:val="0"/>
    <w:pPr>
      <w:keepNext/>
      <w:keepLines/>
      <w:spacing w:before="260" w:beforeLines="0" w:after="260" w:afterLines="0" w:line="412" w:lineRule="auto"/>
      <w:outlineLvl w:val="1"/>
    </w:pPr>
    <w:rPr>
      <w:rFonts w:ascii="Arial" w:hAnsi="Arial" w:eastAsia="黑体"/>
      <w:b/>
      <w:kern w:val="0"/>
      <w:sz w:val="32"/>
      <w:szCs w:val="20"/>
    </w:rPr>
  </w:style>
  <w:style w:type="paragraph" w:styleId="4">
    <w:name w:val="heading 3"/>
    <w:basedOn w:val="1"/>
    <w:next w:val="1"/>
    <w:link w:val="25"/>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numPr>
        <w:ilvl w:val="0"/>
        <w:numId w:val="1"/>
      </w:numPr>
      <w:outlineLvl w:val="3"/>
    </w:pPr>
    <w:rPr>
      <w:sz w:val="28"/>
    </w:rPr>
  </w:style>
  <w:style w:type="character" w:default="1" w:styleId="20">
    <w:name w:val="Default Paragraph Font"/>
    <w:qFormat/>
    <w:uiPriority w:val="0"/>
  </w:style>
  <w:style w:type="table" w:default="1" w:styleId="19">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footer"/>
    <w:basedOn w:val="1"/>
    <w:link w:val="23"/>
    <w:qFormat/>
    <w:uiPriority w:val="99"/>
    <w:pPr>
      <w:tabs>
        <w:tab w:val="center" w:pos="4153"/>
        <w:tab w:val="right" w:pos="8306"/>
      </w:tabs>
      <w:snapToGrid w:val="0"/>
      <w:jc w:val="left"/>
    </w:pPr>
    <w:rPr>
      <w:kern w:val="0"/>
      <w:sz w:val="18"/>
      <w:szCs w:val="18"/>
    </w:rPr>
  </w:style>
  <w:style w:type="paragraph" w:styleId="6">
    <w:name w:val="Note Heading"/>
    <w:basedOn w:val="1"/>
    <w:next w:val="1"/>
    <w:qFormat/>
    <w:uiPriority w:val="0"/>
    <w:pPr>
      <w:snapToGrid w:val="0"/>
      <w:spacing w:line="320" w:lineRule="exact"/>
      <w:ind w:firstLine="413" w:firstLineChars="200"/>
    </w:pPr>
    <w:rPr>
      <w:rFonts w:ascii="宋体" w:hAnsi="宋体"/>
      <w:b/>
      <w:color w:val="000000"/>
    </w:rPr>
  </w:style>
  <w:style w:type="paragraph" w:styleId="7">
    <w:name w:val="Normal Indent"/>
    <w:basedOn w:val="1"/>
    <w:next w:val="1"/>
    <w:qFormat/>
    <w:uiPriority w:val="0"/>
    <w:pPr>
      <w:adjustRightInd w:val="0"/>
      <w:spacing w:line="360" w:lineRule="atLeast"/>
      <w:ind w:firstLine="420"/>
      <w:textAlignment w:val="baseline"/>
    </w:pPr>
    <w:rPr>
      <w:szCs w:val="20"/>
      <w:lang w:val="zh-CN"/>
    </w:rPr>
  </w:style>
  <w:style w:type="paragraph" w:styleId="8">
    <w:name w:val="annotation text"/>
    <w:basedOn w:val="1"/>
    <w:link w:val="26"/>
    <w:qFormat/>
    <w:uiPriority w:val="0"/>
    <w:pPr>
      <w:jc w:val="left"/>
    </w:pPr>
  </w:style>
  <w:style w:type="paragraph" w:styleId="9">
    <w:name w:val="Body Text"/>
    <w:basedOn w:val="1"/>
    <w:link w:val="27"/>
    <w:qFormat/>
    <w:uiPriority w:val="0"/>
    <w:pPr>
      <w:spacing w:after="120"/>
    </w:pPr>
  </w:style>
  <w:style w:type="paragraph" w:styleId="10">
    <w:name w:val="Body Text Indent"/>
    <w:basedOn w:val="1"/>
    <w:next w:val="11"/>
    <w:qFormat/>
    <w:uiPriority w:val="0"/>
    <w:pPr>
      <w:ind w:firstLine="570"/>
    </w:pPr>
    <w:rPr>
      <w:rFonts w:ascii="Times New Roman" w:hAnsi="Times New Roman"/>
      <w:sz w:val="28"/>
      <w:szCs w:val="20"/>
      <w:lang w:val="zh-CN"/>
    </w:rPr>
  </w:style>
  <w:style w:type="paragraph" w:styleId="11">
    <w:name w:val="envelope return"/>
    <w:basedOn w:val="1"/>
    <w:qFormat/>
    <w:uiPriority w:val="0"/>
    <w:pPr>
      <w:snapToGrid w:val="0"/>
    </w:pPr>
    <w:rPr>
      <w:rFonts w:ascii="Arial" w:hAnsi="Arial"/>
      <w:szCs w:val="24"/>
    </w:rPr>
  </w:style>
  <w:style w:type="paragraph" w:styleId="12">
    <w:name w:val="Plain Text"/>
    <w:basedOn w:val="1"/>
    <w:next w:val="1"/>
    <w:link w:val="28"/>
    <w:qFormat/>
    <w:uiPriority w:val="0"/>
    <w:rPr>
      <w:rFonts w:ascii="宋体" w:hAnsi="Courier New" w:cs="Courier New"/>
      <w:szCs w:val="21"/>
    </w:rPr>
  </w:style>
  <w:style w:type="paragraph" w:styleId="13">
    <w:name w:val="Balloon Text"/>
    <w:basedOn w:val="1"/>
    <w:link w:val="29"/>
    <w:qFormat/>
    <w:uiPriority w:val="0"/>
    <w:rPr>
      <w:sz w:val="18"/>
      <w:szCs w:val="18"/>
    </w:rPr>
  </w:style>
  <w:style w:type="paragraph" w:styleId="14">
    <w:name w:val="header"/>
    <w:basedOn w:val="1"/>
    <w:link w:val="30"/>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Normal (Web)"/>
    <w:basedOn w:val="1"/>
    <w:qFormat/>
    <w:uiPriority w:val="0"/>
    <w:pPr>
      <w:jc w:val="left"/>
    </w:pPr>
    <w:rPr>
      <w:rFonts w:ascii="微软雅黑" w:hAnsi="微软雅黑" w:eastAsia="微软雅黑"/>
      <w:kern w:val="0"/>
      <w:sz w:val="20"/>
      <w:szCs w:val="20"/>
    </w:rPr>
  </w:style>
  <w:style w:type="paragraph" w:styleId="16">
    <w:name w:val="annotation subject"/>
    <w:basedOn w:val="8"/>
    <w:next w:val="8"/>
    <w:link w:val="31"/>
    <w:qFormat/>
    <w:uiPriority w:val="0"/>
    <w:rPr>
      <w:b/>
      <w:bCs/>
    </w:rPr>
  </w:style>
  <w:style w:type="paragraph" w:styleId="17">
    <w:name w:val="Body Text First Indent 2"/>
    <w:basedOn w:val="10"/>
    <w:next w:val="18"/>
    <w:qFormat/>
    <w:uiPriority w:val="0"/>
    <w:pPr>
      <w:spacing w:after="120"/>
      <w:ind w:left="200" w:leftChars="200" w:firstLine="200" w:firstLineChars="200"/>
    </w:pPr>
    <w:rPr>
      <w:rFonts w:ascii="Calibri" w:hAnsi="Calibri"/>
      <w:sz w:val="21"/>
      <w:szCs w:val="24"/>
    </w:rPr>
  </w:style>
  <w:style w:type="paragraph" w:customStyle="1" w:styleId="18">
    <w:name w:val="样式 正文首行缩进 2 + Arial"/>
    <w:basedOn w:val="1"/>
    <w:next w:val="1"/>
    <w:qFormat/>
    <w:uiPriority w:val="0"/>
    <w:pPr>
      <w:spacing w:before="100" w:beforeAutospacing="1" w:after="120" w:line="320" w:lineRule="atLeast"/>
      <w:ind w:firstLine="200" w:firstLineChars="200"/>
    </w:pPr>
    <w:rPr>
      <w:rFonts w:ascii="Arial" w:hAnsi="Arial" w:cs="Arial"/>
    </w:rPr>
  </w:style>
  <w:style w:type="character" w:styleId="21">
    <w:name w:val="Hyperlink"/>
    <w:qFormat/>
    <w:uiPriority w:val="0"/>
    <w:rPr>
      <w:color w:val="0000FF"/>
      <w:u w:val="single"/>
    </w:rPr>
  </w:style>
  <w:style w:type="character" w:styleId="22">
    <w:name w:val="annotation reference"/>
    <w:qFormat/>
    <w:uiPriority w:val="0"/>
    <w:rPr>
      <w:sz w:val="21"/>
      <w:szCs w:val="21"/>
    </w:rPr>
  </w:style>
  <w:style w:type="character" w:customStyle="1" w:styleId="23">
    <w:name w:val="页脚 Char"/>
    <w:link w:val="2"/>
    <w:qFormat/>
    <w:uiPriority w:val="99"/>
    <w:rPr>
      <w:sz w:val="18"/>
      <w:szCs w:val="18"/>
    </w:rPr>
  </w:style>
  <w:style w:type="character" w:customStyle="1" w:styleId="24">
    <w:name w:val="标题 2 Char"/>
    <w:link w:val="3"/>
    <w:qFormat/>
    <w:uiPriority w:val="0"/>
    <w:rPr>
      <w:rFonts w:ascii="Arial" w:hAnsi="Arial" w:eastAsia="黑体" w:cs="Times New Roman"/>
      <w:b/>
      <w:sz w:val="32"/>
      <w:szCs w:val="20"/>
    </w:rPr>
  </w:style>
  <w:style w:type="character" w:customStyle="1" w:styleId="25">
    <w:name w:val="标题 3 Char"/>
    <w:link w:val="4"/>
    <w:semiHidden/>
    <w:qFormat/>
    <w:uiPriority w:val="0"/>
    <w:rPr>
      <w:b/>
      <w:bCs/>
      <w:kern w:val="2"/>
      <w:sz w:val="32"/>
      <w:szCs w:val="32"/>
    </w:rPr>
  </w:style>
  <w:style w:type="character" w:customStyle="1" w:styleId="26">
    <w:name w:val="批注文字 Char"/>
    <w:link w:val="8"/>
    <w:qFormat/>
    <w:uiPriority w:val="0"/>
    <w:rPr>
      <w:kern w:val="2"/>
      <w:sz w:val="21"/>
      <w:szCs w:val="22"/>
    </w:rPr>
  </w:style>
  <w:style w:type="character" w:customStyle="1" w:styleId="27">
    <w:name w:val="正文文本 Char"/>
    <w:link w:val="9"/>
    <w:qFormat/>
    <w:uiPriority w:val="0"/>
    <w:rPr>
      <w:kern w:val="2"/>
      <w:sz w:val="21"/>
      <w:szCs w:val="22"/>
    </w:rPr>
  </w:style>
  <w:style w:type="character" w:customStyle="1" w:styleId="28">
    <w:name w:val="纯文本 Char"/>
    <w:link w:val="12"/>
    <w:qFormat/>
    <w:uiPriority w:val="0"/>
    <w:rPr>
      <w:rFonts w:ascii="宋体" w:hAnsi="Courier New" w:cs="Courier New"/>
      <w:kern w:val="2"/>
      <w:sz w:val="21"/>
      <w:szCs w:val="21"/>
    </w:rPr>
  </w:style>
  <w:style w:type="character" w:customStyle="1" w:styleId="29">
    <w:name w:val="批注框文本 Char"/>
    <w:link w:val="13"/>
    <w:qFormat/>
    <w:uiPriority w:val="0"/>
    <w:rPr>
      <w:kern w:val="2"/>
      <w:sz w:val="18"/>
      <w:szCs w:val="18"/>
    </w:rPr>
  </w:style>
  <w:style w:type="character" w:customStyle="1" w:styleId="30">
    <w:name w:val="页眉 Char"/>
    <w:link w:val="14"/>
    <w:qFormat/>
    <w:uiPriority w:val="0"/>
    <w:rPr>
      <w:sz w:val="18"/>
      <w:szCs w:val="18"/>
    </w:rPr>
  </w:style>
  <w:style w:type="character" w:customStyle="1" w:styleId="31">
    <w:name w:val="批注主题 Char"/>
    <w:link w:val="16"/>
    <w:qFormat/>
    <w:uiPriority w:val="0"/>
    <w:rPr>
      <w:b/>
      <w:bCs/>
      <w:kern w:val="2"/>
      <w:sz w:val="21"/>
      <w:szCs w:val="22"/>
    </w:rPr>
  </w:style>
  <w:style w:type="character" w:customStyle="1" w:styleId="32">
    <w:name w:val="NormalCharacter"/>
    <w:qFormat/>
    <w:uiPriority w:val="0"/>
    <w:rPr>
      <w:kern w:val="2"/>
      <w:sz w:val="21"/>
      <w:szCs w:val="22"/>
      <w:lang w:val="en-US" w:eastAsia="zh-CN" w:bidi="ar-SA"/>
    </w:rPr>
  </w:style>
  <w:style w:type="character" w:customStyle="1" w:styleId="33">
    <w:name w:val="Default Paragraph Font"/>
    <w:qFormat/>
    <w:uiPriority w:val="0"/>
    <w:rPr>
      <w:rFonts w:hint="default"/>
    </w:rPr>
  </w:style>
  <w:style w:type="paragraph" w:customStyle="1" w:styleId="3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35">
    <w:name w:val="发文落款"/>
    <w:basedOn w:val="34"/>
    <w:qFormat/>
    <w:uiPriority w:val="0"/>
    <w:pPr>
      <w:ind w:left="4094" w:right="607" w:firstLine="0"/>
      <w:jc w:val="center"/>
    </w:pPr>
  </w:style>
  <w:style w:type="paragraph" w:customStyle="1" w:styleId="36">
    <w:name w:val="Normal"/>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37">
    <w:name w:val="样式 宋体 行距: 1.5 倍行距"/>
    <w:basedOn w:val="1"/>
    <w:qFormat/>
    <w:uiPriority w:val="0"/>
    <w:pPr>
      <w:jc w:val="center"/>
    </w:pPr>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9</Pages>
  <Words>5926</Words>
  <Characters>6737</Characters>
  <Lines>48</Lines>
  <Paragraphs>13</Paragraphs>
  <TotalTime>2</TotalTime>
  <ScaleCrop>false</ScaleCrop>
  <LinksUpToDate>false</LinksUpToDate>
  <CharactersWithSpaces>6825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2025-01-09T02:26:00Z</dcterms:created>
  <dc:creator>Administrator</dc:creator>
  <cp:lastModifiedBy>天选打工人</cp:lastModifiedBy>
  <cp:lastPrinted>2025-07-23T03:35:00Z</cp:lastPrinted>
  <dcterms:modified xsi:type="dcterms:W3CDTF">2025-08-05T11:11:53Z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CA37CEC7A7C5431DB9F5A1F88129D308_13</vt:lpwstr>
  </property>
  <property fmtid="{D5CDD505-2E9C-101B-9397-08002B2CF9AE}" pid="4" name="KSOTemplateDocerSaveRecord">
    <vt:lpwstr>eyJoZGlkIjoiMzY4NDFiNWM2YTI0MDljNjdiN2U1NDUxNThhYjQxMDQiLCJ1c2VySWQiOiI1NjIxMTQyNzYifQ==</vt:lpwstr>
  </property>
</Properties>
</file>