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35C47">
      <w:pPr>
        <w:widowControl w:val="0"/>
        <w:kinsoku/>
        <w:adjustRightInd/>
        <w:snapToGrid/>
        <w:spacing w:line="360" w:lineRule="auto"/>
        <w:jc w:val="center"/>
        <w:textAlignment w:val="auto"/>
        <w:rPr>
          <w:rFonts w:hint="eastAsia" w:ascii="黑体" w:eastAsia="黑体" w:cs="黑体"/>
          <w:snapToGrid/>
          <w:color w:val="auto"/>
          <w:sz w:val="40"/>
          <w:szCs w:val="36"/>
          <w:u w:val="single"/>
          <w:lang w:eastAsia="zh-CN"/>
        </w:rPr>
      </w:pPr>
      <w:r>
        <w:rPr>
          <w:rFonts w:hint="eastAsia" w:ascii="黑体" w:eastAsia="黑体" w:cs="黑体"/>
          <w:snapToGrid/>
          <w:color w:val="auto"/>
          <w:sz w:val="40"/>
          <w:szCs w:val="36"/>
          <w:u w:val="single"/>
          <w:lang w:eastAsia="zh-CN"/>
        </w:rPr>
        <w:t>番禺区污水处理设施节能降碳升级改造工程（第一批）勘察设计</w:t>
      </w:r>
    </w:p>
    <w:p w14:paraId="26421763">
      <w:pPr>
        <w:adjustRightInd/>
        <w:snapToGrid/>
        <w:spacing w:line="269" w:lineRule="auto"/>
        <w:rPr>
          <w:color w:val="auto"/>
        </w:rPr>
      </w:pPr>
    </w:p>
    <w:p w14:paraId="6B4522BC">
      <w:pPr>
        <w:adjustRightInd/>
        <w:snapToGrid/>
        <w:spacing w:line="269" w:lineRule="auto"/>
        <w:rPr>
          <w:color w:val="auto"/>
        </w:rPr>
      </w:pPr>
    </w:p>
    <w:p w14:paraId="3C52502E">
      <w:pPr>
        <w:adjustRightInd/>
        <w:snapToGrid/>
        <w:spacing w:line="269" w:lineRule="auto"/>
        <w:rPr>
          <w:color w:val="auto"/>
        </w:rPr>
      </w:pPr>
    </w:p>
    <w:p w14:paraId="40273B37">
      <w:pPr>
        <w:adjustRightInd/>
        <w:snapToGrid/>
        <w:spacing w:line="271" w:lineRule="auto"/>
        <w:rPr>
          <w:rFonts w:eastAsia="宋体"/>
          <w:color w:val="auto"/>
        </w:rPr>
      </w:pPr>
    </w:p>
    <w:p w14:paraId="46995A8E">
      <w:pPr>
        <w:adjustRightInd/>
        <w:snapToGrid/>
        <w:spacing w:line="271" w:lineRule="auto"/>
        <w:rPr>
          <w:rFonts w:eastAsia="宋体"/>
          <w:color w:val="auto"/>
        </w:rPr>
      </w:pPr>
    </w:p>
    <w:p w14:paraId="48B0CE64">
      <w:pPr>
        <w:adjustRightInd/>
        <w:snapToGrid/>
        <w:spacing w:line="271" w:lineRule="auto"/>
        <w:rPr>
          <w:rFonts w:eastAsia="宋体"/>
          <w:color w:val="auto"/>
        </w:rPr>
      </w:pPr>
    </w:p>
    <w:p w14:paraId="2A40AFB0">
      <w:pPr>
        <w:adjustRightInd/>
        <w:snapToGrid/>
        <w:spacing w:line="271" w:lineRule="auto"/>
        <w:rPr>
          <w:rFonts w:eastAsia="宋体"/>
          <w:color w:val="auto"/>
        </w:rPr>
      </w:pPr>
    </w:p>
    <w:p w14:paraId="3ABFCBAA">
      <w:pPr>
        <w:adjustRightInd/>
        <w:snapToGrid/>
        <w:spacing w:line="271" w:lineRule="auto"/>
        <w:rPr>
          <w:color w:val="auto"/>
        </w:rPr>
      </w:pPr>
    </w:p>
    <w:p w14:paraId="60635C09">
      <w:pPr>
        <w:adjustRightInd/>
        <w:snapToGrid/>
        <w:spacing w:before="140" w:line="226" w:lineRule="auto"/>
        <w:jc w:val="center"/>
        <w:rPr>
          <w:rFonts w:hint="eastAsia" w:ascii="黑体" w:eastAsia="黑体" w:cs="黑体"/>
          <w:color w:val="auto"/>
          <w:sz w:val="43"/>
          <w:szCs w:val="43"/>
          <w:lang w:eastAsia="zh-CN"/>
        </w:rPr>
      </w:pPr>
      <w:r>
        <w:rPr>
          <w:rFonts w:ascii="黑体" w:eastAsia="黑体"/>
          <w:color w:val="auto"/>
          <w:sz w:val="84"/>
          <w:szCs w:val="84"/>
        </w:rPr>
        <w:t>招标</w:t>
      </w:r>
      <w:r>
        <w:rPr>
          <w:rFonts w:hint="eastAsia" w:ascii="黑体" w:eastAsia="黑体"/>
          <w:color w:val="auto"/>
          <w:sz w:val="84"/>
          <w:szCs w:val="84"/>
          <w:lang w:val="en-US" w:eastAsia="zh-CN"/>
        </w:rPr>
        <w:t>公告</w:t>
      </w:r>
    </w:p>
    <w:p w14:paraId="7A9C2778">
      <w:pPr>
        <w:adjustRightInd/>
        <w:snapToGrid/>
        <w:spacing w:line="250" w:lineRule="auto"/>
        <w:ind w:left="-105" w:leftChars="-50" w:right="-105" w:rightChars="-50"/>
        <w:rPr>
          <w:color w:val="auto"/>
        </w:rPr>
      </w:pPr>
    </w:p>
    <w:p w14:paraId="29F473CB">
      <w:pPr>
        <w:adjustRightInd/>
        <w:snapToGrid/>
        <w:spacing w:line="250" w:lineRule="auto"/>
        <w:rPr>
          <w:color w:val="auto"/>
        </w:rPr>
      </w:pPr>
    </w:p>
    <w:p w14:paraId="22DE41A0">
      <w:pPr>
        <w:adjustRightInd/>
        <w:snapToGrid/>
        <w:spacing w:line="250" w:lineRule="auto"/>
        <w:rPr>
          <w:color w:val="auto"/>
        </w:rPr>
      </w:pPr>
    </w:p>
    <w:p w14:paraId="3235D205">
      <w:pPr>
        <w:adjustRightInd/>
        <w:snapToGrid/>
        <w:spacing w:line="250" w:lineRule="auto"/>
        <w:rPr>
          <w:color w:val="auto"/>
        </w:rPr>
      </w:pPr>
    </w:p>
    <w:p w14:paraId="5321C364">
      <w:pPr>
        <w:adjustRightInd/>
        <w:snapToGrid/>
        <w:spacing w:line="250" w:lineRule="auto"/>
        <w:rPr>
          <w:color w:val="auto"/>
        </w:rPr>
      </w:pPr>
    </w:p>
    <w:p w14:paraId="264928E8">
      <w:pPr>
        <w:adjustRightInd/>
        <w:snapToGrid/>
        <w:spacing w:line="250" w:lineRule="auto"/>
        <w:rPr>
          <w:color w:val="auto"/>
        </w:rPr>
      </w:pPr>
    </w:p>
    <w:p w14:paraId="4835BE9E">
      <w:pPr>
        <w:adjustRightInd/>
        <w:snapToGrid/>
        <w:spacing w:line="250" w:lineRule="auto"/>
        <w:rPr>
          <w:color w:val="auto"/>
        </w:rPr>
      </w:pPr>
    </w:p>
    <w:p w14:paraId="5709C0FA">
      <w:pPr>
        <w:adjustRightInd/>
        <w:snapToGrid/>
        <w:spacing w:line="250" w:lineRule="auto"/>
        <w:rPr>
          <w:color w:val="auto"/>
        </w:rPr>
      </w:pPr>
    </w:p>
    <w:p w14:paraId="1846BFED">
      <w:pPr>
        <w:adjustRightInd/>
        <w:snapToGrid/>
        <w:spacing w:line="250" w:lineRule="auto"/>
        <w:rPr>
          <w:color w:val="auto"/>
        </w:rPr>
      </w:pPr>
    </w:p>
    <w:p w14:paraId="1FB3CA43">
      <w:pPr>
        <w:adjustRightInd/>
        <w:snapToGrid/>
        <w:spacing w:line="250" w:lineRule="auto"/>
        <w:rPr>
          <w:color w:val="auto"/>
        </w:rPr>
      </w:pPr>
    </w:p>
    <w:p w14:paraId="5D691CBD">
      <w:pPr>
        <w:adjustRightInd/>
        <w:snapToGrid/>
        <w:spacing w:before="88" w:line="468" w:lineRule="auto"/>
        <w:ind w:firstLine="786" w:firstLineChars="300"/>
        <w:rPr>
          <w:rFonts w:ascii="黑体" w:eastAsia="黑体" w:cs="黑体"/>
          <w:color w:val="auto"/>
          <w:spacing w:val="-4"/>
          <w:sz w:val="27"/>
          <w:szCs w:val="27"/>
        </w:rPr>
      </w:pPr>
      <w:r>
        <w:rPr>
          <w:rFonts w:ascii="黑体" w:eastAsia="黑体" w:cs="黑体"/>
          <w:color w:val="auto"/>
          <w:spacing w:val="-4"/>
          <w:sz w:val="27"/>
          <w:szCs w:val="27"/>
        </w:rPr>
        <w:t>招标人：</w:t>
      </w:r>
      <w:r>
        <w:rPr>
          <w:rFonts w:hint="eastAsia" w:ascii="黑体" w:eastAsia="黑体" w:cs="黑体"/>
          <w:color w:val="auto"/>
          <w:spacing w:val="-4"/>
          <w:sz w:val="27"/>
          <w:szCs w:val="27"/>
          <w:u w:val="single"/>
          <w:lang w:eastAsia="zh-CN"/>
        </w:rPr>
        <w:t>广州市番禺污水治理有限公司</w:t>
      </w:r>
      <w:r>
        <w:rPr>
          <w:rFonts w:ascii="黑体" w:eastAsia="黑体" w:cs="黑体"/>
          <w:color w:val="auto"/>
          <w:spacing w:val="-4"/>
          <w:sz w:val="27"/>
          <w:szCs w:val="27"/>
        </w:rPr>
        <w:t>(盖单位章)</w:t>
      </w:r>
    </w:p>
    <w:p w14:paraId="686E05DA">
      <w:pPr>
        <w:adjustRightInd/>
        <w:snapToGrid/>
        <w:spacing w:before="88" w:line="468" w:lineRule="auto"/>
        <w:ind w:firstLine="786" w:firstLineChars="300"/>
        <w:rPr>
          <w:rFonts w:ascii="黑体" w:eastAsia="黑体" w:cs="黑体"/>
          <w:color w:val="auto"/>
          <w:sz w:val="27"/>
          <w:szCs w:val="27"/>
        </w:rPr>
      </w:pPr>
      <w:bookmarkStart w:id="0" w:name="_Toc28807"/>
      <w:r>
        <w:rPr>
          <w:rFonts w:hint="eastAsia" w:ascii="黑体" w:eastAsia="黑体" w:cs="黑体"/>
          <w:color w:val="auto"/>
          <w:spacing w:val="-4"/>
          <w:sz w:val="27"/>
          <w:szCs w:val="27"/>
        </w:rPr>
        <w:t>招标代理机构</w:t>
      </w:r>
      <w:r>
        <w:rPr>
          <w:rFonts w:hint="eastAsia" w:ascii="宋体" w:eastAsia="宋体" w:cs="宋体"/>
          <w:b/>
          <w:color w:val="auto"/>
          <w:sz w:val="32"/>
          <w:szCs w:val="32"/>
        </w:rPr>
        <w:t>：</w:t>
      </w:r>
      <w:bookmarkEnd w:id="0"/>
      <w:r>
        <w:rPr>
          <w:rFonts w:hint="eastAsia" w:ascii="黑体" w:eastAsia="黑体" w:cs="黑体"/>
          <w:color w:val="auto"/>
          <w:spacing w:val="-4"/>
          <w:sz w:val="27"/>
          <w:szCs w:val="27"/>
          <w:u w:val="single"/>
          <w:lang w:eastAsia="zh-CN"/>
        </w:rPr>
        <w:t>广东国曜采购咨询有限公司</w:t>
      </w:r>
      <w:r>
        <w:rPr>
          <w:rFonts w:ascii="黑体" w:eastAsia="黑体" w:cs="黑体"/>
          <w:color w:val="auto"/>
          <w:spacing w:val="-4"/>
          <w:sz w:val="27"/>
          <w:szCs w:val="27"/>
        </w:rPr>
        <w:t>(盖单位章)</w:t>
      </w:r>
    </w:p>
    <w:p w14:paraId="481AF047">
      <w:pPr>
        <w:jc w:val="center"/>
        <w:rPr>
          <w:rFonts w:ascii="黑体" w:eastAsia="黑体" w:cs="黑体"/>
          <w:color w:val="auto"/>
          <w:spacing w:val="3"/>
          <w:sz w:val="27"/>
          <w:szCs w:val="27"/>
        </w:rPr>
      </w:pPr>
      <w:r>
        <w:rPr>
          <w:rFonts w:hint="eastAsia" w:ascii="黑体" w:eastAsia="黑体" w:cs="黑体"/>
          <w:color w:val="auto"/>
          <w:spacing w:val="3"/>
          <w:sz w:val="27"/>
          <w:szCs w:val="27"/>
          <w:u w:val="single"/>
        </w:rPr>
        <w:t>202</w:t>
      </w:r>
      <w:r>
        <w:rPr>
          <w:rFonts w:hint="eastAsia" w:ascii="黑体" w:eastAsia="黑体" w:cs="黑体"/>
          <w:color w:val="auto"/>
          <w:spacing w:val="3"/>
          <w:sz w:val="27"/>
          <w:szCs w:val="27"/>
          <w:u w:val="single"/>
          <w:lang w:val="en-US" w:eastAsia="zh-CN"/>
        </w:rPr>
        <w:t>5</w:t>
      </w:r>
      <w:r>
        <w:rPr>
          <w:rFonts w:ascii="黑体" w:eastAsia="黑体" w:cs="黑体"/>
          <w:color w:val="auto"/>
          <w:spacing w:val="6"/>
          <w:sz w:val="27"/>
          <w:szCs w:val="27"/>
        </w:rPr>
        <w:t>年</w:t>
      </w:r>
      <w:r>
        <w:rPr>
          <w:rFonts w:hint="eastAsia" w:ascii="黑体" w:eastAsia="黑体" w:cs="黑体"/>
          <w:color w:val="auto"/>
          <w:spacing w:val="6"/>
          <w:sz w:val="27"/>
          <w:szCs w:val="27"/>
          <w:u w:val="single"/>
          <w:lang w:val="en-US" w:eastAsia="zh-CN"/>
        </w:rPr>
        <w:t xml:space="preserve"> </w:t>
      </w:r>
      <w:r>
        <w:rPr>
          <w:rFonts w:hint="eastAsia" w:ascii="黑体" w:eastAsia="黑体" w:cs="黑体"/>
          <w:color w:val="auto"/>
          <w:spacing w:val="3"/>
          <w:sz w:val="27"/>
          <w:szCs w:val="27"/>
          <w:u w:val="single"/>
          <w:lang w:val="en-US" w:eastAsia="zh-CN"/>
        </w:rPr>
        <w:t xml:space="preserve">8 </w:t>
      </w:r>
      <w:r>
        <w:rPr>
          <w:rFonts w:ascii="黑体" w:eastAsia="黑体" w:cs="黑体"/>
          <w:color w:val="auto"/>
          <w:spacing w:val="3"/>
          <w:sz w:val="27"/>
          <w:szCs w:val="27"/>
        </w:rPr>
        <w:t>月</w:t>
      </w:r>
    </w:p>
    <w:p w14:paraId="6A9080F5">
      <w:pPr>
        <w:rPr>
          <w:rFonts w:ascii="黑体" w:eastAsia="黑体" w:cs="黑体"/>
          <w:color w:val="auto"/>
          <w:spacing w:val="3"/>
          <w:sz w:val="27"/>
          <w:szCs w:val="27"/>
        </w:rPr>
      </w:pPr>
      <w:r>
        <w:rPr>
          <w:rFonts w:ascii="黑体" w:eastAsia="黑体" w:cs="黑体"/>
          <w:color w:val="auto"/>
          <w:spacing w:val="3"/>
          <w:sz w:val="27"/>
          <w:szCs w:val="27"/>
        </w:rPr>
        <w:br w:type="page"/>
      </w:r>
    </w:p>
    <w:p w14:paraId="1CBC4171">
      <w:pPr>
        <w:pStyle w:val="4"/>
        <w:adjustRightInd/>
        <w:snapToGrid/>
        <w:spacing w:line="360" w:lineRule="auto"/>
        <w:jc w:val="center"/>
        <w:rPr>
          <w:b/>
          <w:color w:val="auto"/>
          <w:sz w:val="32"/>
        </w:rPr>
      </w:pPr>
      <w:bookmarkStart w:id="1" w:name="_Toc22814"/>
      <w:bookmarkStart w:id="2" w:name="_Toc625"/>
      <w:bookmarkStart w:id="3" w:name="_Toc2535"/>
      <w:bookmarkStart w:id="4" w:name="_Toc26872"/>
      <w:bookmarkStart w:id="5" w:name="_Toc21908"/>
      <w:bookmarkStart w:id="6" w:name="_Toc6585"/>
      <w:bookmarkStart w:id="7" w:name="_Toc9974"/>
      <w:r>
        <w:rPr>
          <w:rFonts w:hint="eastAsia" w:eastAsia="宋体" w:cs="宋体"/>
          <w:b/>
          <w:color w:val="auto"/>
          <w:sz w:val="32"/>
          <w:u w:val="single"/>
          <w:lang w:eastAsia="zh-CN"/>
        </w:rPr>
        <w:t>番禺区污水处理设施节能降碳升级</w:t>
      </w:r>
      <w:bookmarkStart w:id="79" w:name="_GoBack"/>
      <w:bookmarkEnd w:id="79"/>
      <w:r>
        <w:rPr>
          <w:rFonts w:hint="eastAsia" w:eastAsia="宋体" w:cs="宋体"/>
          <w:b/>
          <w:color w:val="auto"/>
          <w:sz w:val="32"/>
          <w:u w:val="single"/>
          <w:lang w:eastAsia="zh-CN"/>
        </w:rPr>
        <w:t>改造工程（第一批）</w:t>
      </w:r>
      <w:r>
        <w:rPr>
          <w:rFonts w:hint="eastAsia" w:eastAsia="宋体" w:cs="宋体"/>
          <w:b/>
          <w:color w:val="auto"/>
          <w:sz w:val="32"/>
          <w:u w:val="none"/>
          <w:lang w:eastAsia="zh-CN"/>
        </w:rPr>
        <w:t>勘察设计</w:t>
      </w:r>
      <w:r>
        <w:rPr>
          <w:rFonts w:hint="eastAsia" w:eastAsia="宋体" w:cs="宋体"/>
          <w:b/>
          <w:color w:val="auto"/>
          <w:spacing w:val="18"/>
          <w:sz w:val="32"/>
        </w:rPr>
        <w:t>招标公告</w:t>
      </w:r>
      <w:bookmarkEnd w:id="1"/>
      <w:bookmarkEnd w:id="2"/>
      <w:bookmarkEnd w:id="3"/>
      <w:bookmarkEnd w:id="4"/>
      <w:bookmarkEnd w:id="5"/>
      <w:bookmarkEnd w:id="6"/>
      <w:bookmarkEnd w:id="7"/>
    </w:p>
    <w:p w14:paraId="739D8A42">
      <w:pPr>
        <w:pStyle w:val="3"/>
        <w:adjustRightInd/>
        <w:snapToGrid/>
        <w:spacing w:before="0" w:beforeLines="0" w:after="0" w:afterLines="0" w:line="360" w:lineRule="auto"/>
        <w:rPr>
          <w:rFonts w:cs="宋体"/>
          <w:color w:val="auto"/>
          <w:sz w:val="28"/>
          <w:szCs w:val="28"/>
        </w:rPr>
      </w:pPr>
      <w:bookmarkStart w:id="8" w:name="_Toc30951"/>
      <w:bookmarkStart w:id="9" w:name="_Toc32250"/>
      <w:bookmarkStart w:id="10" w:name="_Toc19381"/>
      <w:bookmarkStart w:id="11" w:name="_Toc17602"/>
      <w:bookmarkStart w:id="12" w:name="_Toc18529"/>
      <w:bookmarkStart w:id="13" w:name="_Toc29913"/>
      <w:bookmarkStart w:id="14" w:name="_Toc32678"/>
      <w:r>
        <w:rPr>
          <w:rFonts w:hint="eastAsia"/>
          <w:color w:val="auto"/>
          <w:sz w:val="28"/>
          <w:szCs w:val="28"/>
        </w:rPr>
        <w:t>1. 招标条件</w:t>
      </w:r>
      <w:bookmarkEnd w:id="8"/>
      <w:bookmarkEnd w:id="9"/>
      <w:bookmarkEnd w:id="10"/>
      <w:bookmarkEnd w:id="11"/>
      <w:bookmarkEnd w:id="12"/>
      <w:bookmarkEnd w:id="13"/>
      <w:bookmarkEnd w:id="14"/>
    </w:p>
    <w:p w14:paraId="511E1A25">
      <w:pPr>
        <w:adjustRightInd w:val="0"/>
        <w:snapToGrid w:val="0"/>
        <w:spacing w:before="68" w:line="356" w:lineRule="auto"/>
        <w:ind w:left="11" w:right="74" w:firstLine="420"/>
        <w:rPr>
          <w:rFonts w:ascii="宋体" w:eastAsia="宋体" w:cs="宋体"/>
          <w:color w:val="auto"/>
        </w:rPr>
      </w:pPr>
      <w:r>
        <w:rPr>
          <w:rFonts w:hint="eastAsia" w:ascii="宋体" w:eastAsia="宋体" w:cs="宋体"/>
          <w:color w:val="auto"/>
          <w:spacing w:val="1"/>
        </w:rPr>
        <w:t>本招标项目</w:t>
      </w:r>
      <w:r>
        <w:rPr>
          <w:rFonts w:hint="eastAsia" w:ascii="宋体" w:eastAsia="宋体" w:cs="宋体"/>
          <w:color w:val="auto"/>
          <w:spacing w:val="1"/>
          <w:u w:val="single"/>
          <w:lang w:eastAsia="zh-CN"/>
        </w:rPr>
        <w:t>番禺区污水处理设施节能降碳升级改造工程（第一批）</w:t>
      </w:r>
      <w:r>
        <w:rPr>
          <w:rFonts w:hint="eastAsia" w:ascii="宋体" w:eastAsia="宋体" w:cs="宋体"/>
          <w:color w:val="auto"/>
        </w:rPr>
        <w:t>已由</w:t>
      </w:r>
      <w:r>
        <w:rPr>
          <w:rFonts w:hint="eastAsia" w:ascii="宋体" w:eastAsia="宋体" w:cs="宋体"/>
          <w:color w:val="auto"/>
          <w:u w:val="single"/>
          <w:lang w:val="en-US" w:eastAsia="zh-CN"/>
        </w:rPr>
        <w:t>广州市番禺区</w:t>
      </w:r>
      <w:r>
        <w:rPr>
          <w:rFonts w:hint="eastAsia" w:ascii="宋体" w:eastAsia="宋体" w:cs="宋体"/>
          <w:color w:val="auto"/>
          <w:u w:val="single"/>
        </w:rPr>
        <w:t>发展和改革局</w:t>
      </w:r>
      <w:r>
        <w:rPr>
          <w:rFonts w:hint="eastAsia" w:ascii="宋体" w:eastAsia="宋体" w:cs="宋体"/>
          <w:color w:val="auto"/>
          <w:spacing w:val="-2"/>
          <w:u w:val="single"/>
        </w:rPr>
        <w:t xml:space="preserve"> </w:t>
      </w:r>
      <w:r>
        <w:rPr>
          <w:rFonts w:hint="eastAsia" w:ascii="宋体" w:eastAsia="宋体" w:cs="宋体"/>
          <w:color w:val="auto"/>
          <w:spacing w:val="-2"/>
        </w:rPr>
        <w:t>以</w:t>
      </w:r>
      <w:r>
        <w:rPr>
          <w:rFonts w:hint="eastAsia" w:ascii="宋体" w:eastAsia="宋体"/>
          <w:color w:val="auto"/>
          <w:u w:val="single"/>
          <w:lang w:val="en-US" w:eastAsia="zh-CN"/>
        </w:rPr>
        <w:t>2501-440113-04-01-885972</w:t>
      </w:r>
      <w:r>
        <w:rPr>
          <w:rFonts w:hint="eastAsia" w:ascii="宋体" w:eastAsia="宋体" w:cs="宋体"/>
          <w:color w:val="auto"/>
          <w:spacing w:val="-1"/>
        </w:rPr>
        <w:t>批准建设，项目业主为</w:t>
      </w:r>
      <w:r>
        <w:rPr>
          <w:rFonts w:hint="eastAsia" w:ascii="宋体" w:eastAsia="宋体"/>
          <w:color w:val="auto"/>
          <w:u w:val="single"/>
          <w:lang w:eastAsia="zh-CN"/>
        </w:rPr>
        <w:t>广州市番禺污水治理有限公司</w:t>
      </w:r>
      <w:r>
        <w:rPr>
          <w:rFonts w:hint="eastAsia" w:ascii="宋体" w:eastAsia="宋体" w:cs="宋体"/>
          <w:color w:val="auto"/>
          <w:spacing w:val="-1"/>
        </w:rPr>
        <w:t>，建设资金来</w:t>
      </w:r>
      <w:r>
        <w:rPr>
          <w:rFonts w:hint="eastAsia" w:ascii="宋体" w:eastAsia="宋体" w:cs="宋体"/>
          <w:color w:val="auto"/>
          <w:spacing w:val="1"/>
        </w:rPr>
        <w:t>自</w:t>
      </w:r>
      <w:r>
        <w:rPr>
          <w:rFonts w:hint="eastAsia" w:ascii="宋体" w:eastAsia="宋体" w:cs="宋体"/>
          <w:color w:val="auto"/>
          <w:spacing w:val="1"/>
          <w:u w:val="single"/>
        </w:rPr>
        <w:t>企业自筹</w:t>
      </w:r>
      <w:r>
        <w:rPr>
          <w:rFonts w:hint="eastAsia" w:ascii="宋体" w:eastAsia="宋体" w:cs="宋体"/>
          <w:color w:val="auto"/>
          <w:spacing w:val="1"/>
        </w:rPr>
        <w:t>，出资</w:t>
      </w:r>
      <w:r>
        <w:rPr>
          <w:rFonts w:hint="eastAsia" w:ascii="宋体" w:eastAsia="宋体" w:cs="宋体"/>
          <w:color w:val="auto"/>
        </w:rPr>
        <w:t>比例为</w:t>
      </w:r>
      <w:r>
        <w:rPr>
          <w:rFonts w:hint="eastAsia" w:ascii="宋体" w:eastAsia="宋体" w:cs="宋体"/>
          <w:color w:val="auto"/>
          <w:u w:val="single"/>
        </w:rPr>
        <w:t>100%</w:t>
      </w:r>
      <w:r>
        <w:rPr>
          <w:rFonts w:hint="eastAsia" w:ascii="宋体" w:eastAsia="宋体" w:cs="宋体"/>
          <w:color w:val="auto"/>
        </w:rPr>
        <w:t>，招标人为</w:t>
      </w:r>
      <w:r>
        <w:rPr>
          <w:rFonts w:hint="eastAsia" w:ascii="宋体" w:eastAsia="宋体"/>
          <w:color w:val="auto"/>
          <w:u w:val="single"/>
          <w:lang w:eastAsia="zh-CN"/>
        </w:rPr>
        <w:t>广州市番禺污水治理有限公司</w:t>
      </w:r>
      <w:r>
        <w:rPr>
          <w:rFonts w:hint="eastAsia" w:ascii="宋体" w:eastAsia="宋体" w:cs="宋体"/>
          <w:color w:val="auto"/>
        </w:rPr>
        <w:t>。项目已具备招标</w:t>
      </w:r>
      <w:r>
        <w:rPr>
          <w:rFonts w:hint="eastAsia" w:ascii="宋体" w:eastAsia="宋体" w:cs="宋体"/>
          <w:color w:val="auto"/>
          <w:spacing w:val="-4"/>
        </w:rPr>
        <w:t>条</w:t>
      </w:r>
      <w:r>
        <w:rPr>
          <w:rFonts w:hint="eastAsia" w:ascii="宋体" w:eastAsia="宋体" w:cs="宋体"/>
          <w:color w:val="auto"/>
          <w:spacing w:val="-2"/>
        </w:rPr>
        <w:t>件，现对该项目的</w:t>
      </w:r>
      <w:r>
        <w:rPr>
          <w:rFonts w:hint="eastAsia" w:ascii="宋体" w:eastAsia="宋体" w:cs="宋体"/>
          <w:color w:val="auto"/>
          <w:spacing w:val="-2"/>
          <w:lang w:eastAsia="zh-CN"/>
        </w:rPr>
        <w:t>勘察</w:t>
      </w:r>
      <w:r>
        <w:rPr>
          <w:rFonts w:hint="eastAsia" w:ascii="宋体" w:eastAsia="宋体" w:cs="宋体"/>
          <w:color w:val="auto"/>
          <w:spacing w:val="-2"/>
        </w:rPr>
        <w:t xml:space="preserve">设计进行公开招标。 </w:t>
      </w:r>
    </w:p>
    <w:p w14:paraId="6C0DF45A">
      <w:pPr>
        <w:pStyle w:val="3"/>
        <w:adjustRightInd/>
        <w:snapToGrid/>
        <w:spacing w:before="0" w:beforeLines="0" w:after="0" w:afterLines="0" w:line="360" w:lineRule="auto"/>
        <w:rPr>
          <w:rFonts w:cs="宋体"/>
          <w:color w:val="auto"/>
          <w:sz w:val="28"/>
          <w:szCs w:val="28"/>
        </w:rPr>
      </w:pPr>
      <w:bookmarkStart w:id="15" w:name="_Toc23400"/>
      <w:bookmarkStart w:id="16" w:name="_Toc4860"/>
      <w:bookmarkStart w:id="17" w:name="_Toc15980"/>
      <w:bookmarkStart w:id="18" w:name="_Toc29432"/>
      <w:bookmarkStart w:id="19" w:name="_Toc22955"/>
      <w:bookmarkStart w:id="20" w:name="_Toc27861"/>
      <w:bookmarkStart w:id="21" w:name="_Toc2958"/>
      <w:r>
        <w:rPr>
          <w:rFonts w:hint="eastAsia"/>
          <w:color w:val="auto"/>
          <w:sz w:val="28"/>
          <w:szCs w:val="28"/>
        </w:rPr>
        <w:t>2. 项目概况与招标范围</w:t>
      </w:r>
      <w:bookmarkEnd w:id="15"/>
      <w:bookmarkEnd w:id="16"/>
      <w:bookmarkEnd w:id="17"/>
      <w:bookmarkEnd w:id="18"/>
      <w:bookmarkEnd w:id="19"/>
      <w:bookmarkEnd w:id="20"/>
      <w:bookmarkEnd w:id="21"/>
    </w:p>
    <w:p w14:paraId="305F1795">
      <w:pPr>
        <w:adjustRightInd/>
        <w:snapToGrid/>
        <w:spacing w:line="360" w:lineRule="auto"/>
        <w:ind w:firstLine="0" w:firstLineChars="0"/>
        <w:rPr>
          <w:rFonts w:hint="eastAsia" w:ascii="宋体" w:eastAsia="宋体" w:cs="宋体"/>
          <w:color w:val="auto"/>
          <w:u w:val="single"/>
          <w:lang w:eastAsia="zh-CN"/>
        </w:rPr>
      </w:pPr>
      <w:r>
        <w:rPr>
          <w:rFonts w:hint="eastAsia" w:ascii="宋体" w:eastAsia="宋体" w:cs="宋体"/>
          <w:color w:val="auto"/>
        </w:rPr>
        <w:t>2.1 工程名称：</w:t>
      </w:r>
      <w:r>
        <w:rPr>
          <w:rFonts w:hint="eastAsia" w:ascii="宋体" w:eastAsia="宋体"/>
          <w:color w:val="auto"/>
          <w:u w:val="single"/>
          <w:lang w:eastAsia="zh-CN"/>
        </w:rPr>
        <w:t>番禺区污水处理设施节能降碳升级改造工程（第一批）勘察设计</w:t>
      </w:r>
    </w:p>
    <w:p w14:paraId="0A92DB30">
      <w:pPr>
        <w:adjustRightInd/>
        <w:snapToGrid/>
        <w:spacing w:line="360" w:lineRule="auto"/>
        <w:ind w:firstLine="0" w:firstLineChars="0"/>
        <w:rPr>
          <w:rFonts w:ascii="宋体" w:eastAsia="宋体" w:cs="宋体"/>
          <w:color w:val="auto"/>
        </w:rPr>
      </w:pPr>
      <w:r>
        <w:rPr>
          <w:rFonts w:hint="eastAsia" w:ascii="宋体" w:eastAsia="宋体" w:cs="宋体"/>
          <w:color w:val="auto"/>
        </w:rPr>
        <w:t>2.2 建设地点：</w:t>
      </w:r>
      <w:r>
        <w:rPr>
          <w:rFonts w:hint="eastAsia" w:ascii="宋体" w:hAnsi="宋体" w:eastAsia="宋体" w:cs="宋体"/>
          <w:color w:val="auto"/>
          <w:highlight w:val="none"/>
          <w:u w:val="single"/>
          <w:lang w:eastAsia="zh-CN"/>
        </w:rPr>
        <w:t>番禺区钟村、南村净水厂内</w:t>
      </w:r>
    </w:p>
    <w:p w14:paraId="16F08DAB">
      <w:pPr>
        <w:adjustRightInd/>
        <w:snapToGrid/>
        <w:spacing w:line="360" w:lineRule="auto"/>
        <w:ind w:left="420" w:leftChars="0" w:hanging="420" w:hangingChars="200"/>
        <w:rPr>
          <w:rFonts w:ascii="宋体" w:eastAsia="宋体"/>
          <w:color w:val="auto"/>
          <w:u w:val="single"/>
        </w:rPr>
      </w:pPr>
      <w:r>
        <w:rPr>
          <w:rFonts w:hint="eastAsia" w:ascii="宋体" w:eastAsia="宋体" w:cs="宋体"/>
          <w:color w:val="auto"/>
        </w:rPr>
        <w:t>2.3 建设规模：</w:t>
      </w:r>
      <w:r>
        <w:rPr>
          <w:rFonts w:hint="eastAsia" w:ascii="宋体" w:hAnsi="宋体" w:eastAsia="宋体" w:cs="宋体"/>
          <w:color w:val="auto"/>
          <w:sz w:val="21"/>
          <w:szCs w:val="21"/>
          <w:highlight w:val="none"/>
          <w:u w:val="single"/>
          <w:lang w:val="en-US" w:eastAsia="zh-CN"/>
        </w:rPr>
        <w:t>本项目包含钟村净水厂、南村净水厂等2个已建成污水处理厂的节能降碳升级改造工程和集中调度中心的智慧化系统工程建设。主要建设内容包括：工艺系统节能降碳升级改造、超龄设备更新、能源系统优化、智慧化系统工程和综合增效措施建设等内容。项目总投资约13170.37万元，其中建安费约10762.41万元。</w:t>
      </w:r>
    </w:p>
    <w:p w14:paraId="7C307ED9">
      <w:pPr>
        <w:adjustRightInd/>
        <w:snapToGrid/>
        <w:spacing w:line="360" w:lineRule="auto"/>
        <w:ind w:firstLine="0" w:firstLineChars="0"/>
        <w:rPr>
          <w:rFonts w:ascii="宋体" w:eastAsia="宋体" w:cs="宋体"/>
          <w:color w:val="auto"/>
          <w:u w:val="single"/>
        </w:rPr>
      </w:pPr>
      <w:r>
        <w:rPr>
          <w:rFonts w:hint="eastAsia" w:ascii="宋体" w:eastAsia="宋体" w:cs="宋体"/>
          <w:color w:val="auto"/>
        </w:rPr>
        <w:t xml:space="preserve">2.4 </w:t>
      </w:r>
      <w:r>
        <w:rPr>
          <w:rFonts w:hint="eastAsia" w:ascii="宋体" w:eastAsia="宋体" w:cs="宋体"/>
          <w:color w:val="auto"/>
          <w:lang w:val="en-US" w:eastAsia="zh-CN"/>
        </w:rPr>
        <w:t>勘察</w:t>
      </w:r>
      <w:r>
        <w:rPr>
          <w:rFonts w:hint="eastAsia" w:ascii="宋体" w:eastAsia="宋体" w:cs="宋体"/>
          <w:color w:val="auto"/>
        </w:rPr>
        <w:t>设计</w:t>
      </w:r>
      <w:r>
        <w:rPr>
          <w:rFonts w:hint="eastAsia" w:ascii="宋体" w:eastAsia="宋体" w:cs="宋体"/>
          <w:color w:val="auto"/>
          <w:lang w:val="en-US" w:eastAsia="zh-CN"/>
        </w:rPr>
        <w:t>工期</w:t>
      </w:r>
      <w:r>
        <w:rPr>
          <w:rFonts w:hint="eastAsia" w:ascii="宋体" w:eastAsia="宋体" w:cs="宋体"/>
          <w:color w:val="auto"/>
        </w:rPr>
        <w:t>：</w:t>
      </w:r>
      <w:r>
        <w:rPr>
          <w:rFonts w:hint="eastAsia" w:ascii="宋体" w:eastAsia="宋体" w:cs="宋体"/>
          <w:color w:val="auto"/>
          <w:highlight w:val="none"/>
          <w:u w:val="single"/>
          <w:lang w:val="en-US" w:eastAsia="zh-CN"/>
        </w:rPr>
        <w:t>详见《招标文件》第四章相关合同条款约定</w:t>
      </w:r>
    </w:p>
    <w:p w14:paraId="556E4458">
      <w:pPr>
        <w:shd w:val="clear" w:color="auto" w:fill="FFFFFF"/>
        <w:adjustRightInd/>
        <w:snapToGrid/>
        <w:spacing w:line="360" w:lineRule="auto"/>
        <w:ind w:left="420" w:hanging="420" w:hangingChars="200"/>
        <w:rPr>
          <w:rFonts w:hint="eastAsia" w:ascii="宋体" w:eastAsia="宋体" w:cs="宋体"/>
          <w:color w:val="auto"/>
        </w:rPr>
      </w:pPr>
      <w:r>
        <w:rPr>
          <w:rFonts w:hint="eastAsia" w:ascii="宋体" w:eastAsia="宋体" w:cs="宋体"/>
          <w:color w:val="auto"/>
        </w:rPr>
        <w:t>2.5 招标范围：</w:t>
      </w:r>
    </w:p>
    <w:p w14:paraId="42941487">
      <w:pPr>
        <w:shd w:val="clear" w:color="auto" w:fill="FFFFFF"/>
        <w:adjustRightInd/>
        <w:snapToGrid/>
        <w:spacing w:line="360" w:lineRule="auto"/>
        <w:ind w:left="420" w:hanging="420" w:hangingChars="200"/>
        <w:rPr>
          <w:rFonts w:hint="eastAsia" w:ascii="宋体" w:eastAsia="宋体" w:cs="宋体"/>
          <w:color w:val="auto"/>
          <w:u w:val="single"/>
          <w:lang w:val="en-US" w:eastAsia="zh-CN"/>
        </w:rPr>
      </w:pPr>
      <w:r>
        <w:rPr>
          <w:rFonts w:hint="eastAsia" w:ascii="宋体" w:eastAsia="宋体" w:cs="宋体"/>
          <w:color w:val="auto"/>
          <w:u w:val="single"/>
          <w:lang w:val="en-US" w:eastAsia="zh-CN"/>
        </w:rPr>
        <w:t>（1）勘察部分：岩土地质钻探（初勘及详勘、含水下钻探）、工程测量（含提供控制点、水下测量、地形测量）、沿线建筑物测量、工程物探（含管线探测）、绘制数字化全分析CAD图形等工作。</w:t>
      </w:r>
    </w:p>
    <w:p w14:paraId="258DDC19">
      <w:pPr>
        <w:shd w:val="clear" w:color="auto" w:fill="FFFFFF"/>
        <w:adjustRightInd/>
        <w:snapToGrid/>
        <w:spacing w:line="360" w:lineRule="auto"/>
        <w:ind w:left="420" w:leftChars="0" w:hanging="420" w:hangingChars="200"/>
        <w:rPr>
          <w:rFonts w:ascii="宋体" w:eastAsia="宋体" w:cs="宋体"/>
          <w:color w:val="auto"/>
          <w:u w:val="single"/>
        </w:rPr>
      </w:pPr>
      <w:r>
        <w:rPr>
          <w:rFonts w:hint="eastAsia" w:ascii="宋体" w:eastAsia="宋体" w:cs="宋体"/>
          <w:color w:val="auto"/>
          <w:u w:val="single"/>
          <w:lang w:val="en-US" w:eastAsia="zh-CN"/>
        </w:rPr>
        <w:t>（2）设计部分：初步设计及评审、概预算编制及评审、施工图设计、与建设相关的论证报告及评审招标技术文件的编写施工图审查后的修改、竣工图编制、施工全过程现场技术服务等工作。上述未提及但在办理政府及相关部门审批过程中涉及的费用也包括在此费用内。</w:t>
      </w:r>
      <w:r>
        <w:rPr>
          <w:rFonts w:hint="eastAsia" w:ascii="宋体" w:eastAsia="宋体" w:cs="宋体"/>
          <w:color w:val="auto"/>
        </w:rPr>
        <w:t xml:space="preserve">  </w:t>
      </w:r>
    </w:p>
    <w:p w14:paraId="4EFDB5AF">
      <w:pPr>
        <w:shd w:val="clear" w:color="auto" w:fill="FFFFFF"/>
        <w:adjustRightInd/>
        <w:snapToGrid/>
        <w:spacing w:line="360" w:lineRule="auto"/>
        <w:ind w:left="420" w:hanging="420" w:hangingChars="200"/>
        <w:rPr>
          <w:rFonts w:ascii="宋体" w:eastAsia="宋体" w:cs="宋体"/>
          <w:color w:val="auto"/>
        </w:rPr>
      </w:pPr>
      <w:r>
        <w:rPr>
          <w:rFonts w:hint="eastAsia" w:ascii="宋体" w:eastAsia="宋体" w:cs="宋体"/>
          <w:color w:val="auto"/>
        </w:rPr>
        <w:t>2.6 前期服务机构名称（含项目建议书、可行性研究报告、规划等编制单位）：</w:t>
      </w:r>
      <w:r>
        <w:rPr>
          <w:rFonts w:hint="eastAsia" w:ascii="宋体" w:hAnsi="宋体" w:eastAsia="宋体" w:cs="宋体"/>
          <w:color w:val="auto"/>
          <w:sz w:val="21"/>
          <w:szCs w:val="21"/>
          <w:highlight w:val="none"/>
          <w:u w:val="single"/>
          <w:lang w:val="en-US" w:eastAsia="zh-CN"/>
        </w:rPr>
        <w:t>北京市市政工程设计研究总院有限公司</w:t>
      </w:r>
      <w:r>
        <w:rPr>
          <w:rFonts w:hint="eastAsia" w:ascii="宋体" w:eastAsia="宋体" w:cs="宋体"/>
          <w:color w:val="auto"/>
          <w:u w:val="single"/>
        </w:rPr>
        <w:t>（可行性研究报告编制单位）</w:t>
      </w:r>
      <w:r>
        <w:rPr>
          <w:rFonts w:hint="eastAsia" w:ascii="宋体" w:eastAsia="宋体" w:cs="宋体"/>
          <w:color w:val="auto"/>
        </w:rPr>
        <w:t>。</w:t>
      </w:r>
    </w:p>
    <w:p w14:paraId="52015473">
      <w:pPr>
        <w:adjustRightInd/>
        <w:snapToGrid/>
        <w:spacing w:line="360" w:lineRule="auto"/>
        <w:ind w:left="-1" w:leftChars="0" w:firstLine="0" w:firstLineChars="0"/>
        <w:rPr>
          <w:rFonts w:ascii="宋体" w:eastAsia="宋体" w:cs="宋体"/>
          <w:color w:val="auto"/>
          <w:u w:val="single"/>
        </w:rPr>
      </w:pPr>
      <w:r>
        <w:rPr>
          <w:rFonts w:hint="eastAsia" w:ascii="宋体" w:eastAsia="宋体" w:cs="宋体"/>
          <w:b/>
          <w:color w:val="auto"/>
        </w:rPr>
        <w:t>注：</w:t>
      </w:r>
      <w:r>
        <w:rPr>
          <w:rFonts w:hint="eastAsia" w:ascii="宋体" w:eastAsia="宋体" w:cs="宋体"/>
          <w:color w:val="auto"/>
        </w:rPr>
        <w:t>如果前期服务机构参加本次投标，应将本公告发布前最终完成的工作成果（含电子文件）在投标人获取招标文件的同时提供给所有投标人参考，否则前期参与的服务机构中标无效。</w:t>
      </w:r>
    </w:p>
    <w:p w14:paraId="1E768FDE">
      <w:pPr>
        <w:pStyle w:val="3"/>
        <w:adjustRightInd/>
        <w:snapToGrid/>
        <w:spacing w:before="0" w:beforeLines="0" w:after="0" w:afterLines="0" w:line="360" w:lineRule="auto"/>
        <w:rPr>
          <w:color w:val="auto"/>
          <w:sz w:val="28"/>
          <w:szCs w:val="28"/>
        </w:rPr>
      </w:pPr>
      <w:bookmarkStart w:id="22" w:name="_Toc9011"/>
      <w:bookmarkStart w:id="23" w:name="_Toc27914"/>
      <w:bookmarkStart w:id="24" w:name="_Toc10241"/>
      <w:bookmarkStart w:id="25" w:name="_Toc28948"/>
      <w:bookmarkStart w:id="26" w:name="_Toc25583"/>
      <w:bookmarkStart w:id="27" w:name="_Toc26793"/>
      <w:bookmarkStart w:id="28" w:name="_Toc26086"/>
      <w:r>
        <w:rPr>
          <w:rFonts w:hint="eastAsia"/>
          <w:color w:val="auto"/>
          <w:sz w:val="28"/>
          <w:szCs w:val="28"/>
        </w:rPr>
        <w:t>3. 投标人资格要求</w:t>
      </w:r>
      <w:bookmarkEnd w:id="22"/>
      <w:bookmarkEnd w:id="23"/>
    </w:p>
    <w:p w14:paraId="25137C3D">
      <w:pPr>
        <w:adjustRightInd/>
        <w:snapToGrid/>
        <w:spacing w:line="360" w:lineRule="auto"/>
        <w:ind w:left="434" w:leftChars="0" w:hanging="434" w:hangingChars="207"/>
        <w:rPr>
          <w:rFonts w:ascii="宋体" w:eastAsia="宋体" w:cs="宋体"/>
          <w:color w:val="auto"/>
        </w:rPr>
      </w:pPr>
      <w:r>
        <w:rPr>
          <w:rFonts w:hint="eastAsia" w:ascii="宋体" w:eastAsia="宋体" w:cs="宋体"/>
          <w:color w:val="auto"/>
        </w:rPr>
        <w:t>3.1 投标人参加投标的意思表达清楚，投标人代表被授权有效。</w:t>
      </w:r>
    </w:p>
    <w:p w14:paraId="3B15606D">
      <w:pPr>
        <w:adjustRightInd/>
        <w:snapToGrid/>
        <w:spacing w:line="360" w:lineRule="auto"/>
        <w:ind w:left="434" w:leftChars="0" w:hanging="434" w:hangingChars="207"/>
        <w:rPr>
          <w:rFonts w:hint="eastAsia" w:ascii="宋体" w:eastAsia="宋体" w:cs="宋体"/>
          <w:color w:val="auto"/>
        </w:rPr>
      </w:pPr>
      <w:r>
        <w:rPr>
          <w:rFonts w:hint="eastAsia" w:ascii="宋体" w:eastAsia="宋体" w:cs="宋体"/>
          <w:color w:val="auto"/>
        </w:rPr>
        <w:t>3.2 投标人</w:t>
      </w:r>
      <w:r>
        <w:rPr>
          <w:rFonts w:hint="eastAsia" w:ascii="宋体" w:hAnsi="宋体" w:eastAsia="宋体" w:cs="宋体"/>
          <w:color w:val="auto"/>
          <w:szCs w:val="21"/>
          <w:highlight w:val="none"/>
          <w:u w:val="single"/>
        </w:rPr>
        <w:t>（若为联合体投标，指联合体各方）</w:t>
      </w:r>
      <w:r>
        <w:rPr>
          <w:rFonts w:hint="eastAsia" w:ascii="宋体" w:eastAsia="宋体" w:cs="宋体"/>
          <w:color w:val="auto"/>
        </w:rPr>
        <w:t>是法人或其他组织，按国家法律经营。</w:t>
      </w:r>
    </w:p>
    <w:p w14:paraId="1AC6BBDB">
      <w:pPr>
        <w:adjustRightInd/>
        <w:snapToGrid/>
        <w:spacing w:line="360" w:lineRule="auto"/>
        <w:ind w:left="716" w:leftChars="0" w:hanging="716" w:hangingChars="341"/>
        <w:rPr>
          <w:rFonts w:hint="default" w:ascii="宋体" w:eastAsia="宋体" w:cs="宋体"/>
          <w:color w:val="auto"/>
          <w:highlight w:val="none"/>
          <w:lang w:val="en-US" w:eastAsia="zh-CN"/>
        </w:rPr>
      </w:pPr>
      <w:r>
        <w:rPr>
          <w:rFonts w:hint="eastAsia" w:ascii="宋体" w:eastAsia="宋体" w:cs="宋体"/>
          <w:color w:val="auto"/>
          <w:highlight w:val="none"/>
        </w:rPr>
        <w:t xml:space="preserve">3.3 </w:t>
      </w:r>
      <w:r>
        <w:rPr>
          <w:rFonts w:hint="eastAsia" w:ascii="宋体" w:hAnsi="宋体" w:eastAsia="宋体"/>
          <w:color w:val="auto"/>
          <w:highlight w:val="none"/>
        </w:rPr>
        <w:t>投标人须同时具备建设行政主管部门颁发的</w:t>
      </w:r>
      <w:r>
        <w:rPr>
          <w:rFonts w:hint="eastAsia" w:ascii="宋体" w:hAnsi="宋体" w:eastAsia="宋体"/>
          <w:color w:val="auto"/>
          <w:highlight w:val="none"/>
          <w:u w:val="single"/>
        </w:rPr>
        <w:t>①和②</w:t>
      </w:r>
      <w:r>
        <w:rPr>
          <w:rFonts w:hint="eastAsia" w:ascii="宋体" w:hAnsi="宋体" w:eastAsia="宋体"/>
          <w:color w:val="auto"/>
          <w:highlight w:val="none"/>
        </w:rPr>
        <w:t>资质：</w:t>
      </w:r>
    </w:p>
    <w:p w14:paraId="0B554EAA">
      <w:pPr>
        <w:autoSpaceDE/>
        <w:autoSpaceDN/>
        <w:adjustRightInd/>
        <w:snapToGrid/>
        <w:spacing w:line="360" w:lineRule="auto"/>
        <w:ind w:left="544" w:leftChars="259" w:firstLine="0" w:firstLineChars="0"/>
        <w:rPr>
          <w:rFonts w:hint="eastAsia" w:ascii="宋体" w:hAnsi="宋体"/>
          <w:b w:val="0"/>
          <w:bCs w:val="0"/>
          <w:highlight w:val="none"/>
          <w:u w:val="single"/>
        </w:rPr>
      </w:pPr>
      <w:r>
        <w:rPr>
          <w:rFonts w:hint="eastAsia" w:ascii="宋体" w:hAnsi="宋体" w:eastAsia="宋体"/>
          <w:color w:val="auto"/>
          <w:highlight w:val="none"/>
          <w:u w:val="single"/>
        </w:rPr>
        <w:t>①</w:t>
      </w:r>
      <w:r>
        <w:rPr>
          <w:rFonts w:hint="eastAsia" w:ascii="宋体" w:hAnsi="宋体" w:eastAsia="宋体"/>
          <w:color w:val="auto"/>
          <w:highlight w:val="none"/>
          <w:u w:val="single"/>
          <w:lang w:val="en-US" w:eastAsia="zh-CN"/>
        </w:rPr>
        <w:t>设计资质</w:t>
      </w:r>
      <w:r>
        <w:rPr>
          <w:rFonts w:hint="eastAsia" w:ascii="宋体" w:hAnsi="宋体" w:eastAsia="宋体" w:cs="宋体"/>
          <w:highlight w:val="none"/>
          <w:u w:val="single"/>
          <w:lang w:val="en-US" w:eastAsia="zh-CN"/>
        </w:rPr>
        <w:t>（如联合体投标，指联合体</w:t>
      </w:r>
      <w:r>
        <w:rPr>
          <w:rFonts w:hint="eastAsia" w:ascii="宋体" w:hAnsi="宋体" w:eastAsia="宋体" w:cs="宋体"/>
          <w:color w:val="auto"/>
          <w:sz w:val="21"/>
          <w:szCs w:val="21"/>
          <w:highlight w:val="none"/>
          <w:u w:val="single"/>
          <w:lang w:val="en-US" w:eastAsia="zh-CN"/>
        </w:rPr>
        <w:t>主办</w:t>
      </w:r>
      <w:r>
        <w:rPr>
          <w:rFonts w:hint="eastAsia" w:ascii="宋体" w:hAnsi="宋体" w:eastAsia="宋体" w:cs="宋体"/>
          <w:color w:val="auto"/>
          <w:sz w:val="21"/>
          <w:szCs w:val="21"/>
          <w:highlight w:val="none"/>
          <w:u w:val="single"/>
        </w:rPr>
        <w:t>方</w:t>
      </w:r>
      <w:r>
        <w:rPr>
          <w:rFonts w:hint="eastAsia" w:ascii="宋体" w:hAnsi="宋体" w:eastAsia="宋体" w:cs="宋体"/>
          <w:highlight w:val="none"/>
          <w:u w:val="single"/>
          <w:lang w:val="en-US" w:eastAsia="zh-CN"/>
        </w:rPr>
        <w:t>）</w:t>
      </w:r>
      <w:r>
        <w:rPr>
          <w:rFonts w:hint="eastAsia" w:ascii="宋体" w:hAnsi="宋体" w:eastAsia="宋体"/>
          <w:color w:val="auto"/>
          <w:highlight w:val="none"/>
          <w:u w:val="single"/>
          <w:lang w:val="en-US" w:eastAsia="zh-CN"/>
        </w:rPr>
        <w:t>：</w:t>
      </w:r>
      <w:r>
        <w:rPr>
          <w:rFonts w:hint="eastAsia" w:ascii="宋体" w:eastAsia="宋体" w:cs="宋体"/>
          <w:color w:val="auto"/>
          <w:highlight w:val="none"/>
          <w:u w:val="single"/>
        </w:rPr>
        <w:t>工程设计综合资质甲级</w:t>
      </w:r>
      <w:r>
        <w:rPr>
          <w:rFonts w:hint="eastAsia" w:ascii="宋体" w:eastAsia="宋体" w:cs="宋体"/>
          <w:color w:val="auto"/>
          <w:highlight w:val="none"/>
          <w:u w:val="single"/>
          <w:lang w:eastAsia="zh-CN"/>
        </w:rPr>
        <w:t>，</w:t>
      </w:r>
      <w:r>
        <w:rPr>
          <w:rFonts w:hint="eastAsia" w:ascii="宋体" w:eastAsia="宋体" w:cs="宋体"/>
          <w:color w:val="auto"/>
          <w:highlight w:val="none"/>
          <w:u w:val="single"/>
          <w:lang w:val="en-US" w:eastAsia="zh-CN"/>
        </w:rPr>
        <w:t>或</w:t>
      </w:r>
      <w:r>
        <w:rPr>
          <w:rFonts w:hint="eastAsia" w:ascii="宋体" w:hAnsi="宋体"/>
          <w:b w:val="0"/>
          <w:bCs w:val="0"/>
          <w:highlight w:val="none"/>
          <w:u w:val="single"/>
        </w:rPr>
        <w:t>市政行业</w:t>
      </w:r>
      <w:r>
        <w:rPr>
          <w:rFonts w:hint="eastAsia" w:ascii="宋体" w:hAnsi="宋体" w:eastAsia="宋体"/>
          <w:b w:val="0"/>
          <w:bCs w:val="0"/>
          <w:highlight w:val="none"/>
          <w:u w:val="single"/>
          <w:lang w:val="en-US" w:eastAsia="zh-CN"/>
        </w:rPr>
        <w:t>设计</w:t>
      </w:r>
      <w:r>
        <w:rPr>
          <w:rFonts w:hint="eastAsia" w:ascii="宋体" w:hAnsi="宋体"/>
          <w:b w:val="0"/>
          <w:bCs w:val="0"/>
          <w:highlight w:val="none"/>
          <w:u w:val="single"/>
        </w:rPr>
        <w:t>甲级资质</w:t>
      </w:r>
      <w:r>
        <w:rPr>
          <w:rFonts w:hint="eastAsia" w:ascii="宋体" w:hAnsi="宋体" w:eastAsia="宋体"/>
          <w:b w:val="0"/>
          <w:bCs w:val="0"/>
          <w:highlight w:val="none"/>
          <w:u w:val="single"/>
          <w:lang w:eastAsia="zh-CN"/>
        </w:rPr>
        <w:t>，</w:t>
      </w:r>
      <w:r>
        <w:rPr>
          <w:rFonts w:hint="eastAsia" w:ascii="宋体" w:hAnsi="宋体"/>
          <w:b w:val="0"/>
          <w:bCs w:val="0"/>
          <w:highlight w:val="none"/>
          <w:u w:val="single"/>
        </w:rPr>
        <w:t>或市政行业（排水工程）专业设计甲级资质</w:t>
      </w:r>
      <w:r>
        <w:rPr>
          <w:rFonts w:hint="eastAsia" w:ascii="宋体" w:hAnsi="宋体" w:eastAsia="宋体" w:cs="宋体"/>
          <w:highlight w:val="none"/>
          <w:u w:val="single"/>
          <w:lang w:val="en-US" w:eastAsia="zh-CN"/>
        </w:rPr>
        <w:t>。</w:t>
      </w:r>
    </w:p>
    <w:p w14:paraId="285F822F">
      <w:pPr>
        <w:autoSpaceDE/>
        <w:autoSpaceDN/>
        <w:adjustRightInd/>
        <w:snapToGrid/>
        <w:spacing w:line="360" w:lineRule="auto"/>
        <w:ind w:left="544" w:leftChars="259" w:firstLine="0" w:firstLineChars="0"/>
        <w:rPr>
          <w:rFonts w:hint="default" w:ascii="宋体" w:eastAsia="宋体" w:cs="宋体"/>
          <w:color w:val="auto"/>
          <w:u w:val="single"/>
          <w:lang w:val="en-US" w:eastAsia="zh-CN"/>
        </w:rPr>
      </w:pPr>
      <w:r>
        <w:rPr>
          <w:rFonts w:hint="eastAsia" w:ascii="宋体" w:hAnsi="宋体" w:eastAsia="宋体"/>
          <w:color w:val="auto"/>
          <w:highlight w:val="none"/>
          <w:u w:val="single"/>
        </w:rPr>
        <w:t>②</w:t>
      </w:r>
      <w:r>
        <w:rPr>
          <w:rFonts w:hint="eastAsia" w:ascii="宋体" w:hAnsi="宋体" w:eastAsia="宋体"/>
          <w:color w:val="auto"/>
          <w:highlight w:val="none"/>
          <w:u w:val="single"/>
          <w:lang w:val="en-US" w:eastAsia="zh-CN"/>
        </w:rPr>
        <w:t>勘察资质</w:t>
      </w:r>
      <w:r>
        <w:rPr>
          <w:rFonts w:hint="eastAsia" w:ascii="宋体" w:hAnsi="宋体" w:eastAsia="宋体" w:cs="宋体"/>
          <w:highlight w:val="none"/>
          <w:u w:val="single"/>
          <w:lang w:val="en-US" w:eastAsia="zh-CN"/>
        </w:rPr>
        <w:t>（如联合体投标，指承担勘察任务的成员方）</w:t>
      </w:r>
      <w:r>
        <w:rPr>
          <w:rFonts w:hint="eastAsia" w:ascii="宋体" w:hAnsi="宋体" w:eastAsia="宋体"/>
          <w:color w:val="auto"/>
          <w:highlight w:val="none"/>
          <w:u w:val="single"/>
          <w:lang w:val="en-US" w:eastAsia="zh-CN"/>
        </w:rPr>
        <w:t>：工程勘察综合资质甲级；或同时具有工程勘察（岩土工程）专业乙级（或以上级别）资质和工程勘察（工程测量）专业乙级（或以上级别）资质；或同时具备工程勘察岩土工程（分项：岩土工程勘察）专业乙级（或以上级别）资质和工程勘察（工程测量）专业乙级（或以上级别）资质；</w:t>
      </w:r>
    </w:p>
    <w:p w14:paraId="2D8EE05A">
      <w:pPr>
        <w:adjustRightInd/>
        <w:snapToGrid/>
        <w:spacing w:line="360" w:lineRule="auto"/>
        <w:ind w:firstLine="211" w:firstLineChars="100"/>
        <w:rPr>
          <w:rFonts w:ascii="宋体" w:eastAsia="宋体" w:cs="宋体"/>
          <w:color w:val="auto"/>
        </w:rPr>
      </w:pPr>
      <w:r>
        <w:rPr>
          <w:rFonts w:hint="eastAsia" w:ascii="宋体" w:eastAsia="宋体" w:cs="宋体"/>
          <w:b/>
          <w:color w:val="auto"/>
        </w:rPr>
        <w:t>注：</w:t>
      </w:r>
      <w:r>
        <w:rPr>
          <w:rFonts w:hint="eastAsia" w:ascii="宋体" w:eastAsia="宋体" w:cs="宋体"/>
          <w:color w:val="auto"/>
        </w:rPr>
        <w:t>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1A98A490">
      <w:pPr>
        <w:adjustRightInd/>
        <w:snapToGrid/>
        <w:spacing w:line="360" w:lineRule="auto"/>
        <w:ind w:firstLine="420" w:firstLineChars="200"/>
        <w:rPr>
          <w:rFonts w:ascii="宋体" w:eastAsia="宋体" w:cs="宋体"/>
          <w:color w:val="auto"/>
        </w:rPr>
      </w:pPr>
      <w:r>
        <w:rPr>
          <w:rFonts w:hint="eastAsia" w:ascii="宋体" w:eastAsia="宋体" w:cs="宋体"/>
          <w:color w:val="auto"/>
        </w:rPr>
        <w:t>工程设计</w:t>
      </w:r>
      <w:r>
        <w:rPr>
          <w:rFonts w:hint="eastAsia" w:ascii="宋体" w:eastAsia="宋体" w:cs="宋体"/>
          <w:color w:val="auto"/>
          <w:lang w:eastAsia="zh-CN"/>
        </w:rPr>
        <w:t>、</w:t>
      </w:r>
      <w:r>
        <w:rPr>
          <w:rFonts w:hint="eastAsia" w:ascii="宋体" w:eastAsia="宋体" w:cs="宋体"/>
          <w:color w:val="auto"/>
          <w:lang w:val="en-US" w:eastAsia="zh-CN"/>
        </w:rPr>
        <w:t>工程勘察</w:t>
      </w:r>
      <w:r>
        <w:rPr>
          <w:rFonts w:hint="eastAsia" w:ascii="宋体" w:eastAsia="宋体" w:cs="宋体"/>
          <w:color w:val="auto"/>
        </w:rPr>
        <w:t>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p>
    <w:p w14:paraId="191F8294">
      <w:pPr>
        <w:autoSpaceDE/>
        <w:autoSpaceDN/>
        <w:adjustRightInd/>
        <w:snapToGrid/>
        <w:spacing w:line="360" w:lineRule="auto"/>
        <w:ind w:left="420" w:leftChars="0" w:hanging="420" w:hangingChars="200"/>
        <w:rPr>
          <w:rFonts w:ascii="宋体" w:eastAsia="宋体" w:cs="宋体"/>
          <w:color w:val="auto"/>
        </w:rPr>
      </w:pPr>
      <w:r>
        <w:rPr>
          <w:rFonts w:hint="eastAsia" w:ascii="宋体" w:eastAsia="宋体" w:cs="宋体"/>
          <w:color w:val="auto"/>
        </w:rPr>
        <w:t>3.4 投标人</w:t>
      </w:r>
      <w:r>
        <w:rPr>
          <w:rFonts w:hint="eastAsia" w:ascii="宋体" w:hAnsi="宋体" w:eastAsia="宋体" w:cs="宋体"/>
          <w:color w:val="auto"/>
          <w:szCs w:val="21"/>
          <w:highlight w:val="none"/>
          <w:u w:val="single"/>
        </w:rPr>
        <w:t>（若为联合体投标，指联合体各方）</w:t>
      </w:r>
      <w:r>
        <w:rPr>
          <w:rFonts w:hint="eastAsia" w:ascii="宋体" w:eastAsia="宋体" w:cs="宋体"/>
          <w:color w:val="auto"/>
        </w:rPr>
        <w:t>已在广州交易集团有限公司（广州公共资源交易中心）办理企业信息登记，本项目负责人是本企业在广州交易集团有限公司（广州公共资源交易中心）企业信息登记中的在册人员。</w:t>
      </w:r>
    </w:p>
    <w:p w14:paraId="7448AAF8">
      <w:pPr>
        <w:autoSpaceDE/>
        <w:autoSpaceDN/>
        <w:adjustRightInd/>
        <w:snapToGrid/>
        <w:spacing w:line="360" w:lineRule="auto"/>
        <w:ind w:left="420" w:hanging="420" w:hangingChars="200"/>
        <w:rPr>
          <w:rFonts w:ascii="宋体" w:eastAsia="宋体" w:cs="宋体"/>
          <w:color w:val="auto"/>
          <w:highlight w:val="none"/>
        </w:rPr>
      </w:pPr>
      <w:r>
        <w:rPr>
          <w:rFonts w:hint="eastAsia" w:ascii="宋体" w:eastAsia="宋体" w:cs="宋体"/>
          <w:color w:val="auto"/>
        </w:rPr>
        <w:t xml:space="preserve">3.5 </w:t>
      </w:r>
      <w:r>
        <w:rPr>
          <w:rFonts w:hint="eastAsia" w:ascii="宋体" w:hAnsi="宋体" w:eastAsia="宋体"/>
          <w:color w:val="auto"/>
          <w:highlight w:val="none"/>
        </w:rPr>
        <w:t>投标人</w:t>
      </w:r>
      <w:r>
        <w:rPr>
          <w:rFonts w:hint="eastAsia" w:ascii="宋体" w:hAnsi="宋体" w:eastAsia="宋体" w:cs="宋体"/>
          <w:color w:val="auto"/>
          <w:sz w:val="21"/>
          <w:szCs w:val="21"/>
          <w:highlight w:val="none"/>
        </w:rPr>
        <w:t>（如联合体投标，由联合体</w:t>
      </w:r>
      <w:r>
        <w:rPr>
          <w:rFonts w:hint="eastAsia" w:ascii="宋体" w:hAnsi="宋体" w:eastAsia="宋体" w:cs="宋体"/>
          <w:color w:val="auto"/>
          <w:sz w:val="21"/>
          <w:szCs w:val="21"/>
          <w:highlight w:val="none"/>
          <w:lang w:eastAsia="zh-CN"/>
        </w:rPr>
        <w:t>主办</w:t>
      </w:r>
      <w:r>
        <w:rPr>
          <w:rFonts w:hint="eastAsia" w:ascii="宋体" w:hAnsi="宋体" w:eastAsia="宋体" w:cs="宋体"/>
          <w:color w:val="auto"/>
          <w:sz w:val="21"/>
          <w:szCs w:val="21"/>
          <w:highlight w:val="none"/>
        </w:rPr>
        <w:t>方委派）</w:t>
      </w:r>
      <w:r>
        <w:rPr>
          <w:rFonts w:hint="eastAsia" w:ascii="宋体" w:hAnsi="宋体" w:eastAsia="宋体"/>
          <w:color w:val="auto"/>
          <w:highlight w:val="none"/>
        </w:rPr>
        <w:t>委派的项目负责人</w:t>
      </w:r>
      <w:r>
        <w:rPr>
          <w:rFonts w:hint="eastAsia" w:ascii="宋体" w:hAnsi="宋体" w:eastAsia="宋体" w:cs="宋体"/>
          <w:color w:val="auto"/>
          <w:sz w:val="21"/>
          <w:szCs w:val="21"/>
          <w:highlight w:val="none"/>
        </w:rPr>
        <w:t>须具备</w:t>
      </w:r>
      <w:r>
        <w:rPr>
          <w:rFonts w:hint="eastAsia"/>
          <w:b w:val="0"/>
          <w:color w:val="auto"/>
          <w:sz w:val="21"/>
          <w:szCs w:val="21"/>
          <w:highlight w:val="none"/>
        </w:rPr>
        <w:t>注册公用设备工程师（给水排水）</w:t>
      </w:r>
      <w:r>
        <w:rPr>
          <w:rFonts w:hint="eastAsia"/>
          <w:b w:val="0"/>
          <w:color w:val="auto"/>
          <w:sz w:val="21"/>
          <w:szCs w:val="21"/>
          <w:highlight w:val="none"/>
          <w:lang w:val="en-US" w:eastAsia="zh-CN"/>
        </w:rPr>
        <w:t>或注册环保工程师资格</w:t>
      </w:r>
      <w:r>
        <w:rPr>
          <w:rFonts w:hint="eastAsia" w:eastAsia="宋体"/>
          <w:b w:val="0"/>
          <w:color w:val="auto"/>
          <w:sz w:val="21"/>
          <w:szCs w:val="21"/>
          <w:highlight w:val="none"/>
          <w:lang w:val="en-US" w:eastAsia="zh-CN"/>
        </w:rPr>
        <w:t>或</w:t>
      </w:r>
      <w:r>
        <w:rPr>
          <w:rFonts w:hint="eastAsia" w:ascii="宋体" w:hAnsi="宋体" w:eastAsia="宋体"/>
          <w:color w:val="auto"/>
          <w:highlight w:val="none"/>
          <w:u w:val="single"/>
          <w:lang w:val="en-US" w:eastAsia="zh-CN"/>
        </w:rPr>
        <w:t>给排水（或环境类）专业</w:t>
      </w:r>
      <w:r>
        <w:rPr>
          <w:rFonts w:hint="eastAsia" w:ascii="宋体" w:hAnsi="宋体" w:eastAsia="宋体"/>
          <w:color w:val="auto"/>
          <w:highlight w:val="none"/>
          <w:u w:val="single"/>
        </w:rPr>
        <w:t>工程相关专业</w:t>
      </w:r>
      <w:r>
        <w:rPr>
          <w:rFonts w:hint="eastAsia" w:ascii="宋体" w:hAnsi="宋体" w:eastAsia="宋体"/>
          <w:color w:val="auto"/>
          <w:highlight w:val="none"/>
          <w:u w:val="single"/>
          <w:lang w:val="en-US" w:eastAsia="zh-CN"/>
        </w:rPr>
        <w:t>高</w:t>
      </w:r>
      <w:r>
        <w:rPr>
          <w:rFonts w:hint="eastAsia" w:ascii="宋体" w:hAnsi="宋体" w:eastAsia="宋体"/>
          <w:color w:val="auto"/>
          <w:highlight w:val="none"/>
          <w:u w:val="single"/>
        </w:rPr>
        <w:t>级</w:t>
      </w:r>
      <w:r>
        <w:rPr>
          <w:rFonts w:hint="eastAsia" w:ascii="宋体" w:hAnsi="宋体" w:cs="宋体"/>
          <w:color w:val="auto"/>
          <w:szCs w:val="21"/>
          <w:highlight w:val="none"/>
          <w:u w:val="single"/>
          <w:lang w:val="en-US" w:eastAsia="zh-CN"/>
        </w:rPr>
        <w:t>（或以上）</w:t>
      </w:r>
      <w:r>
        <w:rPr>
          <w:rFonts w:hint="eastAsia" w:ascii="宋体" w:hAnsi="宋体" w:eastAsia="宋体"/>
          <w:color w:val="auto"/>
          <w:highlight w:val="none"/>
          <w:u w:val="single"/>
        </w:rPr>
        <w:t>工程师职称</w:t>
      </w:r>
      <w:r>
        <w:rPr>
          <w:rFonts w:hint="eastAsia" w:ascii="宋体" w:hAnsi="宋体" w:eastAsia="宋体"/>
          <w:color w:val="auto"/>
          <w:highlight w:val="none"/>
        </w:rPr>
        <w:t>资格或以上。需提供离投标截止时间最近</w:t>
      </w:r>
      <w:r>
        <w:rPr>
          <w:rFonts w:hint="eastAsia" w:ascii="宋体" w:hAnsi="宋体" w:eastAsia="宋体"/>
          <w:color w:val="auto"/>
          <w:highlight w:val="none"/>
          <w:lang w:val="en-US" w:eastAsia="zh-CN"/>
        </w:rPr>
        <w:t>的至少1</w:t>
      </w:r>
      <w:r>
        <w:rPr>
          <w:rFonts w:hint="eastAsia" w:ascii="宋体" w:hAnsi="宋体" w:eastAsia="宋体"/>
          <w:color w:val="auto"/>
          <w:highlight w:val="none"/>
        </w:rPr>
        <w:t>个月在本单位缴纳的社保证明文件</w:t>
      </w:r>
      <w:r>
        <w:rPr>
          <w:rFonts w:hint="eastAsia" w:ascii="宋体" w:hAnsi="宋体" w:eastAsia="宋体"/>
          <w:color w:val="auto"/>
          <w:highlight w:val="none"/>
          <w:lang w:eastAsia="zh-CN"/>
        </w:rPr>
        <w:t>。</w:t>
      </w:r>
    </w:p>
    <w:p w14:paraId="52E135A6">
      <w:pPr>
        <w:pStyle w:val="4"/>
        <w:adjustRightInd/>
        <w:snapToGrid/>
        <w:spacing w:line="360" w:lineRule="auto"/>
        <w:ind w:firstLine="316" w:firstLineChars="150"/>
        <w:rPr>
          <w:rFonts w:hint="eastAsia" w:eastAsia="宋体" w:cs="宋体"/>
          <w:color w:val="auto"/>
          <w:szCs w:val="21"/>
        </w:rPr>
      </w:pPr>
      <w:r>
        <w:rPr>
          <w:rFonts w:hint="eastAsia" w:eastAsia="宋体" w:cs="宋体"/>
          <w:b/>
          <w:color w:val="auto"/>
          <w:szCs w:val="21"/>
        </w:rPr>
        <w:t>注：</w:t>
      </w:r>
      <w:r>
        <w:rPr>
          <w:rFonts w:hint="eastAsia" w:eastAsia="宋体" w:cs="宋体"/>
          <w:color w:val="auto"/>
          <w:szCs w:val="21"/>
        </w:rPr>
        <w:t>若拟委派的项目负责人为香港专业人士，则须已在广东省住房和城乡建设主管部门备案且备案的业务范围相当于</w:t>
      </w:r>
      <w:r>
        <w:rPr>
          <w:rFonts w:hint="eastAsia"/>
          <w:b w:val="0"/>
          <w:color w:val="auto"/>
          <w:sz w:val="21"/>
          <w:szCs w:val="21"/>
          <w:highlight w:val="none"/>
        </w:rPr>
        <w:t>注册公用设备工程师（给水排水）</w:t>
      </w:r>
      <w:r>
        <w:rPr>
          <w:rFonts w:hint="eastAsia"/>
          <w:b w:val="0"/>
          <w:color w:val="auto"/>
          <w:sz w:val="21"/>
          <w:szCs w:val="21"/>
          <w:highlight w:val="none"/>
          <w:lang w:val="en-US" w:eastAsia="zh-CN"/>
        </w:rPr>
        <w:t>或注册环保工程师资格</w:t>
      </w:r>
      <w:r>
        <w:rPr>
          <w:rFonts w:hint="eastAsia" w:eastAsia="宋体"/>
          <w:b w:val="0"/>
          <w:color w:val="auto"/>
          <w:sz w:val="21"/>
          <w:szCs w:val="21"/>
          <w:highlight w:val="none"/>
          <w:lang w:val="en-US" w:eastAsia="zh-CN"/>
        </w:rPr>
        <w:t>或</w:t>
      </w:r>
      <w:r>
        <w:rPr>
          <w:rFonts w:hint="eastAsia" w:ascii="宋体" w:hAnsi="宋体" w:eastAsia="宋体"/>
          <w:color w:val="auto"/>
          <w:highlight w:val="none"/>
          <w:u w:val="single"/>
          <w:lang w:val="en-US" w:eastAsia="zh-CN"/>
        </w:rPr>
        <w:t>给排水（或环境类）专业</w:t>
      </w:r>
      <w:r>
        <w:rPr>
          <w:rFonts w:hint="eastAsia" w:ascii="宋体" w:hAnsi="宋体" w:eastAsia="宋体"/>
          <w:color w:val="auto"/>
          <w:highlight w:val="none"/>
          <w:u w:val="single"/>
        </w:rPr>
        <w:t>工程相关专业</w:t>
      </w:r>
      <w:r>
        <w:rPr>
          <w:rFonts w:hint="eastAsia" w:ascii="宋体" w:hAnsi="宋体" w:eastAsia="宋体"/>
          <w:color w:val="auto"/>
          <w:highlight w:val="none"/>
          <w:u w:val="single"/>
          <w:lang w:val="en-US" w:eastAsia="zh-CN"/>
        </w:rPr>
        <w:t>高</w:t>
      </w:r>
      <w:r>
        <w:rPr>
          <w:rFonts w:hint="eastAsia" w:ascii="宋体" w:hAnsi="宋体" w:eastAsia="宋体"/>
          <w:color w:val="auto"/>
          <w:highlight w:val="none"/>
          <w:u w:val="single"/>
        </w:rPr>
        <w:t>级</w:t>
      </w:r>
      <w:r>
        <w:rPr>
          <w:rFonts w:hint="eastAsia" w:ascii="宋体" w:hAnsi="宋体" w:cs="宋体"/>
          <w:color w:val="auto"/>
          <w:szCs w:val="21"/>
          <w:highlight w:val="none"/>
          <w:u w:val="single"/>
          <w:lang w:val="en-US" w:eastAsia="zh-CN"/>
        </w:rPr>
        <w:t>（或以上）</w:t>
      </w:r>
      <w:r>
        <w:rPr>
          <w:rFonts w:hint="eastAsia" w:ascii="宋体" w:hAnsi="宋体" w:eastAsia="宋体"/>
          <w:color w:val="auto"/>
          <w:highlight w:val="none"/>
          <w:u w:val="single"/>
        </w:rPr>
        <w:t>工程师职称</w:t>
      </w:r>
      <w:r>
        <w:rPr>
          <w:rFonts w:hint="eastAsia" w:eastAsia="宋体" w:cs="宋体"/>
          <w:color w:val="auto"/>
          <w:szCs w:val="21"/>
        </w:rPr>
        <w:t>资格的香港专业人士</w:t>
      </w:r>
      <w:r>
        <w:rPr>
          <w:rFonts w:hint="eastAsia" w:eastAsia="宋体"/>
          <w:color w:val="auto"/>
          <w:szCs w:val="21"/>
        </w:rPr>
        <w:t>[</w:t>
      </w:r>
      <w:r>
        <w:rPr>
          <w:rFonts w:hint="eastAsia" w:eastAsia="宋体" w:cs="宋体"/>
          <w:color w:val="auto"/>
          <w:szCs w:val="21"/>
        </w:rPr>
        <w:t>香港专业人士的备案业务范围依据《广东省住房和城乡建设厅关于印发香港工程建设咨询企业和专业人士在粤港澳大湾区内地城市开业执业试点管理暂行办法的通知》（粤建规范〔</w:t>
      </w:r>
      <w:r>
        <w:rPr>
          <w:rFonts w:hint="eastAsia" w:eastAsia="宋体"/>
          <w:color w:val="auto"/>
          <w:szCs w:val="21"/>
        </w:rPr>
        <w:t>2020</w:t>
      </w:r>
      <w:r>
        <w:rPr>
          <w:rFonts w:hint="eastAsia" w:eastAsia="宋体" w:cs="宋体"/>
          <w:color w:val="auto"/>
          <w:szCs w:val="21"/>
        </w:rPr>
        <w:t>〕</w:t>
      </w:r>
      <w:r>
        <w:rPr>
          <w:rFonts w:hint="eastAsia" w:eastAsia="宋体"/>
          <w:color w:val="auto"/>
          <w:szCs w:val="21"/>
        </w:rPr>
        <w:t>1</w:t>
      </w:r>
      <w:r>
        <w:rPr>
          <w:rFonts w:hint="eastAsia" w:eastAsia="宋体" w:cs="宋体"/>
          <w:color w:val="auto"/>
          <w:szCs w:val="21"/>
        </w:rPr>
        <w:t>号）确定</w:t>
      </w:r>
      <w:r>
        <w:rPr>
          <w:rFonts w:hint="eastAsia" w:eastAsia="宋体"/>
          <w:color w:val="auto"/>
          <w:szCs w:val="21"/>
        </w:rPr>
        <w:t>]</w:t>
      </w:r>
      <w:r>
        <w:rPr>
          <w:rFonts w:hint="eastAsia" w:eastAsia="宋体" w:cs="宋体"/>
          <w:color w:val="auto"/>
          <w:szCs w:val="21"/>
        </w:rPr>
        <w:t>。</w:t>
      </w:r>
    </w:p>
    <w:p w14:paraId="2EC4FBAD">
      <w:pPr>
        <w:autoSpaceDE/>
        <w:autoSpaceDN/>
        <w:spacing w:line="400" w:lineRule="exact"/>
        <w:ind w:left="420" w:leftChars="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投标申请人业绩要求（</w:t>
      </w:r>
      <w:r>
        <w:rPr>
          <w:rFonts w:hint="eastAsia" w:ascii="仿宋_GB2312" w:eastAsia="仿宋_GB2312"/>
          <w:color w:val="auto"/>
          <w:sz w:val="28"/>
          <w:szCs w:val="28"/>
          <w:highlight w:val="none"/>
        </w:rPr>
        <w:sym w:font="Wingdings 2" w:char="0052"/>
      </w:r>
      <w:r>
        <w:rPr>
          <w:rFonts w:hint="eastAsia" w:ascii="宋体" w:hAnsi="宋体" w:eastAsia="宋体" w:cs="宋体"/>
          <w:color w:val="auto"/>
          <w:sz w:val="21"/>
          <w:szCs w:val="21"/>
          <w:highlight w:val="none"/>
        </w:rPr>
        <w:t>需要</w:t>
      </w:r>
      <w:r>
        <w:rPr>
          <w:rFonts w:hint="eastAsia" w:ascii="宋体" w:hAnsi="宋体" w:eastAsia="宋体" w:cs="宋体"/>
          <w:strike w:val="0"/>
          <w:dstrike w:val="0"/>
          <w:color w:val="auto"/>
          <w:sz w:val="21"/>
          <w:szCs w:val="21"/>
          <w:highlight w:val="none"/>
        </w:rPr>
        <w:t>/</w:t>
      </w:r>
      <w:r>
        <w:rPr>
          <w:rFonts w:hint="eastAsia" w:ascii="仿宋_GB2312" w:eastAsia="仿宋_GB2312"/>
          <w:color w:val="auto"/>
          <w:sz w:val="28"/>
          <w:szCs w:val="28"/>
          <w:highlight w:val="none"/>
        </w:rPr>
        <w:sym w:font="Wingdings 2" w:char="00A3"/>
      </w:r>
      <w:r>
        <w:rPr>
          <w:rFonts w:hint="eastAsia" w:ascii="宋体" w:hAnsi="宋体" w:eastAsia="宋体" w:cs="宋体"/>
          <w:strike w:val="0"/>
          <w:dstrike w:val="0"/>
          <w:color w:val="auto"/>
          <w:sz w:val="21"/>
          <w:szCs w:val="21"/>
          <w:highlight w:val="none"/>
        </w:rPr>
        <w:t>不需要</w:t>
      </w:r>
      <w:r>
        <w:rPr>
          <w:rFonts w:hint="eastAsia" w:ascii="宋体" w:hAnsi="宋体" w:eastAsia="宋体" w:cs="宋体"/>
          <w:strike w:val="0"/>
          <w:color w:val="auto"/>
          <w:sz w:val="21"/>
          <w:szCs w:val="21"/>
          <w:highlight w:val="none"/>
        </w:rPr>
        <w:t>）</w:t>
      </w:r>
      <w:r>
        <w:rPr>
          <w:rFonts w:hint="eastAsia" w:ascii="宋体" w:hAnsi="宋体" w:eastAsia="宋体" w:cs="宋体"/>
          <w:color w:val="auto"/>
          <w:sz w:val="21"/>
          <w:szCs w:val="21"/>
          <w:highlight w:val="none"/>
        </w:rPr>
        <w:t>：投标申请人</w:t>
      </w:r>
      <w:r>
        <w:rPr>
          <w:rFonts w:hint="eastAsia" w:ascii="宋体" w:hAnsi="宋体" w:eastAsia="宋体" w:cs="宋体"/>
          <w:color w:val="auto"/>
          <w:sz w:val="21"/>
          <w:szCs w:val="21"/>
          <w:highlight w:val="none"/>
          <w:lang w:eastAsia="zh-CN"/>
        </w:rPr>
        <w:t>（联合体投标的，由联合体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日至今（以合同签订日期为准）承担过类似</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业绩（</w:t>
      </w: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类似</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业绩是指“污水处理规模不小于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万吨/日的污水处理厂(含</w:t>
      </w:r>
      <w:r>
        <w:rPr>
          <w:rFonts w:hint="eastAsia"/>
          <w:b w:val="0"/>
          <w:color w:val="auto"/>
          <w:sz w:val="21"/>
          <w:szCs w:val="21"/>
          <w:highlight w:val="none"/>
        </w:rPr>
        <w:t>新建、改扩建</w:t>
      </w:r>
      <w:r>
        <w:rPr>
          <w:rFonts w:hint="eastAsia" w:ascii="宋体" w:hAnsi="宋体" w:eastAsia="宋体" w:cs="宋体"/>
          <w:color w:val="auto"/>
          <w:sz w:val="21"/>
          <w:szCs w:val="21"/>
          <w:highlight w:val="none"/>
        </w:rPr>
        <w:t>污水处理的净水厂、水质净化厂等)”的项目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需同时提供如下资料：</w:t>
      </w:r>
    </w:p>
    <w:p w14:paraId="598F9910">
      <w:pPr>
        <w:spacing w:line="400" w:lineRule="exact"/>
        <w:ind w:left="638" w:leftChars="304"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（1）中标通知书或项目审批部门出具的免招标的相关证明；</w:t>
      </w:r>
    </w:p>
    <w:p w14:paraId="6F841F32">
      <w:pPr>
        <w:spacing w:line="400" w:lineRule="exact"/>
        <w:ind w:left="638" w:leftChars="304"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（2）设计</w:t>
      </w:r>
      <w:r>
        <w:rPr>
          <w:rFonts w:hint="eastAsia" w:ascii="宋体" w:hAnsi="宋体" w:eastAsia="宋体" w:cs="宋体"/>
          <w:color w:val="auto"/>
          <w:sz w:val="21"/>
          <w:szCs w:val="21"/>
          <w:highlight w:val="none"/>
          <w:lang w:eastAsia="zh-CN"/>
        </w:rPr>
        <w:t>或勘察设计</w:t>
      </w:r>
      <w:r>
        <w:rPr>
          <w:rFonts w:hint="eastAsia" w:ascii="宋体" w:hAnsi="宋体" w:eastAsia="宋体" w:cs="宋体"/>
          <w:color w:val="auto"/>
          <w:sz w:val="21"/>
          <w:szCs w:val="21"/>
          <w:highlight w:val="none"/>
        </w:rPr>
        <w:t>合同；</w:t>
      </w:r>
    </w:p>
    <w:p w14:paraId="7C4945D0">
      <w:pPr>
        <w:spacing w:line="400" w:lineRule="exact"/>
        <w:ind w:left="638" w:leftChars="304" w:firstLine="0" w:firstLineChars="0"/>
        <w:rPr>
          <w:rFonts w:hint="eastAsia" w:eastAsia="宋体" w:cs="宋体"/>
          <w:color w:val="auto"/>
          <w:szCs w:val="21"/>
          <w:highlight w:val="none"/>
        </w:rPr>
      </w:pPr>
      <w:r>
        <w:rPr>
          <w:rFonts w:hint="eastAsia" w:ascii="宋体" w:hAnsi="宋体" w:eastAsia="宋体" w:cs="宋体"/>
          <w:color w:val="auto"/>
          <w:sz w:val="21"/>
          <w:szCs w:val="21"/>
          <w:highlight w:val="none"/>
        </w:rPr>
        <w:t>（3）初步设计审查证明或施工图审查备案证明。</w:t>
      </w:r>
    </w:p>
    <w:p w14:paraId="57BAD7BF">
      <w:pPr>
        <w:adjustRightInd/>
        <w:snapToGrid/>
        <w:spacing w:line="360" w:lineRule="auto"/>
        <w:ind w:firstLine="0" w:firstLineChars="0"/>
        <w:rPr>
          <w:rFonts w:hint="default" w:ascii="宋体" w:eastAsia="宋体" w:cs="宋体"/>
          <w:color w:val="auto"/>
          <w:lang w:val="en-US" w:eastAsia="zh-CN"/>
        </w:rPr>
      </w:pPr>
      <w:r>
        <w:rPr>
          <w:rFonts w:hint="eastAsia" w:ascii="宋体" w:eastAsia="宋体" w:cs="宋体"/>
          <w:color w:val="auto"/>
        </w:rPr>
        <w:t>3.</w:t>
      </w:r>
      <w:r>
        <w:rPr>
          <w:rFonts w:hint="eastAsia" w:ascii="宋体" w:eastAsia="宋体" w:cs="宋体"/>
          <w:color w:val="auto"/>
          <w:lang w:val="en-US" w:eastAsia="zh-CN"/>
        </w:rPr>
        <w:t>7</w:t>
      </w:r>
      <w:r>
        <w:rPr>
          <w:rFonts w:hint="eastAsia" w:ascii="宋体" w:eastAsia="宋体" w:cs="宋体"/>
          <w:color w:val="auto"/>
        </w:rPr>
        <w:t xml:space="preserve"> </w:t>
      </w:r>
      <w:r>
        <w:rPr>
          <w:rFonts w:hint="eastAsia" w:ascii="宋体" w:eastAsia="宋体" w:cs="宋体"/>
          <w:color w:val="auto"/>
          <w:lang w:val="en-US" w:eastAsia="zh-CN"/>
        </w:rPr>
        <w:t>关于联合体投标：本项目接受联合体投标，联合体单位不超过2家。</w:t>
      </w:r>
    </w:p>
    <w:p w14:paraId="5FEB5D3E">
      <w:pPr>
        <w:autoSpaceDE/>
        <w:autoSpaceDN/>
        <w:adjustRightInd/>
        <w:snapToGrid/>
        <w:spacing w:line="360" w:lineRule="auto"/>
        <w:ind w:left="544" w:leftChars="259"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如投标人组成联合体，应以具备相应设计资质且承接设计任务的一方为</w:t>
      </w:r>
      <w:r>
        <w:rPr>
          <w:rFonts w:hint="eastAsia" w:ascii="宋体" w:hAnsi="宋体" w:eastAsia="宋体" w:cs="宋体"/>
          <w:color w:val="auto"/>
          <w:sz w:val="21"/>
          <w:szCs w:val="21"/>
          <w:highlight w:val="none"/>
          <w:u w:val="single"/>
          <w:lang w:eastAsia="zh-CN"/>
        </w:rPr>
        <w:t>主办方</w:t>
      </w:r>
      <w:r>
        <w:rPr>
          <w:rFonts w:hint="eastAsia" w:ascii="宋体" w:hAnsi="宋体" w:eastAsia="宋体" w:cs="宋体"/>
          <w:color w:val="auto"/>
          <w:sz w:val="21"/>
          <w:szCs w:val="21"/>
          <w:highlight w:val="none"/>
          <w:u w:val="single"/>
        </w:rPr>
        <w:t>，并签定联合体共同投标协议。投标人拟任本工程项目负责人应为</w:t>
      </w:r>
      <w:r>
        <w:rPr>
          <w:rFonts w:hint="eastAsia" w:ascii="宋体" w:hAnsi="宋体" w:eastAsia="宋体" w:cs="宋体"/>
          <w:color w:val="auto"/>
          <w:sz w:val="21"/>
          <w:szCs w:val="21"/>
          <w:highlight w:val="none"/>
          <w:u w:val="single"/>
          <w:lang w:eastAsia="zh-CN"/>
        </w:rPr>
        <w:t>主办方</w:t>
      </w:r>
      <w:r>
        <w:rPr>
          <w:rFonts w:hint="eastAsia" w:ascii="宋体" w:hAnsi="宋体" w:eastAsia="宋体" w:cs="宋体"/>
          <w:color w:val="auto"/>
          <w:sz w:val="21"/>
          <w:szCs w:val="21"/>
          <w:highlight w:val="none"/>
          <w:u w:val="single"/>
        </w:rPr>
        <w:t>正式员工。联合体共同投标协议应明确约定各方拟承担的工作和责任。</w:t>
      </w:r>
      <w:r>
        <w:rPr>
          <w:rFonts w:hint="eastAsia" w:ascii="宋体" w:hAnsi="宋体" w:eastAsia="宋体" w:cs="宋体"/>
          <w:color w:val="auto"/>
          <w:w w:val="100"/>
          <w:sz w:val="21"/>
          <w:szCs w:val="21"/>
          <w:highlight w:val="none"/>
          <w:u w:val="single"/>
        </w:rPr>
        <w:t>投标登记截止后</w:t>
      </w:r>
      <w:r>
        <w:rPr>
          <w:rFonts w:hint="eastAsia" w:ascii="宋体" w:hAnsi="宋体" w:eastAsia="宋体" w:cs="宋体"/>
          <w:color w:val="auto"/>
          <w:sz w:val="21"/>
          <w:szCs w:val="21"/>
          <w:highlight w:val="none"/>
          <w:u w:val="single"/>
        </w:rPr>
        <w:t>联合体增减、更换成员的，其投标无效。</w:t>
      </w:r>
    </w:p>
    <w:p w14:paraId="43596422">
      <w:pPr>
        <w:wordWrap w:val="0"/>
        <w:spacing w:line="360" w:lineRule="auto"/>
        <w:ind w:firstLine="422" w:firstLineChars="201"/>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注：①联合体各方签订联合体共同投标协议后，不得再以自己名义单独投标或加入其他联合体在同一标段中进行投标，如有违反，其投标和与此有关的联合体的投标将被拒绝。②联合体中标后，联合体各方应当共同与招标人签订合同，为履行合同向招标人承担连带责任。联合体主办方应被授权作为联合体各方的代表，向招标人承担责任和接受指令，并负责整个合同的全面履行。</w:t>
      </w:r>
    </w:p>
    <w:p w14:paraId="56911C43">
      <w:pPr>
        <w:adjustRightInd/>
        <w:snapToGrid/>
        <w:spacing w:line="360" w:lineRule="auto"/>
        <w:ind w:left="420" w:hanging="420" w:hangingChars="200"/>
        <w:rPr>
          <w:rFonts w:ascii="宋体" w:eastAsia="宋体" w:cs="宋体"/>
          <w:color w:val="auto"/>
        </w:rPr>
      </w:pPr>
      <w:r>
        <w:rPr>
          <w:rFonts w:ascii="宋体" w:eastAsia="宋体" w:cs="宋体"/>
          <w:color w:val="auto"/>
        </w:rPr>
        <w:t>3.</w:t>
      </w:r>
      <w:r>
        <w:rPr>
          <w:rFonts w:hint="eastAsia" w:ascii="宋体" w:eastAsia="宋体" w:cs="宋体"/>
          <w:color w:val="auto"/>
          <w:lang w:val="en-US" w:eastAsia="zh-CN"/>
        </w:rPr>
        <w:t>8</w:t>
      </w:r>
      <w:r>
        <w:rPr>
          <w:rFonts w:hint="eastAsia" w:ascii="宋体" w:eastAsia="宋体" w:cs="宋体"/>
          <w:color w:val="auto"/>
        </w:rPr>
        <w:t xml:space="preserve"> </w:t>
      </w:r>
      <w:r>
        <w:rPr>
          <w:rFonts w:ascii="宋体" w:eastAsia="宋体" w:cs="宋体"/>
          <w:color w:val="auto"/>
        </w:rPr>
        <w:t>投标人</w:t>
      </w:r>
      <w:r>
        <w:rPr>
          <w:rFonts w:hint="eastAsia" w:ascii="宋体" w:hAnsi="宋体" w:eastAsia="宋体" w:cs="宋体"/>
          <w:color w:val="auto"/>
          <w:szCs w:val="21"/>
          <w:highlight w:val="none"/>
          <w:u w:val="single"/>
        </w:rPr>
        <w:t>（若为联合体投标，指联合体各方）</w:t>
      </w:r>
      <w:r>
        <w:rPr>
          <w:rFonts w:ascii="宋体" w:eastAsia="宋体" w:cs="宋体"/>
          <w:color w:val="auto"/>
        </w:rPr>
        <w:t>未被列入“在一定期限内依法取消参加依法必须进行招标的项目的投标资格”</w:t>
      </w:r>
      <w:r>
        <w:rPr>
          <w:rFonts w:hint="eastAsia" w:ascii="宋体" w:eastAsia="宋体" w:cs="宋体"/>
          <w:color w:val="auto"/>
        </w:rPr>
        <w:t>，</w:t>
      </w:r>
      <w:r>
        <w:rPr>
          <w:rFonts w:ascii="宋体" w:eastAsia="宋体" w:cs="宋体"/>
          <w:color w:val="auto"/>
        </w:rPr>
        <w:t>具体名单以递交投标文件截止时间“信用广州”公布的“黑名单”为准。</w:t>
      </w:r>
    </w:p>
    <w:p w14:paraId="5CFFF9ED">
      <w:pPr>
        <w:adjustRightInd/>
        <w:snapToGrid/>
        <w:spacing w:line="360" w:lineRule="auto"/>
        <w:ind w:firstLine="420" w:firstLineChars="200"/>
        <w:rPr>
          <w:rFonts w:ascii="宋体" w:eastAsia="宋体" w:cs="宋体"/>
          <w:color w:val="auto"/>
        </w:rPr>
      </w:pPr>
      <w:r>
        <w:rPr>
          <w:rFonts w:ascii="宋体" w:eastAsia="宋体" w:cs="宋体"/>
          <w:color w:val="auto"/>
        </w:rPr>
        <w:t>注：《全国失信惩戒措施清单基础清单》（2024版）</w:t>
      </w:r>
      <w:r>
        <w:rPr>
          <w:rFonts w:hint="eastAsia" w:ascii="宋体" w:eastAsia="宋体" w:cs="宋体"/>
          <w:color w:val="auto"/>
        </w:rPr>
        <w:t>。</w:t>
      </w:r>
    </w:p>
    <w:p w14:paraId="153AB6C2">
      <w:pPr>
        <w:pStyle w:val="3"/>
        <w:adjustRightInd/>
        <w:snapToGrid/>
        <w:spacing w:before="0" w:beforeLines="0" w:after="0" w:afterLines="0" w:line="360" w:lineRule="auto"/>
        <w:rPr>
          <w:color w:val="auto"/>
          <w:sz w:val="28"/>
          <w:szCs w:val="28"/>
        </w:rPr>
      </w:pPr>
      <w:bookmarkStart w:id="29" w:name="_Toc29142"/>
      <w:bookmarkStart w:id="30" w:name="_Toc7408"/>
      <w:r>
        <w:rPr>
          <w:rFonts w:hint="eastAsia"/>
          <w:color w:val="auto"/>
          <w:sz w:val="28"/>
          <w:szCs w:val="28"/>
        </w:rPr>
        <w:t>4. 技术成果经济补偿</w:t>
      </w:r>
      <w:bookmarkEnd w:id="24"/>
      <w:bookmarkEnd w:id="25"/>
      <w:bookmarkEnd w:id="26"/>
      <w:bookmarkEnd w:id="27"/>
      <w:bookmarkEnd w:id="28"/>
      <w:bookmarkEnd w:id="29"/>
      <w:bookmarkEnd w:id="30"/>
    </w:p>
    <w:p w14:paraId="32E288E6">
      <w:pPr>
        <w:adjustRightInd/>
        <w:snapToGrid/>
        <w:spacing w:line="360" w:lineRule="auto"/>
        <w:ind w:left="429"/>
        <w:rPr>
          <w:rFonts w:hint="eastAsia" w:ascii="宋体" w:eastAsia="宋体" w:cs="宋体"/>
          <w:color w:val="auto"/>
          <w:spacing w:val="1"/>
          <w:lang w:val="en-US" w:eastAsia="zh-CN"/>
        </w:rPr>
      </w:pPr>
      <w:r>
        <w:rPr>
          <w:rFonts w:hint="eastAsia" w:ascii="宋体" w:eastAsia="宋体" w:cs="宋体"/>
          <w:color w:val="auto"/>
          <w:spacing w:val="2"/>
        </w:rPr>
        <w:t>本次招标对未中标人投标文件中的技术成果</w:t>
      </w:r>
      <w:r>
        <w:rPr>
          <w:rFonts w:hint="eastAsia" w:ascii="宋体" w:eastAsia="宋体" w:cs="宋体"/>
          <w:color w:val="auto"/>
          <w:spacing w:val="2"/>
          <w:u w:val="single"/>
        </w:rPr>
        <w:t xml:space="preserve"> 不给予</w:t>
      </w:r>
      <w:r>
        <w:rPr>
          <w:rFonts w:hint="eastAsia" w:ascii="宋体" w:eastAsia="宋体" w:cs="宋体"/>
          <w:color w:val="auto"/>
          <w:spacing w:val="1"/>
          <w:u w:val="single"/>
        </w:rPr>
        <w:t xml:space="preserve"> </w:t>
      </w:r>
      <w:r>
        <w:rPr>
          <w:rFonts w:hint="eastAsia" w:ascii="宋体" w:eastAsia="宋体" w:cs="宋体"/>
          <w:color w:val="auto"/>
          <w:spacing w:val="1"/>
        </w:rPr>
        <w:t>经济补偿。</w:t>
      </w:r>
      <w:r>
        <w:rPr>
          <w:rFonts w:hint="eastAsia" w:ascii="宋体" w:eastAsia="宋体" w:cs="宋体"/>
          <w:color w:val="auto"/>
          <w:spacing w:val="1"/>
          <w:lang w:val="en-US" w:eastAsia="zh-CN"/>
        </w:rPr>
        <w:t>投标费用由投标人自理。若投标过程中因故需要终止该项目的招标时，招标人无需对投标人进行任何补偿，费用由投标人自理。</w:t>
      </w:r>
    </w:p>
    <w:p w14:paraId="37575C69">
      <w:pPr>
        <w:pStyle w:val="3"/>
        <w:rPr>
          <w:sz w:val="28"/>
          <w:szCs w:val="28"/>
        </w:rPr>
      </w:pPr>
      <w:bookmarkStart w:id="31" w:name="_Toc9312"/>
      <w:bookmarkStart w:id="32" w:name="_Toc10717"/>
      <w:bookmarkStart w:id="33" w:name="_Toc23036"/>
      <w:bookmarkStart w:id="34" w:name="_Toc14668"/>
      <w:bookmarkStart w:id="35" w:name="_Toc5228"/>
      <w:bookmarkStart w:id="36" w:name="_Toc26631"/>
      <w:bookmarkStart w:id="37" w:name="_Toc29809"/>
      <w:r>
        <w:rPr>
          <w:rFonts w:hint="eastAsia"/>
          <w:sz w:val="28"/>
          <w:szCs w:val="28"/>
        </w:rPr>
        <w:t>5. 招标文件的获取</w:t>
      </w:r>
      <w:bookmarkEnd w:id="31"/>
      <w:bookmarkEnd w:id="32"/>
      <w:bookmarkEnd w:id="33"/>
      <w:bookmarkEnd w:id="34"/>
      <w:bookmarkEnd w:id="35"/>
      <w:bookmarkEnd w:id="36"/>
      <w:bookmarkEnd w:id="37"/>
    </w:p>
    <w:p w14:paraId="0D421793">
      <w:pPr>
        <w:kinsoku/>
        <w:topLinePunct/>
        <w:autoSpaceDE/>
        <w:autoSpaceDN/>
        <w:adjustRightInd/>
        <w:snapToGrid/>
        <w:spacing w:line="360" w:lineRule="auto"/>
        <w:ind w:left="416" w:hanging="416" w:hangingChars="200"/>
        <w:textAlignment w:val="auto"/>
        <w:rPr>
          <w:rFonts w:ascii="宋体" w:eastAsia="宋体" w:cs="宋体"/>
          <w:color w:val="auto"/>
        </w:rPr>
      </w:pPr>
      <w:r>
        <w:rPr>
          <w:rFonts w:hint="eastAsia" w:ascii="宋体" w:eastAsia="宋体" w:cs="宋体"/>
          <w:color w:val="auto"/>
          <w:spacing w:val="-1"/>
        </w:rPr>
        <w:t xml:space="preserve">5.1  </w:t>
      </w:r>
      <w:r>
        <w:rPr>
          <w:rFonts w:hint="eastAsia" w:ascii="宋体" w:eastAsia="宋体" w:cs="宋体"/>
          <w:color w:val="auto"/>
        </w:rPr>
        <w:t>发布招标公告的时间：</w:t>
      </w:r>
      <w:r>
        <w:rPr>
          <w:rFonts w:hint="eastAsia" w:ascii="宋体" w:eastAsia="宋体" w:cs="宋体"/>
          <w:color w:val="auto"/>
          <w:u w:val="single"/>
        </w:rPr>
        <w:t xml:space="preserve">  202</w:t>
      </w:r>
      <w:r>
        <w:rPr>
          <w:rFonts w:hint="eastAsia" w:ascii="宋体" w:eastAsia="宋体" w:cs="宋体"/>
          <w:color w:val="auto"/>
          <w:u w:val="single"/>
          <w:lang w:val="en-US" w:eastAsia="zh-CN"/>
        </w:rPr>
        <w:t>5</w:t>
      </w:r>
      <w:r>
        <w:rPr>
          <w:rFonts w:hint="eastAsia" w:ascii="宋体" w:eastAsia="宋体" w:cs="宋体"/>
          <w:color w:val="auto"/>
          <w:u w:val="single"/>
        </w:rPr>
        <w:t xml:space="preserve">  </w:t>
      </w:r>
      <w:r>
        <w:rPr>
          <w:rFonts w:hint="eastAsia" w:ascii="宋体" w:eastAsia="宋体" w:cs="宋体"/>
          <w:color w:val="auto"/>
        </w:rPr>
        <w:t>年</w:t>
      </w:r>
      <w:r>
        <w:rPr>
          <w:rFonts w:hint="eastAsia" w:ascii="宋体" w:eastAsia="宋体" w:cs="宋体"/>
          <w:color w:val="auto"/>
          <w:u w:val="single"/>
        </w:rPr>
        <w:t xml:space="preserve">   </w:t>
      </w:r>
      <w:r>
        <w:rPr>
          <w:rFonts w:hint="eastAsia" w:ascii="宋体" w:eastAsia="宋体" w:cs="宋体"/>
          <w:color w:val="auto"/>
        </w:rPr>
        <w:t>月</w:t>
      </w:r>
      <w:r>
        <w:rPr>
          <w:rFonts w:hint="eastAsia" w:ascii="宋体" w:eastAsia="宋体" w:cs="宋体"/>
          <w:color w:val="auto"/>
          <w:u w:val="single"/>
        </w:rPr>
        <w:t xml:space="preserve">   </w:t>
      </w:r>
      <w:r>
        <w:rPr>
          <w:rFonts w:hint="eastAsia" w:ascii="宋体" w:eastAsia="宋体" w:cs="宋体"/>
          <w:color w:val="auto"/>
        </w:rPr>
        <w:t>日至</w:t>
      </w:r>
      <w:r>
        <w:rPr>
          <w:rFonts w:hint="eastAsia" w:ascii="宋体" w:eastAsia="宋体" w:cs="宋体"/>
          <w:color w:val="auto"/>
          <w:u w:val="single"/>
        </w:rPr>
        <w:t xml:space="preserve"> 202</w:t>
      </w:r>
      <w:r>
        <w:rPr>
          <w:rFonts w:hint="eastAsia" w:ascii="宋体" w:eastAsia="宋体" w:cs="宋体"/>
          <w:color w:val="auto"/>
          <w:u w:val="single"/>
          <w:lang w:val="en-US" w:eastAsia="zh-CN"/>
        </w:rPr>
        <w:t>5</w:t>
      </w:r>
      <w:r>
        <w:rPr>
          <w:rFonts w:hint="eastAsia" w:ascii="宋体" w:eastAsia="宋体" w:cs="宋体"/>
          <w:color w:val="auto"/>
        </w:rPr>
        <w:t>年</w:t>
      </w:r>
      <w:r>
        <w:rPr>
          <w:rFonts w:hint="eastAsia" w:ascii="宋体" w:eastAsia="宋体" w:cs="宋体"/>
          <w:color w:val="auto"/>
          <w:u w:val="single"/>
        </w:rPr>
        <w:t xml:space="preserve">    </w:t>
      </w:r>
      <w:r>
        <w:rPr>
          <w:rFonts w:hint="eastAsia" w:ascii="宋体" w:eastAsia="宋体" w:cs="宋体"/>
          <w:color w:val="auto"/>
        </w:rPr>
        <w:t>月</w:t>
      </w:r>
      <w:r>
        <w:rPr>
          <w:rFonts w:hint="eastAsia" w:ascii="宋体" w:eastAsia="宋体" w:cs="宋体"/>
          <w:color w:val="auto"/>
          <w:u w:val="single"/>
        </w:rPr>
        <w:t xml:space="preserve">   </w:t>
      </w:r>
      <w:r>
        <w:rPr>
          <w:rFonts w:hint="eastAsia" w:ascii="宋体" w:eastAsia="宋体" w:cs="宋体"/>
          <w:color w:val="auto"/>
        </w:rPr>
        <w:t xml:space="preserve">日 </w:t>
      </w:r>
      <w:r>
        <w:rPr>
          <w:rFonts w:hint="eastAsia" w:ascii="宋体" w:eastAsia="宋体" w:cs="宋体"/>
          <w:color w:val="auto"/>
          <w:u w:val="single"/>
        </w:rPr>
        <w:t xml:space="preserve">   </w:t>
      </w:r>
      <w:r>
        <w:rPr>
          <w:rFonts w:hint="eastAsia" w:ascii="宋体" w:eastAsia="宋体" w:cs="宋体"/>
          <w:color w:val="auto"/>
        </w:rPr>
        <w:t>时</w:t>
      </w:r>
      <w:r>
        <w:rPr>
          <w:rFonts w:hint="eastAsia" w:ascii="宋体" w:eastAsia="宋体" w:cs="宋体"/>
          <w:color w:val="auto"/>
          <w:u w:val="single"/>
        </w:rPr>
        <w:t xml:space="preserve">   </w:t>
      </w:r>
      <w:r>
        <w:rPr>
          <w:rFonts w:hint="eastAsia" w:ascii="宋体" w:eastAsia="宋体" w:cs="宋体"/>
          <w:color w:val="auto"/>
        </w:rPr>
        <w:t>分（北京时间，下同），凡有意参加投标者，请登录广州交易集团有限公司（广州公共资源交易中心）网站下载电子招标文件。</w:t>
      </w:r>
    </w:p>
    <w:p w14:paraId="3E8380E0">
      <w:pPr>
        <w:kinsoku/>
        <w:topLinePunct/>
        <w:autoSpaceDE/>
        <w:autoSpaceDN/>
        <w:adjustRightInd/>
        <w:snapToGrid/>
        <w:spacing w:line="360" w:lineRule="auto"/>
        <w:ind w:left="420" w:leftChars="200"/>
        <w:textAlignment w:val="auto"/>
        <w:rPr>
          <w:rFonts w:ascii="宋体" w:eastAsia="宋体" w:cs="宋体"/>
          <w:color w:val="auto"/>
        </w:rPr>
      </w:pPr>
      <w:r>
        <w:rPr>
          <w:rFonts w:hint="eastAsia" w:ascii="宋体" w:eastAsia="宋体" w:cs="宋体"/>
          <w:color w:val="auto"/>
        </w:rPr>
        <w:t>注：发布招标公告的时间为招标公告发出之日起至递交投标文件截止时间止。</w:t>
      </w:r>
    </w:p>
    <w:p w14:paraId="1B20C578">
      <w:pPr>
        <w:kinsoku/>
        <w:topLinePunct/>
        <w:autoSpaceDE/>
        <w:autoSpaceDN/>
        <w:adjustRightInd/>
        <w:snapToGrid/>
        <w:spacing w:line="360" w:lineRule="auto"/>
        <w:ind w:left="420" w:hanging="420" w:hangingChars="200"/>
        <w:textAlignment w:val="auto"/>
        <w:rPr>
          <w:rFonts w:ascii="宋体" w:eastAsia="宋体"/>
          <w:color w:val="auto"/>
        </w:rPr>
      </w:pPr>
      <w:r>
        <w:rPr>
          <w:rFonts w:hint="eastAsia" w:ascii="宋体" w:eastAsia="宋体" w:cs="宋体"/>
          <w:color w:val="auto"/>
        </w:rPr>
        <w:t>5.2 本项目招标文件随招标公告一并在广州交易集团有限公司（广州公共资源交易中心）网站交易平台发布。招标文件一经在交易平台发布，视为发出给投标人，招标文件由投标人自行在交易平台下载。</w:t>
      </w:r>
    </w:p>
    <w:p w14:paraId="28955454">
      <w:pPr>
        <w:pStyle w:val="3"/>
        <w:adjustRightInd/>
        <w:snapToGrid/>
        <w:spacing w:before="0" w:beforeLines="0" w:after="0" w:afterLines="0" w:line="360" w:lineRule="auto"/>
        <w:rPr>
          <w:rFonts w:cs="宋体"/>
          <w:color w:val="auto"/>
          <w:sz w:val="28"/>
          <w:szCs w:val="28"/>
        </w:rPr>
      </w:pPr>
      <w:bookmarkStart w:id="38" w:name="_Toc19023"/>
      <w:bookmarkStart w:id="39" w:name="_Toc8230"/>
      <w:bookmarkStart w:id="40" w:name="_Toc20569"/>
      <w:bookmarkStart w:id="41" w:name="_Toc8908"/>
      <w:bookmarkStart w:id="42" w:name="_Toc13565"/>
      <w:bookmarkStart w:id="43" w:name="_Toc1168"/>
      <w:bookmarkStart w:id="44" w:name="_Toc25595"/>
      <w:r>
        <w:rPr>
          <w:rFonts w:hint="eastAsia"/>
          <w:color w:val="auto"/>
          <w:sz w:val="28"/>
          <w:szCs w:val="28"/>
        </w:rPr>
        <w:t>6. 投标文件的递交</w:t>
      </w:r>
      <w:bookmarkEnd w:id="38"/>
      <w:bookmarkEnd w:id="39"/>
      <w:bookmarkEnd w:id="40"/>
      <w:bookmarkEnd w:id="41"/>
      <w:bookmarkEnd w:id="42"/>
      <w:bookmarkEnd w:id="43"/>
      <w:bookmarkEnd w:id="44"/>
    </w:p>
    <w:p w14:paraId="4C1CCBB2">
      <w:pPr>
        <w:keepNext w:val="0"/>
        <w:keepLines w:val="0"/>
        <w:pageBreakBefore w:val="0"/>
        <w:widowControl/>
        <w:kinsoku/>
        <w:wordWrap/>
        <w:overflowPunct/>
        <w:topLinePunct/>
        <w:autoSpaceDE/>
        <w:autoSpaceDN/>
        <w:bidi w:val="0"/>
        <w:adjustRightInd/>
        <w:snapToGrid w:val="0"/>
        <w:spacing w:line="400" w:lineRule="exact"/>
        <w:ind w:left="420" w:leftChars="0" w:hanging="420" w:hangingChars="200"/>
        <w:jc w:val="left"/>
        <w:textAlignment w:val="auto"/>
        <w:rPr>
          <w:rFonts w:hint="eastAsia" w:ascii="宋体" w:hAnsi="宋体" w:cs="宋体"/>
          <w:color w:val="auto"/>
          <w:sz w:val="21"/>
          <w:szCs w:val="21"/>
          <w:highlight w:val="none"/>
          <w:lang w:eastAsia="zh-CN"/>
        </w:rPr>
      </w:pPr>
      <w:bookmarkStart w:id="45" w:name="_Toc15522"/>
      <w:bookmarkStart w:id="46" w:name="_Toc6224"/>
      <w:bookmarkStart w:id="47" w:name="_Toc3261"/>
      <w:bookmarkStart w:id="48" w:name="_Toc20503"/>
      <w:bookmarkStart w:id="49" w:name="_Toc16960"/>
      <w:r>
        <w:rPr>
          <w:rFonts w:hint="eastAsia" w:ascii="宋体" w:hAnsi="宋体" w:eastAsia="宋体" w:cs="宋体"/>
          <w:color w:val="auto"/>
          <w:w w:val="100"/>
          <w:sz w:val="21"/>
          <w:szCs w:val="21"/>
          <w:highlight w:val="none"/>
          <w:lang w:val="en-US" w:eastAsia="zh-CN"/>
        </w:rPr>
        <w:t>6.1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7B7CC7B6">
      <w:pPr>
        <w:keepNext w:val="0"/>
        <w:keepLines w:val="0"/>
        <w:pageBreakBefore w:val="0"/>
        <w:widowControl/>
        <w:kinsoku/>
        <w:wordWrap/>
        <w:overflowPunct/>
        <w:topLinePunct/>
        <w:autoSpaceDE/>
        <w:autoSpaceDN/>
        <w:bidi w:val="0"/>
        <w:adjustRightInd/>
        <w:snapToGrid w:val="0"/>
        <w:spacing w:line="400" w:lineRule="exact"/>
        <w:ind w:left="420" w:leftChars="0" w:hanging="420" w:hanging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在投标截止时间后半小时内，投标人通过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14:paraId="1CAD4C94">
      <w:pPr>
        <w:keepNext w:val="0"/>
        <w:keepLines w:val="0"/>
        <w:pageBreakBefore w:val="0"/>
        <w:widowControl/>
        <w:kinsoku/>
        <w:wordWrap/>
        <w:overflowPunct/>
        <w:topLinePunct/>
        <w:autoSpaceDE/>
        <w:autoSpaceDN/>
        <w:bidi w:val="0"/>
        <w:adjustRightInd/>
        <w:snapToGrid w:val="0"/>
        <w:spacing w:line="400" w:lineRule="exact"/>
        <w:ind w:left="420" w:leftChars="0" w:hanging="420" w:hanging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6.2</w:t>
      </w:r>
      <w:r>
        <w:rPr>
          <w:rFonts w:hint="eastAsia" w:ascii="宋体" w:hAnsi="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cs="宋体"/>
          <w:color w:val="auto"/>
          <w:sz w:val="21"/>
          <w:szCs w:val="21"/>
          <w:highlight w:val="none"/>
        </w:rPr>
        <w:t>网站交易平台办理网上投标登记手续；</w:t>
      </w:r>
      <w:r>
        <w:rPr>
          <w:rFonts w:hint="eastAsia" w:ascii="宋体" w:hAnsi="宋体"/>
          <w:color w:val="auto"/>
          <w:sz w:val="21"/>
          <w:szCs w:val="21"/>
          <w:highlight w:val="none"/>
          <w:lang w:eastAsia="zh-CN"/>
        </w:rPr>
        <w:t>按照</w:t>
      </w:r>
      <w:r>
        <w:rPr>
          <w:rFonts w:hint="eastAsia" w:ascii="宋体" w:hAnsi="宋体" w:eastAsia="宋体"/>
          <w:color w:val="auto"/>
          <w:sz w:val="21"/>
          <w:szCs w:val="21"/>
          <w:highlight w:val="none"/>
          <w:lang w:eastAsia="zh-CN"/>
        </w:rPr>
        <w:t>广州交易集团有限公司（广州公共资源交易中心）</w:t>
      </w:r>
      <w:r>
        <w:rPr>
          <w:rFonts w:hint="eastAsia" w:ascii="宋体" w:hAnsi="宋体" w:eastAsia="宋体"/>
          <w:color w:val="auto"/>
          <w:sz w:val="21"/>
          <w:szCs w:val="21"/>
          <w:highlight w:val="none"/>
          <w:u w:val="none"/>
          <w:lang w:eastAsia="zh-CN"/>
        </w:rPr>
        <w:t>网站</w:t>
      </w:r>
      <w:r>
        <w:rPr>
          <w:rFonts w:hint="eastAsia" w:ascii="宋体" w:hAnsi="宋体"/>
          <w:color w:val="auto"/>
          <w:sz w:val="21"/>
          <w:szCs w:val="21"/>
          <w:highlight w:val="none"/>
          <w:lang w:eastAsia="zh-CN"/>
        </w:rPr>
        <w:t>关于全流程电子化项目的相关指南进行操作。</w:t>
      </w:r>
    </w:p>
    <w:p w14:paraId="1CA1DCDA">
      <w:pPr>
        <w:keepNext w:val="0"/>
        <w:keepLines w:val="0"/>
        <w:pageBreakBefore w:val="0"/>
        <w:widowControl/>
        <w:kinsoku/>
        <w:wordWrap/>
        <w:overflowPunct/>
        <w:topLinePunct/>
        <w:autoSpaceDE/>
        <w:autoSpaceDN/>
        <w:bidi w:val="0"/>
        <w:adjustRightInd/>
        <w:snapToGrid w:val="0"/>
        <w:spacing w:line="400" w:lineRule="exact"/>
        <w:ind w:left="840" w:leftChars="200" w:hanging="420" w:hanging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分。    </w:t>
      </w:r>
    </w:p>
    <w:p w14:paraId="3BF18095">
      <w:pPr>
        <w:keepNext w:val="0"/>
        <w:keepLines w:val="0"/>
        <w:pageBreakBefore w:val="0"/>
        <w:widowControl/>
        <w:kinsoku/>
        <w:wordWrap/>
        <w:overflowPunct/>
        <w:topLinePunct/>
        <w:autoSpaceDE/>
        <w:autoSpaceDN/>
        <w:bidi w:val="0"/>
        <w:adjustRightInd/>
        <w:snapToGrid w:val="0"/>
        <w:spacing w:line="400" w:lineRule="exact"/>
        <w:ind w:left="420" w:leftChars="0" w:hanging="420" w:hanging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6.4</w:t>
      </w:r>
      <w:r>
        <w:rPr>
          <w:rFonts w:hint="eastAsia" w:ascii="宋体" w:hAnsi="宋体" w:eastAsia="宋体" w:cs="宋体"/>
          <w:color w:val="auto"/>
          <w:w w:val="100"/>
          <w:sz w:val="21"/>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6FD4D330">
      <w:pPr>
        <w:keepNext w:val="0"/>
        <w:keepLines w:val="0"/>
        <w:pageBreakBefore w:val="0"/>
        <w:widowControl/>
        <w:kinsoku/>
        <w:wordWrap/>
        <w:overflowPunct/>
        <w:topLinePunct/>
        <w:autoSpaceDE/>
        <w:autoSpaceDN/>
        <w:bidi w:val="0"/>
        <w:adjustRightInd/>
        <w:snapToGrid w:val="0"/>
        <w:spacing w:line="400" w:lineRule="exact"/>
        <w:ind w:left="420" w:leftChars="0" w:hanging="420" w:hanging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14:paraId="18B2C763">
      <w:pPr>
        <w:kinsoku/>
        <w:topLinePunct/>
        <w:autoSpaceDE/>
        <w:autoSpaceDN/>
        <w:adjustRightInd/>
        <w:spacing w:line="400" w:lineRule="exact"/>
        <w:ind w:hanging="420" w:hangingChars="200"/>
        <w:textAlignment w:val="auto"/>
        <w:rPr>
          <w:rFonts w:hint="eastAsia" w:ascii="宋体" w:hAnsi="宋体" w:eastAsia="宋体" w:cs="宋体"/>
          <w:color w:val="auto"/>
          <w:highlight w:val="none"/>
        </w:rPr>
      </w:pPr>
      <w:r>
        <w:rPr>
          <w:rFonts w:hint="eastAsia" w:ascii="宋体" w:hAnsi="宋体" w:eastAsia="宋体" w:cs="宋体"/>
          <w:color w:val="auto"/>
          <w:w w:val="100"/>
          <w:sz w:val="21"/>
          <w:szCs w:val="21"/>
          <w:highlight w:val="none"/>
          <w:lang w:val="en-US" w:eastAsia="zh-CN"/>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w w:val="100"/>
          <w:sz w:val="21"/>
          <w:szCs w:val="21"/>
          <w:highlight w:val="none"/>
          <w:lang w:val="en-US" w:eastAsia="zh-CN"/>
        </w:rPr>
        <w:t>信息登记的信息，确保各项信息在有效期内。如因投标单位资料缺失导致资格审查不通过，责任由投标单位自行承担。</w:t>
      </w:r>
    </w:p>
    <w:p w14:paraId="75128E35">
      <w:pPr>
        <w:pStyle w:val="3"/>
        <w:adjustRightInd/>
        <w:snapToGrid/>
        <w:spacing w:before="0" w:beforeLines="0" w:after="0" w:afterLines="0" w:line="360" w:lineRule="auto"/>
        <w:rPr>
          <w:rFonts w:cs="宋体"/>
          <w:color w:val="auto"/>
          <w:sz w:val="28"/>
          <w:szCs w:val="28"/>
        </w:rPr>
      </w:pPr>
      <w:bookmarkStart w:id="50" w:name="_Toc32306"/>
      <w:bookmarkStart w:id="51" w:name="_Toc19787"/>
      <w:r>
        <w:rPr>
          <w:rFonts w:hint="eastAsia"/>
          <w:color w:val="auto"/>
          <w:sz w:val="28"/>
          <w:szCs w:val="28"/>
        </w:rPr>
        <w:t>7. 发布公告的媒介</w:t>
      </w:r>
      <w:bookmarkEnd w:id="45"/>
      <w:bookmarkEnd w:id="46"/>
      <w:bookmarkEnd w:id="47"/>
      <w:bookmarkEnd w:id="48"/>
      <w:bookmarkEnd w:id="49"/>
      <w:bookmarkEnd w:id="50"/>
      <w:bookmarkEnd w:id="51"/>
    </w:p>
    <w:p w14:paraId="110D85D7">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http://zbtb.gd.gov.cn/login）和中国招标投标公共服务平台（网址：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http://www.cebpubservice.com/）发布，本公告的修改、补充，在广州交易集团有限公司（广州公共资源交易中心）网站发布。</w:t>
      </w:r>
      <w:r>
        <w:rPr>
          <w:rFonts w:hint="eastAsia" w:ascii="宋体" w:hAnsi="宋体" w:eastAsia="宋体" w:cs="宋体"/>
          <w:color w:val="auto"/>
          <w:w w:val="100"/>
          <w:sz w:val="21"/>
          <w:szCs w:val="21"/>
          <w:highlight w:val="none"/>
          <w:lang w:val="en-US" w:eastAsia="zh-CN"/>
        </w:rPr>
        <w:fldChar w:fldCharType="end"/>
      </w:r>
      <w:r>
        <w:rPr>
          <w:rFonts w:hint="eastAsia"/>
        </w:rPr>
        <w:t>本公告在各媒体发布的文本如有不同之处，以在广州公共资源交易中心网站发布的文本为准。</w:t>
      </w:r>
    </w:p>
    <w:p w14:paraId="2ED3B28A">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eastAsia="宋体"/>
          <w:u w:val="single"/>
          <w:lang w:val="en-US" w:eastAsia="zh-CN"/>
        </w:rPr>
      </w:pPr>
    </w:p>
    <w:p w14:paraId="784D6555">
      <w:pPr>
        <w:pStyle w:val="3"/>
        <w:adjustRightInd/>
        <w:snapToGrid/>
        <w:spacing w:before="0" w:beforeLines="0" w:after="0" w:afterLines="0" w:line="360" w:lineRule="auto"/>
        <w:rPr>
          <w:rFonts w:cs="宋体"/>
          <w:bCs/>
          <w:color w:val="auto"/>
          <w:spacing w:val="7"/>
          <w:sz w:val="28"/>
          <w:szCs w:val="28"/>
        </w:rPr>
      </w:pPr>
      <w:bookmarkStart w:id="52" w:name="_Toc21787632"/>
      <w:bookmarkStart w:id="53" w:name="_Toc17336"/>
      <w:bookmarkStart w:id="54" w:name="_Toc8443"/>
      <w:bookmarkStart w:id="55" w:name="_Toc32224"/>
      <w:bookmarkStart w:id="56" w:name="_Toc17357"/>
      <w:bookmarkStart w:id="57" w:name="_Toc8339"/>
      <w:bookmarkStart w:id="58" w:name="_Toc29364"/>
      <w:bookmarkStart w:id="59" w:name="_Toc8268"/>
      <w:r>
        <w:rPr>
          <w:rFonts w:hint="eastAsia" w:cs="宋体"/>
          <w:bCs/>
          <w:color w:val="auto"/>
          <w:spacing w:val="7"/>
          <w:sz w:val="28"/>
          <w:szCs w:val="28"/>
        </w:rPr>
        <w:t>8. 资格审查方式</w:t>
      </w:r>
      <w:bookmarkEnd w:id="52"/>
      <w:bookmarkEnd w:id="53"/>
      <w:bookmarkEnd w:id="54"/>
      <w:bookmarkEnd w:id="55"/>
      <w:bookmarkEnd w:id="56"/>
      <w:bookmarkEnd w:id="57"/>
      <w:bookmarkEnd w:id="58"/>
      <w:bookmarkEnd w:id="59"/>
    </w:p>
    <w:p w14:paraId="693B0282">
      <w:pPr>
        <w:kinsoku/>
        <w:topLinePunct/>
        <w:autoSpaceDE/>
        <w:autoSpaceDN/>
        <w:adjustRightInd/>
        <w:snapToGrid/>
        <w:spacing w:line="360" w:lineRule="auto"/>
        <w:ind w:firstLine="210" w:firstLineChars="100"/>
        <w:textAlignment w:val="auto"/>
        <w:rPr>
          <w:rFonts w:ascii="宋体" w:eastAsia="宋体" w:cs="宋体"/>
          <w:color w:val="auto"/>
        </w:rPr>
      </w:pPr>
      <w:bookmarkStart w:id="60" w:name="_Toc12248"/>
      <w:bookmarkStart w:id="61" w:name="_Toc6681"/>
      <w:bookmarkStart w:id="62" w:name="_Toc279"/>
      <w:r>
        <w:rPr>
          <w:rFonts w:hint="eastAsia" w:ascii="宋体" w:eastAsia="宋体" w:cs="宋体"/>
          <w:color w:val="auto"/>
        </w:rPr>
        <w:t>8.1本工程采用资格后审方式，由评标委员会负责资格审查。</w:t>
      </w:r>
      <w:bookmarkEnd w:id="60"/>
      <w:bookmarkEnd w:id="61"/>
      <w:bookmarkEnd w:id="62"/>
    </w:p>
    <w:p w14:paraId="4BA317FC">
      <w:pPr>
        <w:kinsoku/>
        <w:topLinePunct/>
        <w:autoSpaceDE/>
        <w:autoSpaceDN/>
        <w:adjustRightInd/>
        <w:snapToGrid/>
        <w:spacing w:line="360" w:lineRule="auto"/>
        <w:ind w:firstLine="210" w:firstLineChars="100"/>
        <w:textAlignment w:val="auto"/>
        <w:rPr>
          <w:rFonts w:ascii="宋体" w:eastAsia="宋体"/>
          <w:color w:val="auto"/>
        </w:rPr>
      </w:pPr>
      <w:r>
        <w:rPr>
          <w:rFonts w:hint="eastAsia" w:ascii="宋体" w:eastAsia="宋体" w:cs="宋体"/>
          <w:color w:val="auto"/>
        </w:rPr>
        <w:t>8.2资格审查结果将在广州交易集团有限公司（广州公共资源交易中心）网站和广东省招标投标监管网公示，公示时间不得少于3日，最后一天应为工作日。</w:t>
      </w:r>
    </w:p>
    <w:p w14:paraId="3D329CD6">
      <w:pPr>
        <w:pStyle w:val="3"/>
        <w:adjustRightInd/>
        <w:snapToGrid/>
        <w:spacing w:before="0" w:beforeLines="0" w:after="0" w:afterLines="0" w:line="360" w:lineRule="auto"/>
        <w:rPr>
          <w:rFonts w:cs="宋体"/>
          <w:color w:val="auto"/>
          <w:sz w:val="28"/>
          <w:szCs w:val="28"/>
        </w:rPr>
      </w:pPr>
      <w:bookmarkStart w:id="63" w:name="_Toc10143"/>
      <w:bookmarkStart w:id="64" w:name="_Toc24417"/>
      <w:bookmarkStart w:id="65" w:name="_Toc217"/>
      <w:bookmarkStart w:id="66" w:name="_Toc24569"/>
      <w:bookmarkStart w:id="67" w:name="_Toc21787635"/>
      <w:bookmarkStart w:id="68" w:name="_Toc5540"/>
      <w:bookmarkStart w:id="69" w:name="_Toc28424"/>
      <w:bookmarkStart w:id="70" w:name="_Toc14504"/>
      <w:r>
        <w:rPr>
          <w:rFonts w:hint="eastAsia" w:cs="宋体"/>
          <w:bCs/>
          <w:color w:val="auto"/>
          <w:spacing w:val="7"/>
          <w:sz w:val="28"/>
          <w:szCs w:val="28"/>
        </w:rPr>
        <w:t>9. 疑问、异议、投诉处理</w:t>
      </w:r>
      <w:bookmarkEnd w:id="63"/>
      <w:bookmarkEnd w:id="64"/>
      <w:bookmarkEnd w:id="65"/>
      <w:bookmarkEnd w:id="66"/>
      <w:bookmarkEnd w:id="67"/>
      <w:bookmarkEnd w:id="68"/>
      <w:bookmarkEnd w:id="69"/>
      <w:bookmarkEnd w:id="70"/>
    </w:p>
    <w:p w14:paraId="611E9314">
      <w:pPr>
        <w:kinsoku/>
        <w:topLinePunct/>
        <w:autoSpaceDE/>
        <w:autoSpaceDN/>
        <w:adjustRightInd/>
        <w:snapToGrid/>
        <w:spacing w:line="360" w:lineRule="auto"/>
        <w:ind w:left="420" w:hanging="420" w:hangingChars="200"/>
        <w:textAlignment w:val="auto"/>
        <w:rPr>
          <w:rFonts w:ascii="宋体" w:eastAsia="宋体" w:cs="宋体"/>
          <w:color w:val="auto"/>
        </w:rPr>
      </w:pPr>
      <w:r>
        <w:rPr>
          <w:rFonts w:hint="eastAsia" w:ascii="宋体" w:eastAsia="宋体" w:cs="宋体"/>
          <w:color w:val="auto"/>
        </w:rPr>
        <w:t>9</w:t>
      </w:r>
      <w:r>
        <w:rPr>
          <w:rFonts w:ascii="宋体" w:eastAsia="宋体" w:cs="宋体"/>
          <w:color w:val="auto"/>
        </w:rPr>
        <w:t>.1</w:t>
      </w:r>
      <w:r>
        <w:rPr>
          <w:rFonts w:hint="eastAsia" w:ascii="宋体" w:eastAsia="宋体" w:cs="宋体"/>
          <w:color w:val="auto"/>
        </w:rPr>
        <w:t xml:space="preserve"> </w:t>
      </w:r>
      <w:r>
        <w:rPr>
          <w:rFonts w:ascii="宋体" w:eastAsia="宋体" w:cs="宋体"/>
          <w:color w:val="auto"/>
        </w:rPr>
        <w:t>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595AF14E">
      <w:pPr>
        <w:kinsoku/>
        <w:topLinePunct/>
        <w:autoSpaceDE/>
        <w:autoSpaceDN/>
        <w:adjustRightInd/>
        <w:snapToGrid/>
        <w:spacing w:line="360" w:lineRule="auto"/>
        <w:ind w:left="420" w:hanging="420" w:hangingChars="200"/>
        <w:textAlignment w:val="auto"/>
        <w:rPr>
          <w:rFonts w:ascii="宋体" w:eastAsia="宋体" w:cs="宋体"/>
          <w:color w:val="auto"/>
        </w:rPr>
      </w:pPr>
      <w:r>
        <w:rPr>
          <w:rFonts w:hint="eastAsia" w:ascii="宋体" w:eastAsia="宋体" w:cs="宋体"/>
          <w:color w:val="auto"/>
        </w:rPr>
        <w:t>9</w:t>
      </w:r>
      <w:r>
        <w:rPr>
          <w:rFonts w:ascii="宋体" w:eastAsia="宋体" w:cs="宋体"/>
          <w:color w:val="auto"/>
        </w:rPr>
        <w:t>.2</w:t>
      </w:r>
      <w:r>
        <w:rPr>
          <w:rFonts w:hint="eastAsia" w:ascii="宋体" w:eastAsia="宋体" w:cs="宋体"/>
          <w:color w:val="auto"/>
        </w:rPr>
        <w:t xml:space="preserve"> </w:t>
      </w:r>
      <w:r>
        <w:rPr>
          <w:rFonts w:ascii="宋体" w:eastAsia="宋体" w:cs="宋体"/>
          <w:color w:val="auto"/>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2FE0CCE0">
      <w:pPr>
        <w:kinsoku/>
        <w:topLinePunct/>
        <w:autoSpaceDE/>
        <w:autoSpaceDN/>
        <w:adjustRightInd/>
        <w:snapToGrid/>
        <w:spacing w:line="360" w:lineRule="auto"/>
        <w:ind w:left="420" w:hanging="420" w:hangingChars="200"/>
        <w:textAlignment w:val="auto"/>
        <w:rPr>
          <w:rFonts w:ascii="宋体" w:eastAsia="宋体" w:cs="宋体"/>
          <w:color w:val="auto"/>
        </w:rPr>
      </w:pPr>
      <w:r>
        <w:rPr>
          <w:rFonts w:hint="eastAsia" w:ascii="宋体" w:eastAsia="宋体" w:cs="宋体"/>
          <w:color w:val="auto"/>
        </w:rPr>
        <w:t>9</w:t>
      </w:r>
      <w:r>
        <w:rPr>
          <w:rFonts w:ascii="宋体" w:eastAsia="宋体" w:cs="宋体"/>
          <w:color w:val="auto"/>
        </w:rPr>
        <w:t>.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30329EDE">
      <w:pPr>
        <w:kinsoku/>
        <w:topLinePunct/>
        <w:autoSpaceDE/>
        <w:autoSpaceDN/>
        <w:adjustRightInd/>
        <w:snapToGrid/>
        <w:spacing w:line="360" w:lineRule="auto"/>
        <w:ind w:left="420" w:leftChars="200" w:firstLine="420" w:firstLineChars="200"/>
        <w:textAlignment w:val="auto"/>
        <w:rPr>
          <w:rFonts w:ascii="宋体" w:eastAsia="宋体" w:cs="宋体"/>
          <w:color w:val="auto"/>
        </w:rPr>
      </w:pPr>
      <w:r>
        <w:rPr>
          <w:rFonts w:ascii="宋体" w:eastAsia="宋体" w:cs="宋体"/>
          <w:color w:val="auto"/>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111FD7CE">
      <w:pPr>
        <w:kinsoku/>
        <w:topLinePunct/>
        <w:autoSpaceDE/>
        <w:autoSpaceDN/>
        <w:adjustRightInd/>
        <w:snapToGrid/>
        <w:spacing w:line="360" w:lineRule="auto"/>
        <w:ind w:left="420" w:hanging="420" w:hangingChars="200"/>
        <w:textAlignment w:val="auto"/>
        <w:rPr>
          <w:rFonts w:ascii="宋体" w:eastAsia="宋体" w:cs="宋体"/>
          <w:color w:val="auto"/>
        </w:rPr>
      </w:pPr>
      <w:r>
        <w:rPr>
          <w:rFonts w:ascii="宋体" w:eastAsia="宋体" w:cs="宋体"/>
          <w:color w:val="auto"/>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DE31694">
      <w:pPr>
        <w:numPr>
          <w:ilvl w:val="0"/>
          <w:numId w:val="0"/>
        </w:numPr>
        <w:kinsoku/>
        <w:topLinePunct/>
        <w:autoSpaceDE/>
        <w:autoSpaceDN/>
        <w:adjustRightInd/>
        <w:snapToGrid/>
        <w:spacing w:line="360" w:lineRule="auto"/>
        <w:textAlignment w:val="auto"/>
        <w:rPr>
          <w:rStyle w:val="7"/>
          <w:b/>
          <w:bCs w:val="0"/>
          <w:sz w:val="28"/>
          <w:szCs w:val="28"/>
        </w:rPr>
      </w:pPr>
      <w:bookmarkStart w:id="71" w:name="_Toc6504"/>
      <w:bookmarkStart w:id="72" w:name="_Toc16115"/>
      <w:bookmarkStart w:id="73" w:name="_Toc6778"/>
      <w:bookmarkStart w:id="74" w:name="_Toc32458"/>
      <w:r>
        <w:rPr>
          <w:rFonts w:ascii="宋体" w:hAnsi="Arial" w:eastAsia="宋体" w:cs="Arial"/>
          <w:b/>
          <w:bCs w:val="0"/>
          <w:snapToGrid w:val="0"/>
          <w:color w:val="000000"/>
          <w:sz w:val="28"/>
          <w:szCs w:val="28"/>
          <w:lang w:val="en-US" w:eastAsia="zh-CN" w:bidi="ar-SA"/>
        </w:rPr>
        <w:t>10.</w:t>
      </w:r>
      <w:r>
        <w:rPr>
          <w:rStyle w:val="7"/>
          <w:b/>
          <w:bCs w:val="0"/>
          <w:sz w:val="28"/>
          <w:szCs w:val="28"/>
        </w:rPr>
        <w:t>投标人和中标候选人的重大变化告知义务</w:t>
      </w:r>
    </w:p>
    <w:bookmarkEnd w:id="71"/>
    <w:p w14:paraId="7FC00762">
      <w:pPr>
        <w:numPr>
          <w:ilvl w:val="0"/>
          <w:numId w:val="0"/>
        </w:numPr>
        <w:kinsoku/>
        <w:topLinePunct/>
        <w:autoSpaceDE/>
        <w:autoSpaceDN/>
        <w:adjustRightInd/>
        <w:snapToGrid/>
        <w:spacing w:line="360" w:lineRule="auto"/>
        <w:ind w:firstLine="420" w:firstLineChars="200"/>
        <w:textAlignment w:val="auto"/>
        <w:rPr>
          <w:rFonts w:ascii="宋体" w:eastAsia="宋体" w:cs="宋体"/>
          <w:color w:val="auto"/>
        </w:rPr>
      </w:pPr>
      <w:r>
        <w:rPr>
          <w:rFonts w:hint="eastAsia" w:ascii="宋体" w:eastAsia="宋体" w:cs="宋体"/>
          <w:color w:val="auto"/>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2451284">
      <w:pPr>
        <w:pStyle w:val="3"/>
        <w:adjustRightInd/>
        <w:snapToGrid/>
        <w:spacing w:before="0" w:beforeLines="0" w:after="0" w:afterLines="0" w:line="360" w:lineRule="auto"/>
        <w:rPr>
          <w:color w:val="auto"/>
          <w:sz w:val="28"/>
          <w:szCs w:val="28"/>
        </w:rPr>
      </w:pPr>
      <w:bookmarkStart w:id="75" w:name="_Toc1700"/>
      <w:bookmarkStart w:id="76" w:name="_Toc18047"/>
      <w:bookmarkStart w:id="77" w:name="_Toc26922"/>
      <w:bookmarkStart w:id="78" w:name="_Toc8157"/>
      <w:r>
        <w:rPr>
          <w:rFonts w:hint="eastAsia"/>
          <w:color w:val="auto"/>
          <w:sz w:val="28"/>
          <w:szCs w:val="28"/>
        </w:rPr>
        <w:t>11. 联系方式</w:t>
      </w:r>
      <w:bookmarkEnd w:id="72"/>
      <w:bookmarkEnd w:id="73"/>
      <w:bookmarkEnd w:id="74"/>
      <w:bookmarkEnd w:id="75"/>
      <w:bookmarkEnd w:id="76"/>
      <w:bookmarkEnd w:id="77"/>
      <w:bookmarkEnd w:id="78"/>
    </w:p>
    <w:p w14:paraId="587A3D66">
      <w:pPr>
        <w:kinsoku/>
        <w:topLinePunct/>
        <w:autoSpaceDE/>
        <w:autoSpaceDN/>
        <w:spacing w:line="400" w:lineRule="exact"/>
        <w:ind w:firstLine="420" w:firstLineChars="200"/>
        <w:rPr>
          <w:rFonts w:hint="eastAsia" w:ascii="宋体" w:hAnsi="宋体" w:eastAsia="宋体"/>
          <w:color w:val="auto"/>
        </w:rPr>
      </w:pPr>
      <w:r>
        <w:rPr>
          <w:rFonts w:hint="eastAsia" w:ascii="宋体" w:hAnsi="宋体" w:eastAsia="宋体"/>
          <w:color w:val="auto"/>
        </w:rPr>
        <w:t>招标单位：</w:t>
      </w:r>
      <w:r>
        <w:rPr>
          <w:rFonts w:hint="eastAsia" w:eastAsia="宋体"/>
          <w:bCs/>
          <w:color w:val="auto"/>
          <w:szCs w:val="32"/>
          <w:u w:val="single"/>
        </w:rPr>
        <w:t>广州市番禺污水治理有限公司</w:t>
      </w:r>
    </w:p>
    <w:p w14:paraId="235A6AE0">
      <w:pPr>
        <w:kinsoku/>
        <w:topLinePunct/>
        <w:autoSpaceDE/>
        <w:autoSpaceDN/>
        <w:spacing w:line="400" w:lineRule="exact"/>
        <w:ind w:firstLine="420" w:firstLineChars="200"/>
        <w:rPr>
          <w:rFonts w:hint="eastAsia" w:ascii="宋体" w:hAnsi="宋体" w:eastAsia="宋体"/>
          <w:color w:val="auto"/>
          <w:u w:val="single"/>
        </w:rPr>
      </w:pPr>
      <w:r>
        <w:rPr>
          <w:rFonts w:hint="eastAsia" w:ascii="宋体" w:hAnsi="宋体" w:eastAsia="宋体"/>
          <w:color w:val="auto"/>
        </w:rPr>
        <w:t>联系人：</w:t>
      </w:r>
      <w:r>
        <w:rPr>
          <w:rFonts w:hint="eastAsia" w:ascii="宋体" w:hAnsi="宋体" w:eastAsia="宋体"/>
          <w:color w:val="auto"/>
          <w:u w:val="single"/>
        </w:rPr>
        <w:t>梁工</w:t>
      </w:r>
      <w:r>
        <w:rPr>
          <w:rFonts w:hint="eastAsia" w:ascii="宋体" w:hAnsi="宋体" w:eastAsia="宋体"/>
          <w:color w:val="auto"/>
        </w:rPr>
        <w:t xml:space="preserve">          联系电话：</w:t>
      </w:r>
      <w:r>
        <w:rPr>
          <w:rFonts w:hint="eastAsia" w:ascii="宋体" w:hAnsi="宋体" w:eastAsia="宋体"/>
          <w:color w:val="auto"/>
          <w:u w:val="single"/>
        </w:rPr>
        <w:t>020-32507406</w:t>
      </w:r>
    </w:p>
    <w:p w14:paraId="5A7C83AD">
      <w:pPr>
        <w:kinsoku/>
        <w:topLinePunct/>
        <w:autoSpaceDE/>
        <w:autoSpaceDN/>
        <w:spacing w:line="400" w:lineRule="exact"/>
        <w:ind w:firstLine="420" w:firstLineChars="200"/>
        <w:rPr>
          <w:rFonts w:hint="eastAsia" w:ascii="宋体" w:hAnsi="宋体" w:eastAsia="宋体"/>
          <w:color w:val="auto"/>
        </w:rPr>
      </w:pPr>
      <w:r>
        <w:rPr>
          <w:rFonts w:hint="eastAsia" w:ascii="宋体" w:hAnsi="宋体" w:eastAsia="宋体"/>
          <w:color w:val="auto"/>
        </w:rPr>
        <w:t>招标代理机构：</w:t>
      </w:r>
      <w:r>
        <w:rPr>
          <w:rFonts w:hint="eastAsia" w:eastAsia="宋体"/>
          <w:bCs/>
          <w:color w:val="auto"/>
          <w:szCs w:val="32"/>
          <w:u w:val="single"/>
        </w:rPr>
        <w:t>广东国曜采购咨询有限公司</w:t>
      </w:r>
    </w:p>
    <w:p w14:paraId="1545D1BB">
      <w:pPr>
        <w:kinsoku/>
        <w:topLinePunct/>
        <w:autoSpaceDE/>
        <w:autoSpaceDN/>
        <w:spacing w:line="400" w:lineRule="exact"/>
        <w:ind w:firstLine="420" w:firstLineChars="200"/>
        <w:rPr>
          <w:rFonts w:hint="eastAsia" w:ascii="宋体" w:hAnsi="宋体" w:eastAsia="宋体"/>
          <w:color w:val="auto"/>
        </w:rPr>
      </w:pPr>
      <w:r>
        <w:rPr>
          <w:rFonts w:hint="eastAsia" w:ascii="宋体" w:hAnsi="宋体" w:eastAsia="宋体"/>
          <w:color w:val="auto"/>
        </w:rPr>
        <w:t>联系人：</w:t>
      </w:r>
      <w:r>
        <w:rPr>
          <w:rFonts w:hint="eastAsia" w:ascii="宋体" w:hAnsi="宋体" w:eastAsia="宋体"/>
          <w:color w:val="auto"/>
          <w:u w:val="single"/>
        </w:rPr>
        <w:t>刘工</w:t>
      </w:r>
      <w:r>
        <w:rPr>
          <w:rFonts w:hint="eastAsia" w:ascii="宋体" w:hAnsi="宋体" w:eastAsia="宋体"/>
          <w:color w:val="auto"/>
        </w:rPr>
        <w:t xml:space="preserve">            联系电话：</w:t>
      </w:r>
      <w:r>
        <w:rPr>
          <w:rFonts w:hint="eastAsia" w:ascii="宋体" w:hAnsi="宋体" w:eastAsia="宋体"/>
          <w:color w:val="auto"/>
          <w:u w:val="single"/>
        </w:rPr>
        <w:t>18024006377</w:t>
      </w:r>
    </w:p>
    <w:p w14:paraId="37DFEFEC">
      <w:pPr>
        <w:kinsoku/>
        <w:topLinePunct/>
        <w:autoSpaceDE/>
        <w:autoSpaceDN/>
        <w:spacing w:line="400" w:lineRule="exact"/>
        <w:ind w:firstLine="420" w:firstLineChars="200"/>
        <w:rPr>
          <w:rFonts w:hint="eastAsia" w:ascii="宋体" w:hAnsi="宋体" w:eastAsia="宋体"/>
          <w:color w:val="auto"/>
          <w:highlight w:val="none"/>
        </w:rPr>
      </w:pPr>
      <w:r>
        <w:rPr>
          <w:rFonts w:hint="eastAsia" w:ascii="宋体" w:hAnsi="宋体" w:eastAsia="宋体"/>
          <w:color w:val="auto"/>
          <w:highlight w:val="none"/>
        </w:rPr>
        <w:t>招标监督机构：</w:t>
      </w:r>
      <w:r>
        <w:rPr>
          <w:rFonts w:hint="eastAsia" w:eastAsia="宋体"/>
          <w:bCs/>
          <w:color w:val="auto"/>
          <w:szCs w:val="32"/>
          <w:highlight w:val="none"/>
          <w:u w:val="single"/>
        </w:rPr>
        <w:t>广州市番禺区建设工程招标管理办公室</w:t>
      </w:r>
    </w:p>
    <w:p w14:paraId="363ECEF8">
      <w:pPr>
        <w:kinsoku/>
        <w:topLinePunct/>
        <w:autoSpaceDE/>
        <w:autoSpaceDN/>
        <w:spacing w:line="400" w:lineRule="exact"/>
        <w:ind w:firstLine="420" w:firstLineChars="200"/>
        <w:rPr>
          <w:rFonts w:hint="eastAsia" w:ascii="宋体" w:hAnsi="宋体" w:eastAsia="宋体"/>
          <w:color w:val="auto"/>
          <w:highlight w:val="none"/>
        </w:rPr>
      </w:pPr>
      <w:r>
        <w:rPr>
          <w:rFonts w:hint="eastAsia" w:ascii="宋体" w:hAnsi="宋体" w:eastAsia="宋体"/>
          <w:color w:val="auto"/>
          <w:highlight w:val="none"/>
        </w:rPr>
        <w:t>监督电话：</w:t>
      </w:r>
      <w:r>
        <w:rPr>
          <w:rFonts w:hint="eastAsia" w:ascii="宋体" w:hAnsi="宋体" w:eastAsia="宋体"/>
          <w:color w:val="auto"/>
          <w:highlight w:val="none"/>
          <w:u w:val="single"/>
        </w:rPr>
        <w:t>020-84892221</w:t>
      </w:r>
    </w:p>
    <w:p w14:paraId="5D6C4C0F">
      <w:pPr>
        <w:pStyle w:val="2"/>
        <w:jc w:val="right"/>
      </w:pPr>
      <w:r>
        <w:rPr>
          <w:rFonts w:hint="eastAsia" w:ascii="宋体" w:hAnsi="宋体" w:eastAsia="宋体"/>
          <w:color w:val="auto"/>
          <w:highlight w:val="none"/>
          <w:u w:val="single"/>
        </w:rPr>
        <w:t>2025</w:t>
      </w:r>
      <w:r>
        <w:rPr>
          <w:rFonts w:hint="eastAsia" w:ascii="宋体" w:hAnsi="宋体" w:eastAsia="宋体"/>
          <w:color w:val="auto"/>
          <w:spacing w:val="3"/>
          <w:highlight w:val="none"/>
        </w:rPr>
        <w:t>年</w:t>
      </w:r>
      <w:r>
        <w:rPr>
          <w:rFonts w:hint="eastAsia" w:ascii="宋体" w:hAnsi="宋体" w:eastAsia="宋体"/>
          <w:color w:val="auto"/>
          <w:spacing w:val="2"/>
          <w:highlight w:val="none"/>
          <w:u w:val="single"/>
          <w:lang w:val="en-US" w:eastAsia="zh-CN"/>
        </w:rPr>
        <w:t>8</w:t>
      </w:r>
      <w:r>
        <w:rPr>
          <w:rFonts w:hint="eastAsia" w:ascii="宋体" w:hAnsi="宋体" w:eastAsia="宋体"/>
          <w:color w:val="auto"/>
          <w:spacing w:val="2"/>
          <w:highlight w:val="none"/>
        </w:rPr>
        <w:t>月</w:t>
      </w:r>
      <w:r>
        <w:rPr>
          <w:rFonts w:hint="eastAsia" w:ascii="宋体" w:hAnsi="宋体" w:eastAsia="宋体"/>
          <w:color w:val="auto"/>
          <w:spacing w:val="2"/>
          <w:highlight w:val="none"/>
          <w:u w:val="single"/>
        </w:rPr>
        <w:t xml:space="preserve">   </w:t>
      </w:r>
      <w:r>
        <w:rPr>
          <w:rFonts w:hint="eastAsia" w:ascii="宋体" w:hAnsi="宋体" w:eastAsia="宋体"/>
          <w:color w:val="auto"/>
          <w:spacing w:val="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71650"/>
    <w:rsid w:val="0327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3"/>
    <w:basedOn w:val="1"/>
    <w:next w:val="1"/>
    <w:link w:val="7"/>
    <w:qFormat/>
    <w:uiPriority w:val="0"/>
    <w:pPr>
      <w:spacing w:before="50" w:beforeLines="50" w:after="50" w:afterLines="50"/>
      <w:outlineLvl w:val="2"/>
    </w:pPr>
    <w:rPr>
      <w:rFonts w:ascii="宋体" w:eastAsia="宋体"/>
      <w:b/>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宋体"/>
      <w:szCs w:val="20"/>
    </w:rPr>
  </w:style>
  <w:style w:type="character" w:customStyle="1" w:styleId="7">
    <w:name w:val="标题 3 Char"/>
    <w:link w:val="3"/>
    <w:uiPriority w:val="0"/>
    <w:rPr>
      <w:rFonts w:ascii="宋体" w:eastAsia="宋体"/>
      <w:b/>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2025-08-04T06:45:00Z</dcterms:created>
  <dc:creator>mwj</dc:creator>
  <cp:lastModifiedBy>mwj</cp:lastModifiedBy>
  <dcterms:modified xsi:type="dcterms:W3CDTF">2025-08-04T06:46:48Z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6084151BE0E346848DF304CC395FC424_11</vt:lpwstr>
  </property>
  <property fmtid="{D5CDD505-2E9C-101B-9397-08002B2CF9AE}" pid="4" name="KSOTemplateDocerSaveRecord">
    <vt:lpwstr>eyJoZGlkIjoiNGI0NmQ0NWRlYTdlYjc2NGQzMjM4MTQxYzhmYTE4YTMiLCJ1c2VySWQiOiI0MDE0NzcxNzgifQ==</vt:lpwstr>
  </property>
</Properties>
</file>