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2" w:lineRule="auto"/>
        <w:rPr>
          <w:rFonts w:ascii="Arial"/>
          <w:color w:val="auto"/>
          <w:highlight w:val="none"/>
        </w:rPr>
      </w:pPr>
    </w:p>
    <w:p>
      <w:pPr>
        <w:spacing w:line="242" w:lineRule="auto"/>
        <w:rPr>
          <w:rFonts w:ascii="Arial"/>
          <w:color w:val="auto"/>
          <w:highlight w:val="none"/>
        </w:rPr>
      </w:pPr>
    </w:p>
    <w:p>
      <w:pPr>
        <w:pStyle w:val="4"/>
        <w:spacing w:before="140" w:line="221" w:lineRule="auto"/>
        <w:jc w:val="center"/>
        <w:outlineLvl w:val="0"/>
        <w:rPr>
          <w:color w:val="auto"/>
          <w:sz w:val="43"/>
          <w:szCs w:val="43"/>
          <w:highlight w:val="none"/>
          <w:lang w:eastAsia="zh-CN"/>
        </w:rPr>
      </w:pPr>
      <w:r>
        <w:rPr>
          <w:b/>
          <w:bCs/>
          <w:color w:val="auto"/>
          <w:spacing w:val="2"/>
          <w:sz w:val="43"/>
          <w:szCs w:val="43"/>
          <w:highlight w:val="none"/>
          <w:lang w:eastAsia="zh-CN"/>
        </w:rPr>
        <w:t>检测监测服务合同</w:t>
      </w: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5" w:lineRule="auto"/>
        <w:rPr>
          <w:rFonts w:ascii="Arial"/>
          <w:color w:val="auto"/>
          <w:highlight w:val="none"/>
        </w:rPr>
      </w:pPr>
    </w:p>
    <w:p>
      <w:pPr>
        <w:spacing w:line="246" w:lineRule="auto"/>
        <w:rPr>
          <w:rFonts w:ascii="Arial"/>
          <w:color w:val="auto"/>
          <w:highlight w:val="none"/>
        </w:rPr>
      </w:pPr>
    </w:p>
    <w:p>
      <w:pPr>
        <w:pStyle w:val="4"/>
        <w:spacing w:before="94" w:line="221" w:lineRule="auto"/>
        <w:ind w:left="59"/>
        <w:rPr>
          <w:color w:val="auto"/>
          <w:spacing w:val="48"/>
          <w:highlight w:val="none"/>
          <w:u w:val="single"/>
          <w:lang w:eastAsia="zh-CN"/>
        </w:rPr>
      </w:pPr>
      <w:r>
        <w:rPr>
          <w:b/>
          <w:bCs/>
          <w:color w:val="auto"/>
          <w:spacing w:val="4"/>
          <w:highlight w:val="none"/>
          <w:lang w:eastAsia="zh-CN"/>
        </w:rPr>
        <w:t>项目名称：</w:t>
      </w:r>
      <w:r>
        <w:rPr>
          <w:rFonts w:hint="eastAsia"/>
          <w:color w:val="auto"/>
          <w:spacing w:val="4"/>
          <w:highlight w:val="none"/>
          <w:u w:val="single"/>
          <w:lang w:eastAsia="zh-CN"/>
        </w:rPr>
        <w:t>岭南集团食品产业基地项目检测监测服务</w:t>
      </w:r>
    </w:p>
    <w:p>
      <w:pPr>
        <w:pStyle w:val="4"/>
        <w:spacing w:before="94" w:line="221" w:lineRule="auto"/>
        <w:ind w:left="59"/>
        <w:rPr>
          <w:color w:val="auto"/>
          <w:spacing w:val="48"/>
          <w:highlight w:val="none"/>
          <w:u w:val="single"/>
          <w:lang w:eastAsia="zh-CN"/>
        </w:rPr>
      </w:pPr>
    </w:p>
    <w:p>
      <w:pPr>
        <w:pStyle w:val="4"/>
        <w:spacing w:before="94" w:line="221" w:lineRule="auto"/>
        <w:ind w:left="59"/>
        <w:rPr>
          <w:color w:val="auto"/>
          <w:highlight w:val="none"/>
          <w:lang w:eastAsia="zh-CN"/>
        </w:rPr>
      </w:pPr>
      <w:r>
        <w:rPr>
          <w:b/>
          <w:bCs/>
          <w:color w:val="auto"/>
          <w:spacing w:val="48"/>
          <w:highlight w:val="none"/>
          <w:lang w:eastAsia="zh-CN"/>
        </w:rPr>
        <w:t>委托人</w:t>
      </w:r>
      <w:r>
        <w:rPr>
          <w:rFonts w:hint="eastAsia"/>
          <w:b/>
          <w:bCs/>
          <w:color w:val="auto"/>
          <w:spacing w:val="48"/>
          <w:highlight w:val="none"/>
          <w:lang w:eastAsia="zh-CN"/>
        </w:rPr>
        <w:t>（</w:t>
      </w:r>
      <w:r>
        <w:rPr>
          <w:b/>
          <w:bCs/>
          <w:color w:val="auto"/>
          <w:spacing w:val="48"/>
          <w:highlight w:val="none"/>
          <w:lang w:eastAsia="zh-CN"/>
        </w:rPr>
        <w:t>甲方</w:t>
      </w:r>
      <w:r>
        <w:rPr>
          <w:rFonts w:hint="eastAsia"/>
          <w:b/>
          <w:bCs/>
          <w:color w:val="auto"/>
          <w:spacing w:val="48"/>
          <w:highlight w:val="none"/>
          <w:lang w:eastAsia="zh-CN"/>
        </w:rPr>
        <w:t>）：</w:t>
      </w:r>
      <w:r>
        <w:rPr>
          <w:rFonts w:hint="eastAsia"/>
          <w:color w:val="auto"/>
          <w:spacing w:val="48"/>
          <w:highlight w:val="none"/>
          <w:u w:val="single"/>
          <w:lang w:eastAsia="zh-CN"/>
        </w:rPr>
        <w:t>广州广粮坊食品科技有限公司</w:t>
      </w:r>
    </w:p>
    <w:p>
      <w:pPr>
        <w:spacing w:line="415" w:lineRule="auto"/>
        <w:rPr>
          <w:rFonts w:ascii="Arial"/>
          <w:color w:val="auto"/>
          <w:highlight w:val="none"/>
        </w:rPr>
      </w:pPr>
    </w:p>
    <w:p>
      <w:pPr>
        <w:pStyle w:val="4"/>
        <w:spacing w:before="94" w:line="567" w:lineRule="auto"/>
        <w:ind w:left="59"/>
        <w:rPr>
          <w:color w:val="auto"/>
          <w:highlight w:val="none"/>
          <w:lang w:eastAsia="zh-CN"/>
        </w:rPr>
      </w:pPr>
      <w:r>
        <w:rPr>
          <w:b/>
          <w:bCs/>
          <w:color w:val="auto"/>
          <w:spacing w:val="15"/>
          <w:highlight w:val="none"/>
          <w:lang w:eastAsia="zh-CN"/>
        </w:rPr>
        <w:t>受托人</w:t>
      </w:r>
      <w:r>
        <w:rPr>
          <w:rFonts w:hint="eastAsia"/>
          <w:b/>
          <w:bCs/>
          <w:color w:val="auto"/>
          <w:spacing w:val="15"/>
          <w:highlight w:val="none"/>
          <w:lang w:eastAsia="zh-CN"/>
        </w:rPr>
        <w:t>（</w:t>
      </w:r>
      <w:r>
        <w:rPr>
          <w:b/>
          <w:bCs/>
          <w:color w:val="auto"/>
          <w:spacing w:val="15"/>
          <w:highlight w:val="none"/>
          <w:lang w:eastAsia="zh-CN"/>
        </w:rPr>
        <w:t>乙方</w:t>
      </w:r>
      <w:r>
        <w:rPr>
          <w:rFonts w:hint="eastAsia"/>
          <w:b/>
          <w:bCs/>
          <w:color w:val="auto"/>
          <w:spacing w:val="15"/>
          <w:highlight w:val="none"/>
          <w:lang w:eastAsia="zh-CN"/>
        </w:rPr>
        <w:t>）：</w:t>
      </w:r>
      <w:r>
        <w:rPr>
          <w:color w:val="auto"/>
          <w:spacing w:val="15"/>
          <w:highlight w:val="none"/>
          <w:lang w:eastAsia="zh-CN"/>
        </w:rPr>
        <w:t xml:space="preserve"> </w:t>
      </w:r>
      <w:r>
        <w:rPr>
          <w:color w:val="auto"/>
          <w:spacing w:val="15"/>
          <w:highlight w:val="none"/>
          <w:u w:val="single"/>
          <w:lang w:eastAsia="zh-CN"/>
        </w:rPr>
        <w:t xml:space="preserve">                         </w:t>
      </w:r>
    </w:p>
    <w:p>
      <w:pPr>
        <w:pStyle w:val="4"/>
        <w:spacing w:before="1" w:line="220" w:lineRule="auto"/>
        <w:ind w:left="59"/>
        <w:rPr>
          <w:color w:val="auto"/>
          <w:highlight w:val="none"/>
          <w:lang w:eastAsia="zh-CN"/>
        </w:rPr>
      </w:pPr>
      <w:r>
        <w:rPr>
          <w:b/>
          <w:bCs/>
          <w:color w:val="auto"/>
          <w:spacing w:val="-41"/>
          <w:highlight w:val="none"/>
          <w:lang w:eastAsia="zh-CN"/>
        </w:rPr>
        <w:t>合同编号：</w:t>
      </w:r>
      <w:r>
        <w:rPr>
          <w:color w:val="auto"/>
          <w:spacing w:val="59"/>
          <w:highlight w:val="none"/>
          <w:lang w:eastAsia="zh-CN"/>
        </w:rPr>
        <w:t xml:space="preserve"> </w:t>
      </w:r>
      <w:r>
        <w:rPr>
          <w:color w:val="auto"/>
          <w:highlight w:val="none"/>
          <w:u w:val="single"/>
          <w:lang w:eastAsia="zh-CN"/>
        </w:rPr>
        <w:t xml:space="preserve">                                           </w:t>
      </w:r>
    </w:p>
    <w:p>
      <w:pPr>
        <w:spacing w:line="249" w:lineRule="auto"/>
        <w:rPr>
          <w:rFonts w:ascii="Arial"/>
          <w:color w:val="auto"/>
          <w:highlight w:val="none"/>
        </w:rPr>
      </w:pPr>
    </w:p>
    <w:p>
      <w:pPr>
        <w:spacing w:line="249" w:lineRule="auto"/>
        <w:rPr>
          <w:rFonts w:ascii="Arial"/>
          <w:color w:val="auto"/>
          <w:highlight w:val="none"/>
        </w:rPr>
      </w:pPr>
    </w:p>
    <w:p>
      <w:pPr>
        <w:spacing w:line="249" w:lineRule="auto"/>
        <w:rPr>
          <w:rFonts w:ascii="Arial"/>
          <w:color w:val="auto"/>
          <w:highlight w:val="none"/>
        </w:rPr>
      </w:pPr>
    </w:p>
    <w:p>
      <w:pPr>
        <w:spacing w:line="250" w:lineRule="auto"/>
        <w:rPr>
          <w:rFonts w:ascii="Arial"/>
          <w:color w:val="auto"/>
          <w:highlight w:val="none"/>
        </w:rPr>
      </w:pPr>
    </w:p>
    <w:p>
      <w:pPr>
        <w:pStyle w:val="4"/>
        <w:spacing w:before="95" w:line="231" w:lineRule="auto"/>
        <w:ind w:left="59"/>
        <w:rPr>
          <w:color w:val="auto"/>
          <w:highlight w:val="none"/>
          <w:lang w:eastAsia="zh-CN"/>
        </w:rPr>
      </w:pPr>
      <w:r>
        <w:rPr>
          <w:b/>
          <w:bCs/>
          <w:color w:val="auto"/>
          <w:spacing w:val="-14"/>
          <w:position w:val="2"/>
          <w:highlight w:val="none"/>
          <w:lang w:eastAsia="zh-CN"/>
        </w:rPr>
        <w:t>签</w:t>
      </w:r>
      <w:r>
        <w:rPr>
          <w:color w:val="auto"/>
          <w:spacing w:val="-14"/>
          <w:position w:val="2"/>
          <w:highlight w:val="none"/>
          <w:lang w:eastAsia="zh-CN"/>
        </w:rPr>
        <w:t xml:space="preserve"> </w:t>
      </w:r>
      <w:r>
        <w:rPr>
          <w:b/>
          <w:bCs/>
          <w:color w:val="auto"/>
          <w:spacing w:val="-14"/>
          <w:position w:val="2"/>
          <w:highlight w:val="none"/>
          <w:lang w:eastAsia="zh-CN"/>
        </w:rPr>
        <w:t>订</w:t>
      </w:r>
      <w:r>
        <w:rPr>
          <w:color w:val="auto"/>
          <w:spacing w:val="42"/>
          <w:position w:val="2"/>
          <w:highlight w:val="none"/>
          <w:lang w:eastAsia="zh-CN"/>
        </w:rPr>
        <w:t xml:space="preserve"> </w:t>
      </w:r>
      <w:r>
        <w:rPr>
          <w:b/>
          <w:bCs/>
          <w:color w:val="auto"/>
          <w:spacing w:val="-14"/>
          <w:position w:val="2"/>
          <w:highlight w:val="none"/>
          <w:lang w:eastAsia="zh-CN"/>
        </w:rPr>
        <w:t>日</w:t>
      </w:r>
      <w:r>
        <w:rPr>
          <w:color w:val="auto"/>
          <w:spacing w:val="-14"/>
          <w:position w:val="2"/>
          <w:highlight w:val="none"/>
          <w:lang w:eastAsia="zh-CN"/>
        </w:rPr>
        <w:t xml:space="preserve"> </w:t>
      </w:r>
      <w:r>
        <w:rPr>
          <w:b/>
          <w:bCs/>
          <w:color w:val="auto"/>
          <w:spacing w:val="-14"/>
          <w:position w:val="2"/>
          <w:highlight w:val="none"/>
          <w:lang w:eastAsia="zh-CN"/>
        </w:rPr>
        <w:t>期</w:t>
      </w:r>
      <w:r>
        <w:rPr>
          <w:color w:val="auto"/>
          <w:spacing w:val="-22"/>
          <w:position w:val="2"/>
          <w:highlight w:val="none"/>
          <w:lang w:eastAsia="zh-CN"/>
        </w:rPr>
        <w:t xml:space="preserve"> </w:t>
      </w:r>
      <w:r>
        <w:rPr>
          <w:b/>
          <w:bCs/>
          <w:color w:val="auto"/>
          <w:spacing w:val="-14"/>
          <w:position w:val="2"/>
          <w:highlight w:val="none"/>
          <w:lang w:eastAsia="zh-CN"/>
        </w:rPr>
        <w:t>：</w:t>
      </w:r>
      <w:r>
        <w:rPr>
          <w:color w:val="auto"/>
          <w:spacing w:val="86"/>
          <w:position w:val="-3"/>
          <w:highlight w:val="none"/>
          <w:u w:val="single"/>
          <w:lang w:eastAsia="zh-CN"/>
        </w:rPr>
        <w:t xml:space="preserve"> </w:t>
      </w:r>
      <w:r>
        <w:rPr>
          <w:color w:val="auto"/>
          <w:spacing w:val="-14"/>
          <w:position w:val="-3"/>
          <w:highlight w:val="none"/>
          <w:u w:val="single"/>
          <w:lang w:eastAsia="zh-CN"/>
        </w:rPr>
        <w:t>年</w:t>
      </w:r>
      <w:r>
        <w:rPr>
          <w:color w:val="auto"/>
          <w:spacing w:val="30"/>
          <w:position w:val="-3"/>
          <w:highlight w:val="none"/>
          <w:u w:val="single"/>
          <w:lang w:eastAsia="zh-CN"/>
        </w:rPr>
        <w:t xml:space="preserve">   </w:t>
      </w:r>
      <w:r>
        <w:rPr>
          <w:color w:val="auto"/>
          <w:spacing w:val="-14"/>
          <w:position w:val="-3"/>
          <w:highlight w:val="none"/>
          <w:u w:val="single"/>
          <w:lang w:eastAsia="zh-CN"/>
        </w:rPr>
        <w:t>月    日</w:t>
      </w:r>
    </w:p>
    <w:p>
      <w:pPr>
        <w:spacing w:line="231" w:lineRule="auto"/>
        <w:jc w:val="center"/>
        <w:rPr>
          <w:color w:val="auto"/>
          <w:highlight w:val="none"/>
        </w:rPr>
      </w:pPr>
    </w:p>
    <w:p>
      <w:pPr>
        <w:rPr>
          <w:rFonts w:ascii="Arial" w:hAnsi="Arial" w:eastAsia="Arial" w:cs="Arial"/>
          <w:snapToGrid w:val="0"/>
          <w:color w:val="auto"/>
          <w:kern w:val="0"/>
          <w:szCs w:val="21"/>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701"/>
        </w:tabs>
        <w:rPr>
          <w:rFonts w:eastAsia="宋体"/>
          <w:color w:val="auto"/>
          <w:highlight w:val="none"/>
        </w:rPr>
        <w:sectPr>
          <w:pgSz w:w="11900" w:h="16820"/>
          <w:pgMar w:top="1429" w:right="1740" w:bottom="0" w:left="1785" w:header="0" w:footer="0" w:gutter="0"/>
          <w:cols w:space="720" w:num="1"/>
        </w:sectPr>
      </w:pPr>
    </w:p>
    <w:p>
      <w:pPr>
        <w:spacing w:before="81" w:line="943" w:lineRule="exact"/>
        <w:jc w:val="center"/>
        <w:rPr>
          <w:rFonts w:ascii="宋体" w:hAnsi="宋体" w:eastAsia="宋体" w:cs="宋体"/>
          <w:color w:val="auto"/>
          <w:sz w:val="36"/>
          <w:szCs w:val="36"/>
          <w:highlight w:val="none"/>
        </w:rPr>
      </w:pPr>
      <w:r>
        <w:rPr>
          <w:rFonts w:ascii="宋体" w:hAnsi="宋体" w:eastAsia="宋体" w:cs="宋体"/>
          <w:b/>
          <w:bCs/>
          <w:color w:val="auto"/>
          <w:spacing w:val="-4"/>
          <w:position w:val="44"/>
          <w:sz w:val="36"/>
          <w:szCs w:val="36"/>
          <w:highlight w:val="none"/>
        </w:rPr>
        <w:t>检测</w:t>
      </w:r>
      <w:r>
        <w:rPr>
          <w:rFonts w:hint="eastAsia" w:ascii="宋体" w:hAnsi="宋体" w:eastAsia="宋体" w:cs="宋体"/>
          <w:b/>
          <w:bCs/>
          <w:color w:val="auto"/>
          <w:spacing w:val="-4"/>
          <w:position w:val="44"/>
          <w:sz w:val="36"/>
          <w:szCs w:val="36"/>
          <w:highlight w:val="none"/>
        </w:rPr>
        <w:t>监测</w:t>
      </w:r>
      <w:r>
        <w:rPr>
          <w:rFonts w:ascii="宋体" w:hAnsi="宋体" w:eastAsia="宋体" w:cs="宋体"/>
          <w:b/>
          <w:bCs/>
          <w:color w:val="auto"/>
          <w:spacing w:val="-4"/>
          <w:position w:val="44"/>
          <w:sz w:val="36"/>
          <w:szCs w:val="36"/>
          <w:highlight w:val="none"/>
        </w:rPr>
        <w:t>服务</w:t>
      </w:r>
      <w:r>
        <w:rPr>
          <w:rFonts w:hint="eastAsia" w:ascii="宋体" w:hAnsi="宋体" w:eastAsia="宋体" w:cs="宋体"/>
          <w:b/>
          <w:bCs/>
          <w:color w:val="auto"/>
          <w:spacing w:val="-4"/>
          <w:position w:val="44"/>
          <w:sz w:val="36"/>
          <w:szCs w:val="36"/>
          <w:highlight w:val="none"/>
        </w:rPr>
        <w:t>合同</w:t>
      </w:r>
    </w:p>
    <w:p>
      <w:pPr>
        <w:spacing w:before="1" w:line="218" w:lineRule="auto"/>
        <w:rPr>
          <w:rFonts w:ascii="宋体" w:hAnsi="宋体" w:eastAsia="宋体" w:cs="宋体"/>
          <w:b/>
          <w:bCs/>
          <w:color w:val="auto"/>
          <w:spacing w:val="-2"/>
          <w:sz w:val="24"/>
          <w:highlight w:val="none"/>
        </w:rPr>
      </w:pPr>
    </w:p>
    <w:p>
      <w:pPr>
        <w:spacing w:before="1" w:line="218" w:lineRule="auto"/>
        <w:rPr>
          <w:rFonts w:hint="eastAsia" w:ascii="宋体" w:hAnsi="宋体" w:eastAsia="宋体" w:cs="宋体"/>
          <w:color w:val="auto"/>
          <w:sz w:val="24"/>
          <w:highlight w:val="none"/>
          <w:lang w:eastAsia="zh-CN"/>
        </w:rPr>
      </w:pPr>
      <w:r>
        <w:rPr>
          <w:rFonts w:ascii="宋体" w:hAnsi="宋体" w:eastAsia="宋体" w:cs="宋体"/>
          <w:b/>
          <w:bCs/>
          <w:color w:val="auto"/>
          <w:spacing w:val="-2"/>
          <w:sz w:val="24"/>
          <w:highlight w:val="none"/>
        </w:rPr>
        <w:t>委托人（甲方</w:t>
      </w:r>
      <w:r>
        <w:rPr>
          <w:rFonts w:ascii="宋体" w:hAnsi="宋体" w:eastAsia="宋体" w:cs="宋体"/>
          <w:b/>
          <w:bCs/>
          <w:color w:val="auto"/>
          <w:spacing w:val="14"/>
          <w:sz w:val="24"/>
          <w:highlight w:val="none"/>
        </w:rPr>
        <w:t>）</w:t>
      </w:r>
      <w:r>
        <w:rPr>
          <w:rFonts w:ascii="宋体" w:hAnsi="宋体" w:eastAsia="宋体" w:cs="宋体"/>
          <w:color w:val="auto"/>
          <w:spacing w:val="14"/>
          <w:sz w:val="24"/>
          <w:highlight w:val="none"/>
        </w:rPr>
        <w:t>：</w:t>
      </w:r>
      <w:r>
        <w:rPr>
          <w:rFonts w:hint="eastAsia" w:ascii="宋体" w:hAnsi="宋体" w:eastAsia="宋体" w:cs="宋体"/>
          <w:color w:val="auto"/>
          <w:spacing w:val="-2"/>
          <w:sz w:val="24"/>
          <w:highlight w:val="none"/>
          <w:u w:val="single"/>
          <w:lang w:eastAsia="zh-CN"/>
        </w:rPr>
        <w:t>广州广粮坊食品科技有限公司</w:t>
      </w:r>
    </w:p>
    <w:p>
      <w:pPr>
        <w:spacing w:line="251" w:lineRule="auto"/>
        <w:rPr>
          <w:rFonts w:ascii="Arial"/>
          <w:color w:val="auto"/>
          <w:highlight w:val="none"/>
        </w:rPr>
      </w:pPr>
    </w:p>
    <w:p>
      <w:pPr>
        <w:spacing w:line="251" w:lineRule="auto"/>
        <w:rPr>
          <w:rFonts w:ascii="Arial"/>
          <w:color w:val="auto"/>
          <w:highlight w:val="none"/>
        </w:rPr>
      </w:pPr>
    </w:p>
    <w:p>
      <w:pPr>
        <w:spacing w:before="78" w:line="221" w:lineRule="auto"/>
        <w:ind w:left="5"/>
        <w:rPr>
          <w:rFonts w:ascii="宋体" w:hAnsi="宋体" w:eastAsia="宋体" w:cs="宋体"/>
          <w:color w:val="auto"/>
          <w:sz w:val="24"/>
          <w:highlight w:val="none"/>
        </w:rPr>
      </w:pPr>
      <w:r>
        <w:rPr>
          <w:rFonts w:ascii="宋体" w:hAnsi="宋体" w:eastAsia="宋体" w:cs="宋体"/>
          <w:b/>
          <w:bCs/>
          <w:color w:val="auto"/>
          <w:spacing w:val="-6"/>
          <w:sz w:val="24"/>
          <w:highlight w:val="none"/>
        </w:rPr>
        <w:t>受托人（乙方</w:t>
      </w:r>
      <w:r>
        <w:rPr>
          <w:rFonts w:ascii="宋体" w:hAnsi="宋体" w:eastAsia="宋体" w:cs="宋体"/>
          <w:b/>
          <w:bCs/>
          <w:color w:val="auto"/>
          <w:spacing w:val="6"/>
          <w:sz w:val="24"/>
          <w:highlight w:val="none"/>
        </w:rPr>
        <w:t>）</w:t>
      </w:r>
      <w:r>
        <w:rPr>
          <w:rFonts w:ascii="宋体" w:hAnsi="宋体" w:eastAsia="宋体" w:cs="宋体"/>
          <w:color w:val="auto"/>
          <w:spacing w:val="6"/>
          <w:sz w:val="24"/>
          <w:highlight w:val="none"/>
        </w:rPr>
        <w:t>：</w:t>
      </w:r>
      <w:r>
        <w:rPr>
          <w:rFonts w:ascii="宋体" w:hAnsi="宋体" w:eastAsia="宋体" w:cs="宋体"/>
          <w:color w:val="auto"/>
          <w:sz w:val="24"/>
          <w:highlight w:val="none"/>
          <w:u w:val="single"/>
        </w:rPr>
        <w:t xml:space="preserve">                                </w:t>
      </w:r>
    </w:p>
    <w:p>
      <w:pPr>
        <w:spacing w:line="337" w:lineRule="auto"/>
        <w:rPr>
          <w:rFonts w:ascii="Arial"/>
          <w:color w:val="auto"/>
          <w:highlight w:val="none"/>
        </w:rPr>
      </w:pPr>
    </w:p>
    <w:p>
      <w:pPr>
        <w:spacing w:line="337" w:lineRule="auto"/>
        <w:rPr>
          <w:rFonts w:ascii="Arial"/>
          <w:color w:val="auto"/>
          <w:highlight w:val="none"/>
        </w:rPr>
      </w:pPr>
    </w:p>
    <w:p>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z w:val="24"/>
          <w:highlight w:val="none"/>
        </w:rPr>
      </w:pPr>
      <w:r>
        <w:rPr>
          <w:rFonts w:ascii="宋体" w:hAnsi="宋体" w:eastAsia="宋体" w:cs="宋体"/>
          <w:color w:val="auto"/>
          <w:spacing w:val="-6"/>
          <w:sz w:val="24"/>
          <w:highlight w:val="none"/>
        </w:rPr>
        <w:t>依据《中华人民共和国民法典</w:t>
      </w:r>
      <w:r>
        <w:rPr>
          <w:rFonts w:hint="eastAsia" w:ascii="宋体" w:hAnsi="宋体" w:eastAsia="宋体" w:cs="宋体"/>
          <w:color w:val="auto"/>
          <w:spacing w:val="-6"/>
          <w:sz w:val="24"/>
          <w:highlight w:val="none"/>
        </w:rPr>
        <w:t>》《</w:t>
      </w:r>
      <w:r>
        <w:rPr>
          <w:rFonts w:ascii="宋体" w:hAnsi="宋体" w:eastAsia="宋体" w:cs="宋体"/>
          <w:color w:val="auto"/>
          <w:spacing w:val="-6"/>
          <w:sz w:val="24"/>
          <w:highlight w:val="none"/>
        </w:rPr>
        <w:t>中华人民共和国招标投标法》及国家的有关</w:t>
      </w:r>
      <w:r>
        <w:rPr>
          <w:rFonts w:ascii="宋体" w:hAnsi="宋体" w:eastAsia="宋体" w:cs="宋体"/>
          <w:color w:val="auto"/>
          <w:spacing w:val="-7"/>
          <w:sz w:val="24"/>
          <w:highlight w:val="none"/>
        </w:rPr>
        <w:t>法律、</w:t>
      </w:r>
      <w:r>
        <w:rPr>
          <w:rFonts w:ascii="宋体" w:hAnsi="宋体" w:eastAsia="宋体" w:cs="宋体"/>
          <w:color w:val="auto"/>
          <w:spacing w:val="-1"/>
          <w:sz w:val="24"/>
          <w:highlight w:val="none"/>
        </w:rPr>
        <w:t>行政法规，遵循平等、自愿、公平和诚实信用的原则，甲、乙双方就</w:t>
      </w:r>
      <w:r>
        <w:rPr>
          <w:rFonts w:hint="eastAsia" w:ascii="宋体" w:hAnsi="宋体" w:eastAsia="宋体" w:cs="宋体"/>
          <w:color w:val="auto"/>
          <w:spacing w:val="-1"/>
          <w:sz w:val="24"/>
          <w:highlight w:val="none"/>
          <w:lang w:eastAsia="zh-CN"/>
        </w:rPr>
        <w:t>岭南集团食品产业基地项目检测监测服务</w:t>
      </w:r>
      <w:r>
        <w:rPr>
          <w:rFonts w:ascii="宋体" w:hAnsi="宋体" w:eastAsia="宋体" w:cs="宋体"/>
          <w:color w:val="auto"/>
          <w:spacing w:val="-2"/>
          <w:sz w:val="24"/>
          <w:highlight w:val="none"/>
        </w:rPr>
        <w:t>工作事项协商一致，订立本合同。</w:t>
      </w:r>
    </w:p>
    <w:p>
      <w:pPr>
        <w:widowControl/>
        <w:kinsoku w:val="0"/>
        <w:autoSpaceDE w:val="0"/>
        <w:autoSpaceDN w:val="0"/>
        <w:adjustRightInd w:val="0"/>
        <w:snapToGrid w:val="0"/>
        <w:spacing w:line="360" w:lineRule="auto"/>
        <w:textAlignment w:val="baseline"/>
        <w:rPr>
          <w:rFonts w:ascii="宋体" w:hAnsi="宋体" w:eastAsia="宋体" w:cs="宋体"/>
          <w:b/>
          <w:bCs/>
          <w:color w:val="auto"/>
          <w:spacing w:val="-4"/>
          <w:sz w:val="24"/>
          <w:highlight w:val="none"/>
        </w:rPr>
      </w:pPr>
    </w:p>
    <w:p>
      <w:pPr>
        <w:widowControl/>
        <w:kinsoku w:val="0"/>
        <w:autoSpaceDE w:val="0"/>
        <w:autoSpaceDN w:val="0"/>
        <w:adjustRightInd w:val="0"/>
        <w:snapToGrid w:val="0"/>
        <w:spacing w:line="360" w:lineRule="auto"/>
        <w:textAlignment w:val="baseline"/>
        <w:rPr>
          <w:rFonts w:ascii="宋体" w:hAnsi="宋体" w:eastAsia="宋体" w:cs="宋体"/>
          <w:color w:val="auto"/>
          <w:sz w:val="24"/>
          <w:highlight w:val="none"/>
        </w:rPr>
      </w:pPr>
      <w:r>
        <w:rPr>
          <w:rFonts w:ascii="宋体" w:hAnsi="宋体" w:eastAsia="宋体" w:cs="宋体"/>
          <w:b/>
          <w:bCs/>
          <w:color w:val="auto"/>
          <w:spacing w:val="-4"/>
          <w:sz w:val="24"/>
          <w:highlight w:val="none"/>
        </w:rPr>
        <w:t>一．工程概况</w:t>
      </w:r>
    </w:p>
    <w:p>
      <w:pPr>
        <w:widowControl/>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rPr>
        <w:t>1、</w:t>
      </w:r>
      <w:r>
        <w:rPr>
          <w:rFonts w:ascii="宋体" w:hAnsi="宋体" w:eastAsia="宋体" w:cs="宋体"/>
          <w:color w:val="auto"/>
          <w:spacing w:val="-6"/>
          <w:sz w:val="24"/>
          <w:highlight w:val="none"/>
        </w:rPr>
        <w:t>项目名称：</w:t>
      </w:r>
      <w:r>
        <w:rPr>
          <w:rFonts w:hint="eastAsia" w:ascii="宋体" w:hAnsi="宋体" w:eastAsia="宋体" w:cs="宋体"/>
          <w:color w:val="auto"/>
          <w:spacing w:val="-6"/>
          <w:sz w:val="24"/>
          <w:highlight w:val="none"/>
          <w:lang w:eastAsia="zh-CN"/>
        </w:rPr>
        <w:t>岭南集团食品产业基地项目检测监测服务</w:t>
      </w:r>
    </w:p>
    <w:p>
      <w:pPr>
        <w:widowControl/>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ascii="宋体" w:hAnsi="宋体" w:eastAsia="宋体" w:cs="宋体"/>
          <w:color w:val="auto"/>
          <w:spacing w:val="-6"/>
          <w:sz w:val="24"/>
          <w:highlight w:val="none"/>
        </w:rPr>
        <w:t>工程规模：</w:t>
      </w:r>
      <w:r>
        <w:rPr>
          <w:rFonts w:hint="eastAsia" w:ascii="宋体" w:hAnsi="宋体" w:eastAsia="宋体" w:cs="宋体"/>
          <w:color w:val="auto"/>
          <w:spacing w:val="-6"/>
          <w:sz w:val="24"/>
          <w:highlight w:val="none"/>
        </w:rPr>
        <w:t>项目总占地面积约26295平方米，容积率2.52，总建筑面积67030平方米；其中预制烘焙产品生产车间（5F）19800平方米，小包装油生产车间（5F）11000平方米，科创中心（11F）11330平方米，油泵房300平方米，装卸区罩棚2000平方米，预留二期建设食品工厂（6F）19200平方米，油脂精炼生产车间（4F）3400平方米。</w:t>
      </w:r>
    </w:p>
    <w:p>
      <w:pPr>
        <w:widowControl/>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主要建设内容；1.建设年生产规模为6,000吨烘焙预拌粉、6,000吨烘焙产品的生产线，及建设配套产能的包装车间；2.建设年设计产能为47,400吨的食用油生产线，包括植物油罐装生产线、包装车间，及配套产能的储存设施；建设科创中心。（最终以规划行政部门和报批报建批复为准）。</w:t>
      </w:r>
    </w:p>
    <w:p>
      <w:pPr>
        <w:widowControl/>
        <w:numPr>
          <w:ilvl w:val="-1"/>
          <w:numId w:val="0"/>
        </w:numPr>
        <w:kinsoku w:val="0"/>
        <w:autoSpaceDE w:val="0"/>
        <w:autoSpaceDN w:val="0"/>
        <w:adjustRightInd w:val="0"/>
        <w:snapToGrid w:val="0"/>
        <w:spacing w:line="360" w:lineRule="auto"/>
        <w:ind w:firstLine="456" w:firstLineChars="200"/>
        <w:jc w:val="left"/>
        <w:textAlignment w:val="baseline"/>
        <w:rPr>
          <w:rFonts w:hint="eastAsia" w:ascii="宋体" w:hAnsi="宋体" w:eastAsia="宋体" w:cs="宋体"/>
          <w:color w:val="auto"/>
          <w:spacing w:val="-22"/>
          <w:sz w:val="24"/>
          <w:highlight w:val="none"/>
        </w:rPr>
      </w:pPr>
      <w:r>
        <w:rPr>
          <w:rFonts w:hint="eastAsia" w:ascii="宋体" w:hAnsi="宋体" w:eastAsia="宋体" w:cs="宋体"/>
          <w:color w:val="auto"/>
          <w:spacing w:val="-6"/>
          <w:sz w:val="24"/>
          <w:highlight w:val="none"/>
          <w:lang w:val="en-US" w:eastAsia="zh-CN"/>
        </w:rPr>
        <w:t>3、</w:t>
      </w:r>
      <w:r>
        <w:rPr>
          <w:rFonts w:ascii="宋体" w:hAnsi="宋体" w:eastAsia="宋体" w:cs="宋体"/>
          <w:color w:val="auto"/>
          <w:spacing w:val="-22"/>
          <w:sz w:val="24"/>
          <w:highlight w:val="none"/>
        </w:rPr>
        <w:t>资金来源：</w:t>
      </w:r>
      <w:r>
        <w:rPr>
          <w:rFonts w:hint="eastAsia" w:ascii="宋体" w:hAnsi="宋体" w:eastAsia="宋体" w:cs="宋体"/>
          <w:color w:val="auto"/>
          <w:spacing w:val="-22"/>
          <w:sz w:val="24"/>
          <w:highlight w:val="none"/>
          <w:lang w:val="en-US" w:eastAsia="zh-CN"/>
        </w:rPr>
        <w:t>企业自筹。</w:t>
      </w:r>
    </w:p>
    <w:p>
      <w:pPr>
        <w:widowControl/>
        <w:kinsoku w:val="0"/>
        <w:autoSpaceDE w:val="0"/>
        <w:autoSpaceDN w:val="0"/>
        <w:adjustRightInd w:val="0"/>
        <w:snapToGrid w:val="0"/>
        <w:spacing w:line="360" w:lineRule="auto"/>
        <w:ind w:firstLine="44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pacing w:val="-10"/>
          <w:sz w:val="24"/>
          <w:highlight w:val="none"/>
        </w:rPr>
        <w:t>4、</w:t>
      </w:r>
      <w:r>
        <w:rPr>
          <w:rFonts w:ascii="宋体" w:hAnsi="宋体" w:eastAsia="宋体" w:cs="宋体"/>
          <w:color w:val="auto"/>
          <w:spacing w:val="-10"/>
          <w:sz w:val="24"/>
          <w:highlight w:val="none"/>
        </w:rPr>
        <w:t>工程地点：</w:t>
      </w:r>
      <w:r>
        <w:rPr>
          <w:rFonts w:hint="eastAsia" w:ascii="宋体" w:hAnsi="宋体" w:eastAsia="宋体" w:cs="宋体"/>
          <w:color w:val="auto"/>
          <w:spacing w:val="-10"/>
          <w:sz w:val="24"/>
          <w:highlight w:val="none"/>
        </w:rPr>
        <w:t>广州市南沙区横沥镇广州市粮食储备加工中心南侧。</w:t>
      </w:r>
    </w:p>
    <w:p>
      <w:pPr>
        <w:spacing w:before="195" w:line="599" w:lineRule="exact"/>
        <w:ind w:left="7"/>
        <w:rPr>
          <w:rFonts w:ascii="宋体" w:hAnsi="宋体" w:eastAsia="宋体" w:cs="宋体"/>
          <w:color w:val="auto"/>
          <w:sz w:val="28"/>
          <w:szCs w:val="28"/>
          <w:highlight w:val="none"/>
        </w:rPr>
      </w:pPr>
      <w:r>
        <w:rPr>
          <w:rFonts w:ascii="宋体" w:hAnsi="宋体" w:eastAsia="宋体" w:cs="宋体"/>
          <w:b/>
          <w:bCs/>
          <w:color w:val="auto"/>
          <w:spacing w:val="-4"/>
          <w:position w:val="24"/>
          <w:sz w:val="28"/>
          <w:szCs w:val="28"/>
          <w:highlight w:val="none"/>
        </w:rPr>
        <w:t>二．服务内容、方式和要求</w:t>
      </w:r>
    </w:p>
    <w:p>
      <w:pPr>
        <w:spacing w:line="219" w:lineRule="auto"/>
        <w:ind w:left="558"/>
        <w:rPr>
          <w:rFonts w:ascii="宋体" w:hAnsi="宋体" w:eastAsia="宋体" w:cs="宋体"/>
          <w:color w:val="auto"/>
          <w:sz w:val="24"/>
          <w:highlight w:val="none"/>
        </w:rPr>
      </w:pPr>
      <w:r>
        <w:rPr>
          <w:rFonts w:ascii="宋体" w:hAnsi="宋体" w:eastAsia="宋体" w:cs="宋体"/>
          <w:b/>
          <w:bCs/>
          <w:color w:val="auto"/>
          <w:spacing w:val="-25"/>
          <w:sz w:val="24"/>
          <w:highlight w:val="none"/>
        </w:rPr>
        <w:t>1、服务内容：</w:t>
      </w:r>
    </w:p>
    <w:p>
      <w:pPr>
        <w:spacing w:line="83" w:lineRule="auto"/>
        <w:rPr>
          <w:rFonts w:ascii="Arial"/>
          <w:color w:val="auto"/>
          <w:sz w:val="2"/>
          <w:highlight w:val="none"/>
        </w:rPr>
      </w:pPr>
    </w:p>
    <w:tbl>
      <w:tblPr>
        <w:tblStyle w:val="15"/>
        <w:tblW w:w="8860"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1"/>
        <w:gridCol w:w="5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171" w:type="dxa"/>
            <w:tcBorders>
              <w:bottom w:val="single" w:color="auto" w:sz="4" w:space="0"/>
            </w:tcBorders>
          </w:tcPr>
          <w:p>
            <w:pPr>
              <w:pStyle w:val="14"/>
              <w:spacing w:before="139" w:line="220" w:lineRule="auto"/>
              <w:ind w:left="1114"/>
              <w:rPr>
                <w:color w:val="auto"/>
                <w:sz w:val="24"/>
                <w:szCs w:val="24"/>
                <w:highlight w:val="none"/>
              </w:rPr>
            </w:pPr>
            <w:r>
              <w:rPr>
                <w:color w:val="auto"/>
                <w:spacing w:val="-3"/>
                <w:sz w:val="24"/>
                <w:szCs w:val="24"/>
                <w:highlight w:val="none"/>
              </w:rPr>
              <w:t>项目名称</w:t>
            </w:r>
          </w:p>
        </w:tc>
        <w:tc>
          <w:tcPr>
            <w:tcW w:w="5689" w:type="dxa"/>
            <w:tcBorders>
              <w:bottom w:val="single" w:color="auto" w:sz="4" w:space="0"/>
            </w:tcBorders>
          </w:tcPr>
          <w:p>
            <w:pPr>
              <w:pStyle w:val="14"/>
              <w:spacing w:before="138" w:line="220" w:lineRule="auto"/>
              <w:ind w:left="2132"/>
              <w:rPr>
                <w:color w:val="auto"/>
                <w:sz w:val="24"/>
                <w:szCs w:val="24"/>
                <w:highlight w:val="none"/>
              </w:rPr>
            </w:pPr>
            <w:r>
              <w:rPr>
                <w:color w:val="auto"/>
                <w:spacing w:val="-2"/>
                <w:sz w:val="24"/>
                <w:szCs w:val="24"/>
                <w:highlight w:val="none"/>
              </w:rPr>
              <w:t>主要检测项目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3171" w:type="dxa"/>
            <w:tcBorders>
              <w:top w:val="single" w:color="auto" w:sz="4" w:space="0"/>
              <w:left w:val="single" w:color="auto" w:sz="4" w:space="0"/>
              <w:bottom w:val="single" w:color="auto" w:sz="4" w:space="0"/>
            </w:tcBorders>
            <w:vAlign w:val="center"/>
          </w:tcPr>
          <w:p>
            <w:pPr>
              <w:pStyle w:val="14"/>
              <w:spacing w:line="220" w:lineRule="auto"/>
              <w:rPr>
                <w:color w:val="auto"/>
                <w:highlight w:val="none"/>
                <w:lang w:eastAsia="zh-CN"/>
              </w:rPr>
            </w:pPr>
            <w:r>
              <w:rPr>
                <w:rFonts w:hint="eastAsia"/>
                <w:color w:val="auto"/>
                <w:highlight w:val="none"/>
                <w:lang w:eastAsia="zh-CN"/>
              </w:rPr>
              <w:t>岭南集团食品产业基地项目检测监测服务</w:t>
            </w:r>
          </w:p>
        </w:tc>
        <w:tc>
          <w:tcPr>
            <w:tcW w:w="5689" w:type="dxa"/>
            <w:tcBorders>
              <w:top w:val="single" w:color="auto" w:sz="4" w:space="0"/>
              <w:bottom w:val="single" w:color="auto" w:sz="4" w:space="0"/>
              <w:right w:val="single" w:color="auto" w:sz="4" w:space="0"/>
            </w:tcBorders>
            <w:vAlign w:val="center"/>
          </w:tcPr>
          <w:p>
            <w:pPr>
              <w:spacing w:line="360" w:lineRule="auto"/>
              <w:ind w:firstLine="472" w:firstLineChars="225"/>
              <w:rPr>
                <w:rFonts w:eastAsia="宋体"/>
                <w:color w:val="auto"/>
                <w:sz w:val="24"/>
                <w:highlight w:val="none"/>
              </w:rPr>
            </w:pPr>
            <w:r>
              <w:rPr>
                <w:rFonts w:hint="eastAsia" w:ascii="宋体" w:hAnsi="宋体" w:eastAsia="宋体" w:cs="宋体"/>
                <w:color w:val="auto"/>
                <w:szCs w:val="21"/>
                <w:highlight w:val="none"/>
              </w:rPr>
              <w:t>建设行政主管部门、监督部门要求的，由甲方确认的具有质量监控作用的相关检测监测项目（含第三方检测），包括</w:t>
            </w:r>
            <w:r>
              <w:rPr>
                <w:rFonts w:hint="eastAsia" w:ascii="宋体" w:hAnsi="宋体" w:eastAsia="宋体" w:cs="宋体"/>
                <w:color w:val="auto"/>
                <w:szCs w:val="21"/>
                <w:highlight w:val="none"/>
                <w:lang w:val="en-US" w:eastAsia="zh-CN"/>
              </w:rPr>
              <w:t>但不限于</w:t>
            </w:r>
            <w:r>
              <w:rPr>
                <w:rFonts w:hint="eastAsia" w:ascii="宋体" w:hAnsi="宋体" w:eastAsia="宋体" w:cs="宋体"/>
                <w:color w:val="auto"/>
                <w:szCs w:val="21"/>
                <w:highlight w:val="none"/>
              </w:rPr>
              <w:t>：永久监测控制点（三个或以上）埋设及维护、地基基础工程检测、桩基础检验试验、主体结构工程现场检测、结构检验、沉降监测、幕墙检验、钢结构工程检测、室内环境检测、防雷设施检测、消防检测、节能检测、智能化检测、材料进场检验、见证取样检测、高支模监测、装配式建筑所有检测监测，以及为工程验收提供依据的检测监测项目，包含施工阶段及验收阶段的各项验收及质量评定所必需的全部质量检测监测工作，同时也包括按要求出具合法有效的检测监测成果报告。因项目建设进度需要，由甲方另行委托的土壤氡检测、水土保持监测等不在本次合同范围。</w:t>
            </w:r>
          </w:p>
        </w:tc>
      </w:tr>
    </w:tbl>
    <w:p>
      <w:pPr>
        <w:rPr>
          <w:rFonts w:ascii="Arial"/>
          <w:color w:val="auto"/>
          <w:highlight w:val="none"/>
        </w:rPr>
      </w:pPr>
    </w:p>
    <w:p>
      <w:pPr>
        <w:widowControl/>
        <w:kinsoku w:val="0"/>
        <w:autoSpaceDE w:val="0"/>
        <w:autoSpaceDN w:val="0"/>
        <w:adjustRightInd w:val="0"/>
        <w:snapToGrid w:val="0"/>
        <w:spacing w:line="360" w:lineRule="auto"/>
        <w:ind w:firstLine="390" w:firstLineChars="200"/>
        <w:jc w:val="left"/>
        <w:textAlignment w:val="baseline"/>
        <w:rPr>
          <w:rFonts w:ascii="宋体" w:hAnsi="宋体" w:eastAsia="宋体" w:cs="宋体"/>
          <w:color w:val="auto"/>
          <w:spacing w:val="-2"/>
          <w:sz w:val="24"/>
          <w:highlight w:val="none"/>
        </w:rPr>
      </w:pPr>
      <w:r>
        <w:rPr>
          <w:rFonts w:ascii="宋体" w:hAnsi="宋体" w:eastAsia="宋体" w:cs="宋体"/>
          <w:b/>
          <w:bCs/>
          <w:color w:val="auto"/>
          <w:spacing w:val="-23"/>
          <w:sz w:val="24"/>
          <w:highlight w:val="none"/>
        </w:rPr>
        <w:t>2、检测的要求：</w:t>
      </w:r>
    </w:p>
    <w:p>
      <w:pPr>
        <w:widowControl/>
        <w:kinsoku w:val="0"/>
        <w:autoSpaceDE w:val="0"/>
        <w:autoSpaceDN w:val="0"/>
        <w:adjustRightInd w:val="0"/>
        <w:snapToGrid w:val="0"/>
        <w:spacing w:line="360" w:lineRule="auto"/>
        <w:ind w:firstLine="472" w:firstLineChars="200"/>
        <w:jc w:val="left"/>
        <w:textAlignment w:val="baseline"/>
        <w:rPr>
          <w:rFonts w:ascii="宋体" w:hAnsi="宋体" w:eastAsia="宋体" w:cs="宋体"/>
          <w:color w:val="auto"/>
          <w:spacing w:val="-2"/>
          <w:sz w:val="24"/>
          <w:highlight w:val="none"/>
        </w:rPr>
      </w:pPr>
      <w:r>
        <w:rPr>
          <w:rFonts w:ascii="宋体" w:hAnsi="宋体" w:eastAsia="宋体" w:cs="宋体"/>
          <w:color w:val="auto"/>
          <w:spacing w:val="-2"/>
          <w:sz w:val="24"/>
          <w:highlight w:val="none"/>
        </w:rPr>
        <w:t>乙方按照国家有关检测、监测规范和甲方的要求对甲方委托的服务项目进行检测和监</w:t>
      </w:r>
      <w:r>
        <w:rPr>
          <w:rFonts w:ascii="宋体" w:hAnsi="宋体" w:eastAsia="宋体" w:cs="宋体"/>
          <w:color w:val="auto"/>
          <w:spacing w:val="-1"/>
          <w:sz w:val="24"/>
          <w:highlight w:val="none"/>
        </w:rPr>
        <w:t>测，确保工程质量。包括但不限于以下内容：检测和监测方</w:t>
      </w:r>
      <w:r>
        <w:rPr>
          <w:rFonts w:ascii="宋体" w:hAnsi="宋体" w:eastAsia="宋体" w:cs="宋体"/>
          <w:color w:val="auto"/>
          <w:spacing w:val="-2"/>
          <w:sz w:val="24"/>
          <w:highlight w:val="none"/>
        </w:rPr>
        <w:t>案编制、方案送审（有关行政管理部门）、试验及相关需要的配套工作、编制并提交检测和监测成果报告等全部工作。</w:t>
      </w:r>
    </w:p>
    <w:p>
      <w:pPr>
        <w:pStyle w:val="10"/>
        <w:rPr>
          <w:color w:val="auto"/>
          <w:highlight w:val="none"/>
        </w:rPr>
      </w:pPr>
    </w:p>
    <w:p>
      <w:pPr>
        <w:widowControl/>
        <w:kinsoku w:val="0"/>
        <w:autoSpaceDE w:val="0"/>
        <w:autoSpaceDN w:val="0"/>
        <w:adjustRightInd w:val="0"/>
        <w:snapToGrid w:val="0"/>
        <w:spacing w:line="360" w:lineRule="auto"/>
        <w:ind w:firstLine="390" w:firstLineChars="200"/>
        <w:jc w:val="left"/>
        <w:textAlignment w:val="baseline"/>
        <w:rPr>
          <w:rFonts w:ascii="宋体" w:hAnsi="宋体" w:eastAsia="宋体" w:cs="宋体"/>
          <w:color w:val="auto"/>
          <w:sz w:val="24"/>
          <w:highlight w:val="none"/>
        </w:rPr>
      </w:pPr>
      <w:r>
        <w:rPr>
          <w:rFonts w:ascii="宋体" w:hAnsi="宋体" w:eastAsia="宋体" w:cs="宋体"/>
          <w:b/>
          <w:bCs/>
          <w:color w:val="auto"/>
          <w:spacing w:val="-23"/>
          <w:sz w:val="24"/>
          <w:highlight w:val="none"/>
        </w:rPr>
        <w:t>3、服务范围除以上工作外，还包括：</w:t>
      </w:r>
    </w:p>
    <w:p>
      <w:pPr>
        <w:widowControl/>
        <w:kinsoku w:val="0"/>
        <w:autoSpaceDE w:val="0"/>
        <w:autoSpaceDN w:val="0"/>
        <w:adjustRightInd w:val="0"/>
        <w:snapToGrid w:val="0"/>
        <w:spacing w:line="360" w:lineRule="auto"/>
        <w:ind w:firstLine="472" w:firstLineChars="200"/>
        <w:jc w:val="left"/>
        <w:textAlignment w:val="baseline"/>
        <w:rPr>
          <w:rFonts w:ascii="宋体" w:hAnsi="宋体" w:eastAsia="宋体" w:cs="宋体"/>
          <w:color w:val="auto"/>
          <w:spacing w:val="-2"/>
          <w:sz w:val="24"/>
          <w:highlight w:val="none"/>
        </w:rPr>
      </w:pPr>
      <w:r>
        <w:rPr>
          <w:rFonts w:ascii="宋体" w:hAnsi="宋体" w:eastAsia="宋体" w:cs="宋体"/>
          <w:color w:val="auto"/>
          <w:spacing w:val="-2"/>
          <w:sz w:val="24"/>
          <w:highlight w:val="none"/>
        </w:rPr>
        <w:t>建设工程主管部门、监督部门要求的具有质量监控作用的地基基础检测项目，以及为工程验收提供依据的检测项目。服务范围除以上工程检测监测、试验工作外，还包括：</w:t>
      </w:r>
    </w:p>
    <w:p>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color w:val="auto"/>
          <w:spacing w:val="-2"/>
          <w:sz w:val="24"/>
          <w:highlight w:val="none"/>
          <w:lang w:val="en-US" w:eastAsia="zh-CN"/>
        </w:rPr>
        <w:t>1</w:t>
      </w:r>
      <w:r>
        <w:rPr>
          <w:rFonts w:hint="eastAsia" w:ascii="宋体" w:hAnsi="宋体" w:eastAsia="宋体" w:cs="宋体"/>
          <w:color w:val="auto"/>
          <w:spacing w:val="-2"/>
          <w:sz w:val="24"/>
          <w:highlight w:val="none"/>
        </w:rPr>
        <w:t>）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color w:val="auto"/>
          <w:spacing w:val="-2"/>
          <w:sz w:val="24"/>
          <w:highlight w:val="none"/>
          <w:lang w:val="en-US" w:eastAsia="zh-CN"/>
        </w:rPr>
        <w:t>2</w:t>
      </w:r>
      <w:r>
        <w:rPr>
          <w:rFonts w:hint="eastAsia" w:ascii="宋体" w:hAnsi="宋体" w:eastAsia="宋体" w:cs="宋体"/>
          <w:color w:val="auto"/>
          <w:spacing w:val="-2"/>
          <w:sz w:val="24"/>
          <w:highlight w:val="none"/>
        </w:rPr>
        <w:t>）在进行监测任务的过程中与该工程相关的施工单位、监理单位、设计单位、建设主管部门等相关单位的协调工作，</w:t>
      </w:r>
      <w:r>
        <w:rPr>
          <w:rFonts w:hint="eastAsia" w:ascii="宋体" w:hAnsi="宋体" w:eastAsia="宋体" w:cs="宋体"/>
          <w:color w:val="auto"/>
          <w:spacing w:val="-2"/>
          <w:sz w:val="24"/>
          <w:highlight w:val="none"/>
          <w:lang w:eastAsia="zh-CN"/>
        </w:rPr>
        <w:t>乙方</w:t>
      </w:r>
      <w:r>
        <w:rPr>
          <w:rFonts w:hint="eastAsia" w:ascii="宋体" w:hAnsi="宋体" w:eastAsia="宋体" w:cs="宋体"/>
          <w:color w:val="auto"/>
          <w:spacing w:val="-2"/>
          <w:sz w:val="24"/>
          <w:highlight w:val="none"/>
        </w:rPr>
        <w:t>在投标报价中</w:t>
      </w:r>
      <w:r>
        <w:rPr>
          <w:rFonts w:hint="eastAsia" w:ascii="宋体" w:hAnsi="宋体" w:eastAsia="宋体" w:cs="宋体"/>
          <w:color w:val="auto"/>
          <w:spacing w:val="-2"/>
          <w:sz w:val="24"/>
          <w:highlight w:val="none"/>
          <w:lang w:val="en-US" w:eastAsia="zh-CN"/>
        </w:rPr>
        <w:t>已</w:t>
      </w:r>
      <w:r>
        <w:rPr>
          <w:rFonts w:hint="eastAsia" w:ascii="宋体" w:hAnsi="宋体" w:eastAsia="宋体" w:cs="宋体"/>
          <w:color w:val="auto"/>
          <w:spacing w:val="-2"/>
          <w:sz w:val="24"/>
          <w:highlight w:val="none"/>
        </w:rPr>
        <w:t>综合考虑该项协调工作的费用。</w:t>
      </w:r>
    </w:p>
    <w:p>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color w:val="auto"/>
          <w:spacing w:val="-2"/>
          <w:sz w:val="24"/>
          <w:highlight w:val="none"/>
          <w:lang w:val="en-US" w:eastAsia="zh-CN"/>
        </w:rPr>
        <w:t>3</w:t>
      </w:r>
      <w:r>
        <w:rPr>
          <w:rFonts w:hint="eastAsia" w:ascii="宋体" w:hAnsi="宋体" w:eastAsia="宋体" w:cs="宋体"/>
          <w:color w:val="auto"/>
          <w:spacing w:val="-2"/>
          <w:sz w:val="24"/>
          <w:highlight w:val="none"/>
        </w:rPr>
        <w:t>）监测数据的有关信息如需通过连接系统进行传输报送，</w:t>
      </w:r>
      <w:r>
        <w:rPr>
          <w:rFonts w:hint="eastAsia" w:ascii="宋体" w:hAnsi="宋体" w:eastAsia="宋体" w:cs="宋体"/>
          <w:color w:val="auto"/>
          <w:spacing w:val="-2"/>
          <w:sz w:val="24"/>
          <w:highlight w:val="none"/>
          <w:lang w:eastAsia="zh-CN"/>
        </w:rPr>
        <w:t>乙方</w:t>
      </w:r>
      <w:r>
        <w:rPr>
          <w:rFonts w:hint="eastAsia" w:ascii="宋体" w:hAnsi="宋体" w:eastAsia="宋体" w:cs="宋体"/>
          <w:color w:val="auto"/>
          <w:spacing w:val="-2"/>
          <w:sz w:val="24"/>
          <w:highlight w:val="none"/>
        </w:rPr>
        <w:t>在投标报价中</w:t>
      </w:r>
      <w:r>
        <w:rPr>
          <w:rFonts w:hint="eastAsia" w:ascii="宋体" w:hAnsi="宋体" w:eastAsia="宋体" w:cs="宋体"/>
          <w:color w:val="auto"/>
          <w:spacing w:val="-2"/>
          <w:sz w:val="24"/>
          <w:highlight w:val="none"/>
          <w:lang w:val="en-US" w:eastAsia="zh-CN"/>
        </w:rPr>
        <w:t>已</w:t>
      </w:r>
      <w:r>
        <w:rPr>
          <w:rFonts w:hint="eastAsia" w:ascii="宋体" w:hAnsi="宋体" w:eastAsia="宋体" w:cs="宋体"/>
          <w:color w:val="auto"/>
          <w:spacing w:val="-2"/>
          <w:sz w:val="24"/>
          <w:highlight w:val="none"/>
        </w:rPr>
        <w:t>综合考虑该项协调工作的费用</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lang w:val="en-US" w:eastAsia="zh-CN"/>
        </w:rPr>
        <w:t>并</w:t>
      </w:r>
      <w:r>
        <w:rPr>
          <w:rFonts w:hint="eastAsia" w:ascii="宋体" w:hAnsi="宋体" w:eastAsia="宋体" w:cs="宋体"/>
          <w:color w:val="auto"/>
          <w:spacing w:val="-2"/>
          <w:sz w:val="24"/>
          <w:highlight w:val="none"/>
        </w:rPr>
        <w:t>配合做好信息化管理工作</w:t>
      </w:r>
      <w:r>
        <w:rPr>
          <w:rFonts w:hint="eastAsia" w:ascii="宋体" w:hAnsi="宋体" w:eastAsia="宋体" w:cs="宋体"/>
          <w:color w:val="auto"/>
          <w:spacing w:val="-2"/>
          <w:sz w:val="24"/>
          <w:highlight w:val="none"/>
          <w:lang w:eastAsia="zh-CN"/>
        </w:rPr>
        <w:t>。</w:t>
      </w:r>
    </w:p>
    <w:p>
      <w:pPr>
        <w:pStyle w:val="10"/>
        <w:rPr>
          <w:rFonts w:hint="eastAsia"/>
          <w:color w:val="auto"/>
          <w:highlight w:val="none"/>
        </w:rPr>
      </w:pPr>
    </w:p>
    <w:p>
      <w:pPr>
        <w:widowControl/>
        <w:numPr>
          <w:ilvl w:val="0"/>
          <w:numId w:val="1"/>
        </w:numPr>
        <w:kinsoku w:val="0"/>
        <w:autoSpaceDE w:val="0"/>
        <w:autoSpaceDN w:val="0"/>
        <w:adjustRightInd w:val="0"/>
        <w:snapToGrid w:val="0"/>
        <w:spacing w:line="360" w:lineRule="auto"/>
        <w:ind w:firstLine="406" w:firstLineChars="200"/>
        <w:jc w:val="left"/>
        <w:textAlignment w:val="baseline"/>
        <w:rPr>
          <w:rFonts w:ascii="宋体" w:hAnsi="宋体" w:eastAsia="宋体" w:cs="宋体"/>
          <w:b/>
          <w:bCs/>
          <w:color w:val="auto"/>
          <w:spacing w:val="-19"/>
          <w:sz w:val="24"/>
          <w:highlight w:val="none"/>
        </w:rPr>
      </w:pPr>
      <w:r>
        <w:rPr>
          <w:rFonts w:ascii="宋体" w:hAnsi="宋体" w:eastAsia="宋体" w:cs="宋体"/>
          <w:b/>
          <w:bCs/>
          <w:color w:val="auto"/>
          <w:spacing w:val="-19"/>
          <w:sz w:val="24"/>
          <w:highlight w:val="none"/>
        </w:rPr>
        <w:t>工程检测的成果提交</w:t>
      </w:r>
    </w:p>
    <w:p>
      <w:pPr>
        <w:widowControl/>
        <w:kinsoku w:val="0"/>
        <w:autoSpaceDE w:val="0"/>
        <w:autoSpaceDN w:val="0"/>
        <w:adjustRightInd w:val="0"/>
        <w:snapToGrid w:val="0"/>
        <w:spacing w:line="360" w:lineRule="auto"/>
        <w:ind w:firstLine="460" w:firstLineChars="200"/>
        <w:jc w:val="left"/>
        <w:textAlignment w:val="baseline"/>
        <w:rPr>
          <w:rFonts w:ascii="宋体" w:hAnsi="宋体" w:eastAsia="宋体" w:cs="宋体"/>
          <w:color w:val="auto"/>
          <w:sz w:val="24"/>
          <w:highlight w:val="none"/>
        </w:rPr>
      </w:pPr>
      <w:r>
        <w:rPr>
          <w:rFonts w:ascii="宋体" w:hAnsi="宋体" w:eastAsia="宋体" w:cs="宋体"/>
          <w:color w:val="auto"/>
          <w:spacing w:val="-5"/>
          <w:sz w:val="24"/>
          <w:highlight w:val="none"/>
        </w:rPr>
        <w:t>（1）乙方在检测和监测工作完成后，应按甲方</w:t>
      </w:r>
      <w:r>
        <w:rPr>
          <w:rFonts w:ascii="宋体" w:hAnsi="宋体" w:eastAsia="宋体" w:cs="宋体"/>
          <w:color w:val="auto"/>
          <w:spacing w:val="-6"/>
          <w:sz w:val="24"/>
          <w:highlight w:val="none"/>
        </w:rPr>
        <w:t>要求及时提交有效的试验检测和监测报</w:t>
      </w:r>
      <w:r>
        <w:rPr>
          <w:rFonts w:ascii="宋体" w:hAnsi="宋体" w:eastAsia="宋体" w:cs="宋体"/>
          <w:color w:val="auto"/>
          <w:spacing w:val="-10"/>
          <w:sz w:val="24"/>
          <w:highlight w:val="none"/>
        </w:rPr>
        <w:t>告</w:t>
      </w:r>
      <w:r>
        <w:rPr>
          <w:rFonts w:hint="eastAsia" w:ascii="宋体" w:hAnsi="宋体" w:eastAsia="宋体" w:cs="宋体"/>
          <w:color w:val="auto"/>
          <w:spacing w:val="-10"/>
          <w:sz w:val="24"/>
          <w:highlight w:val="none"/>
        </w:rPr>
        <w:t>，</w:t>
      </w:r>
      <w:r>
        <w:rPr>
          <w:rFonts w:ascii="宋体" w:hAnsi="宋体" w:eastAsia="宋体" w:cs="宋体"/>
          <w:color w:val="auto"/>
          <w:spacing w:val="-10"/>
          <w:sz w:val="24"/>
          <w:highlight w:val="none"/>
        </w:rPr>
        <w:t>报告应在每次试验检测和监测</w:t>
      </w:r>
      <w:r>
        <w:rPr>
          <w:rFonts w:hint="eastAsia" w:ascii="宋体" w:hAnsi="宋体" w:eastAsia="宋体" w:cs="宋体"/>
          <w:color w:val="auto"/>
          <w:spacing w:val="-10"/>
          <w:sz w:val="24"/>
          <w:highlight w:val="none"/>
        </w:rPr>
        <w:t>送检</w:t>
      </w:r>
      <w:r>
        <w:rPr>
          <w:rFonts w:ascii="宋体" w:hAnsi="宋体" w:eastAsia="宋体" w:cs="宋体"/>
          <w:color w:val="auto"/>
          <w:spacing w:val="-10"/>
          <w:sz w:val="24"/>
          <w:highlight w:val="none"/>
        </w:rPr>
        <w:t>后10</w:t>
      </w:r>
      <w:r>
        <w:rPr>
          <w:rFonts w:hint="eastAsia" w:ascii="宋体" w:hAnsi="宋体" w:eastAsia="宋体" w:cs="宋体"/>
          <w:color w:val="auto"/>
          <w:spacing w:val="-10"/>
          <w:sz w:val="24"/>
          <w:highlight w:val="none"/>
        </w:rPr>
        <w:t>个自然</w:t>
      </w:r>
      <w:r>
        <w:rPr>
          <w:rFonts w:ascii="宋体" w:hAnsi="宋体" w:eastAsia="宋体" w:cs="宋体"/>
          <w:color w:val="auto"/>
          <w:spacing w:val="-10"/>
          <w:sz w:val="24"/>
          <w:highlight w:val="none"/>
        </w:rPr>
        <w:t>日内提交，一式</w:t>
      </w:r>
      <w:r>
        <w:rPr>
          <w:rFonts w:hint="eastAsia" w:ascii="宋体" w:hAnsi="宋体" w:eastAsia="宋体" w:cs="宋体"/>
          <w:color w:val="auto"/>
          <w:spacing w:val="-10"/>
          <w:sz w:val="24"/>
          <w:highlight w:val="none"/>
        </w:rPr>
        <w:t>10</w:t>
      </w:r>
      <w:r>
        <w:rPr>
          <w:rFonts w:ascii="宋体" w:hAnsi="宋体" w:eastAsia="宋体" w:cs="宋体"/>
          <w:color w:val="auto"/>
          <w:spacing w:val="-10"/>
          <w:sz w:val="24"/>
          <w:highlight w:val="none"/>
        </w:rPr>
        <w:t>份，最终报告需加盖试验</w:t>
      </w:r>
      <w:r>
        <w:rPr>
          <w:rFonts w:ascii="宋体" w:hAnsi="宋体" w:eastAsia="宋体" w:cs="宋体"/>
          <w:color w:val="auto"/>
          <w:spacing w:val="-2"/>
          <w:sz w:val="24"/>
          <w:highlight w:val="none"/>
        </w:rPr>
        <w:t>检测和监测报告专用章和计量认证章（CMA章）。</w:t>
      </w:r>
    </w:p>
    <w:p>
      <w:pPr>
        <w:widowControl/>
        <w:kinsoku w:val="0"/>
        <w:autoSpaceDE w:val="0"/>
        <w:autoSpaceDN w:val="0"/>
        <w:adjustRightInd w:val="0"/>
        <w:snapToGrid w:val="0"/>
        <w:spacing w:line="360" w:lineRule="auto"/>
        <w:ind w:firstLine="472" w:firstLineChars="200"/>
        <w:jc w:val="left"/>
        <w:textAlignment w:val="baseline"/>
        <w:rPr>
          <w:rFonts w:ascii="宋体" w:hAnsi="宋体" w:eastAsia="宋体" w:cs="宋体"/>
          <w:color w:val="auto"/>
          <w:sz w:val="24"/>
          <w:highlight w:val="none"/>
        </w:rPr>
      </w:pPr>
      <w:r>
        <w:rPr>
          <w:rFonts w:ascii="宋体" w:hAnsi="宋体" w:eastAsia="宋体" w:cs="宋体"/>
          <w:color w:val="auto"/>
          <w:spacing w:val="-2"/>
          <w:position w:val="17"/>
          <w:sz w:val="24"/>
          <w:highlight w:val="none"/>
        </w:rPr>
        <w:t>（2）所有检测和监测报告必须符合国家和地方现行的规范、标准。</w:t>
      </w:r>
    </w:p>
    <w:p>
      <w:pPr>
        <w:widowControl/>
        <w:kinsoku w:val="0"/>
        <w:autoSpaceDE w:val="0"/>
        <w:autoSpaceDN w:val="0"/>
        <w:adjustRightInd w:val="0"/>
        <w:snapToGrid w:val="0"/>
        <w:spacing w:line="360" w:lineRule="auto"/>
        <w:ind w:firstLine="460" w:firstLineChars="200"/>
        <w:jc w:val="left"/>
        <w:textAlignment w:val="baseline"/>
        <w:rPr>
          <w:rFonts w:ascii="宋体" w:hAnsi="宋体" w:eastAsia="宋体" w:cs="宋体"/>
          <w:color w:val="auto"/>
          <w:sz w:val="24"/>
          <w:highlight w:val="none"/>
        </w:rPr>
      </w:pPr>
      <w:r>
        <w:rPr>
          <w:rFonts w:ascii="宋体" w:hAnsi="宋体" w:eastAsia="宋体" w:cs="宋体"/>
          <w:color w:val="auto"/>
          <w:spacing w:val="-5"/>
          <w:sz w:val="24"/>
          <w:highlight w:val="none"/>
        </w:rPr>
        <w:t>（3）检测报告包括但不限于：</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①委托方名称，工程名称，工程地点，建设、勘察、设计、监理和施工单位，基础类型，设计要求，检测目的，检测依据，检测数量，检测日期；</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②主要岩土工程勘察资料；</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③检测对象的编号、位置和相关施工记录；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④主要检测仪器设备；</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⑤检测方法；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⑥实测与计算分析图表和检测数据汇总结果；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⑦检测过程中的异常情况描述（必要时）；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⑧检测结论。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（4）监测报告包括但不限于：</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① 项目概况；</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② 监测目的；</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③ 监测内容；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④ 监测依据；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⑤ 巡查记录；</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⑥ 监测成果数据处理分析；</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⑦ 监测结论及建议；</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⑧ 附件等。</w:t>
      </w:r>
    </w:p>
    <w:p>
      <w:pPr>
        <w:widowControl/>
        <w:kinsoku w:val="0"/>
        <w:autoSpaceDE w:val="0"/>
        <w:autoSpaceDN w:val="0"/>
        <w:adjustRightInd w:val="0"/>
        <w:snapToGrid w:val="0"/>
        <w:spacing w:line="360" w:lineRule="auto"/>
        <w:jc w:val="left"/>
        <w:textAlignment w:val="baseline"/>
        <w:rPr>
          <w:rFonts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三．合同组成文件及解释顺序：</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1、本服务合同；</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2、中标通知书；</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3、招标文件及其附件（含答疑纪要、招标文件澄清等）；</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4、图纸；</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5、标准、规范及有关技术文件；</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6、投标书及其附件（内容或条件等优于前述第3、4、5项文件的，相应内容或条件优先适用）；</w:t>
      </w:r>
    </w:p>
    <w:p>
      <w:pPr>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四．各方权利、义务</w:t>
      </w:r>
    </w:p>
    <w:p>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color w:val="auto"/>
          <w:sz w:val="24"/>
          <w:highlight w:val="none"/>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（一）甲方的权利</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1、甲方有权对乙方编制的本项目检测和监测实施方案进行审核和批准，并要求乙方进行相应修改、补充。</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乙方检测和监测人员不按检测和监测合同履行检测和监测职责的，甲方有权要求乙方更换人员，如乙方不更换或更换后的人员仍不按本合同履行检测和监测职责，甲方有权单方面解除本合同，不支付检测监测费并要求乙方承担相应的赔偿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本合同约定项目技术服务成果的知识产权归属甲方所有，除政府监督平台上传和检查需提供技术服务成果外，非经甲方书面许可，乙方不得以任何方式复制、备份、转让和利用；否则，乙方应赔偿由此给甲方造成的一切损失（</w:t>
      </w:r>
      <w:r>
        <w:rPr>
          <w:rFonts w:hint="eastAsia" w:ascii="宋体" w:hAnsi="宋体" w:eastAsia="宋体" w:cs="宋体"/>
          <w:color w:val="auto"/>
          <w:sz w:val="24"/>
          <w:highlight w:val="none"/>
          <w:lang w:val="en-US" w:eastAsia="zh-CN"/>
        </w:rPr>
        <w:t>本合同甲方损失</w:t>
      </w:r>
      <w:r>
        <w:rPr>
          <w:rFonts w:hint="eastAsia" w:ascii="宋体" w:hAnsi="宋体" w:eastAsia="宋体" w:cs="宋体"/>
          <w:color w:val="auto"/>
          <w:sz w:val="24"/>
          <w:highlight w:val="none"/>
        </w:rPr>
        <w:t>包括但不限于重新招标损失、工期延误损失</w:t>
      </w:r>
      <w:r>
        <w:rPr>
          <w:rFonts w:hint="eastAsia" w:ascii="宋体" w:hAnsi="宋体" w:eastAsia="宋体" w:cs="宋体"/>
          <w:color w:val="auto"/>
          <w:sz w:val="24"/>
          <w:highlight w:val="none"/>
          <w:lang w:val="en-US" w:eastAsia="zh-CN"/>
        </w:rPr>
        <w:t>及其他实际损失、预期可得利益损失、</w:t>
      </w:r>
      <w:r>
        <w:rPr>
          <w:rFonts w:hint="eastAsia" w:ascii="宋体" w:hAnsi="宋体" w:eastAsia="宋体" w:cs="宋体"/>
          <w:color w:val="auto"/>
          <w:sz w:val="24"/>
          <w:highlight w:val="none"/>
        </w:rPr>
        <w:t>甲方对第三方承担的违约责任及赔偿责任、</w:t>
      </w:r>
      <w:r>
        <w:rPr>
          <w:rFonts w:hint="eastAsia" w:ascii="宋体" w:hAnsi="宋体" w:eastAsia="宋体" w:cs="宋体"/>
          <w:color w:val="auto"/>
          <w:sz w:val="24"/>
          <w:highlight w:val="none"/>
          <w:lang w:val="en-US" w:eastAsia="zh-CN"/>
        </w:rPr>
        <w:t>支付的费用、补偿、罚款、</w:t>
      </w:r>
      <w:r>
        <w:rPr>
          <w:rFonts w:hint="eastAsia" w:ascii="宋体" w:hAnsi="宋体" w:eastAsia="宋体" w:cs="宋体"/>
          <w:color w:val="auto"/>
          <w:sz w:val="24"/>
          <w:highlight w:val="none"/>
        </w:rPr>
        <w:t>为维权而支付的律师费、保全费、公告费等损失）。</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（二）甲方的义务</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1、向乙方提供开展检测和监测工作所必需的设计文件、工程资料、技术资料等。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2、甲方授权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作为甲方代表，负责与乙方联系。更换联系代表，要提前通知乙方。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3、甲方应协调乙方与现场各方关系，负责提供检测监测的场地；告知驻场单位（监理单位、施工单位）对检测监测的部位及位置并做好前期配合工作。</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4、选定检测监测部位。当已选定的桩（点）位无法满足现场检测监测条件要求时，甲方应负责重新选择桩（点）位。</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5、在乙方进场前提供检测和监测所需的技术资料，包括岩土工程勘察资料、有关的设计及施工资料。对检测和监测有特别技术要求的，应以书面形式提出。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6、甲方有权亲自或派人在作业现场实施旁站式监督。</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甲方委托工程监理单位协助对本项目实行监理管理。工程监理单位的工作内容、权利与义务按双方签订的《工程监理服务合同》执行（确定承包人后，由发包人提供该合同），负责督促乙方按经审批的检测、监测方案实施，及时掌握检测、监测情况、避免检测、监测过程出现问题而影响工程质量或进度，乙方须接受、配合工程监理单位对监理工作的管理。</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甲方委托全过程造价咨询单位协助对本项目实行造价管理。造价咨询单位的工作内容、权利与义务按双方签订《全过程造价咨询服务合同》执行（确定承包人后，由发包人提供该合同），乙方须接受、配合造价咨询单位对造价工作的管理。</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7、负责协调提供以下的现场检测和监测条件：在检测、监测期间，甲方协调给乙方提供电源、水源接驳（水电使用费及其他相关费用由乙方承担），甲方协调施工方配合乙方的现场检测和监测工作，施工方须提供满足检测和监测条件要求的场地。</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8、组织本项目检测和监测成果的审查和验收，由甲方、监理人、乙方</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方对按要求完成的工作量予以签字确认。</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（三）乙方的权利</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1、有权对涉及检测和监测相关工程设计中的技术问题，按照安全和优化的原则，向甲方提出建议。</w:t>
      </w:r>
    </w:p>
    <w:p>
      <w:pPr>
        <w:spacing w:line="360" w:lineRule="auto"/>
        <w:ind w:firstLine="480" w:firstLineChars="200"/>
        <w:jc w:val="left"/>
        <w:rPr>
          <w:color w:val="auto"/>
          <w:highlight w:val="none"/>
        </w:rPr>
      </w:pPr>
      <w:r>
        <w:rPr>
          <w:rFonts w:hint="eastAsia" w:ascii="宋体" w:hAnsi="宋体" w:eastAsia="宋体" w:cs="宋体"/>
          <w:color w:val="auto"/>
          <w:sz w:val="24"/>
          <w:highlight w:val="none"/>
        </w:rPr>
        <w:t>2、有权按照保质量、保工期和降低成本的原则，向甲方提供切实可行的检测和监测实施方案。</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3、有权按照本合同的约定进行检测和监测，出具客观、准确、公正的检测和监测报告，不受甲方干涉。</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4、有权按本合同约定获得检测监测服务报酬。</w:t>
      </w:r>
    </w:p>
    <w:p>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5、乙方指派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作为项目负责人，全权负责本项目相关事宜。</w:t>
      </w:r>
    </w:p>
    <w:p>
      <w:pPr>
        <w:pStyle w:val="10"/>
        <w:rPr>
          <w:rFonts w:hint="eastAsia" w:eastAsia="宋体"/>
          <w:color w:val="auto"/>
          <w:highlight w:val="none"/>
          <w:lang w:val="en-US" w:eastAsia="zh-CN"/>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（四）乙方的义务</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乙方应在甲方提供项目基本设计资料后7日内，提交本合同约定项目的检测和监测方案，经甲方审核确定后执行，并按照有关规定送质量监督部门备案，甲以此具体考核乙方的检测和监测工作。如甲方要求乙方对检测和监测成果（含检测和监测方案）等进行合理修改调整，乙方必须在收到甲方修改调整意见之日起 1 日内，按甲方要求完成修改调整并报甲方审核。</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3、乙方必须在甲方发出进场通知之日起 24 小时内，按甲方具体的要求进场，并立即开始履行本合同约定的义务。乙方必须按照其合同文件和检测和监测方案的承诺，足额、按时派出检测监测人员和投入设备。当甲方的现场配合条件不能满足检测监测要求时，乙方可向甲方提出推迟进场申请，经甲方书面同意后方可推迟进场。</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（1）乙方必须按照合同文件的承诺建立以项目负责人（技术负责人）为主的现场管理机构。项目负责人（技术负责人）及现场管理机构主要部门负责人见合同文件中《本项目机构人员一览表》。</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（2）现场项目组人员必须在甲方发出进场通知之日起 24 小时内全部到位，并接受甲方代表的查验。在甲方发出进场通知 24 小时后，上述人员仍未全部到位的，乙方按照本合同条款第八条的有关约定承担违约责任。</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（3）乙方所投入人员应与合同文件保持一致，未经甲方书面同意不得更换。</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（4）因特殊情况需要，乙方确需更换项目负责人（技术负责人）或检测监测项目主要人员的，乙方应至少提前 7 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项目负责人（技术负责人）或检测监测项目主要人员的实际工作能力和工作表现达不到招标文件明确要求或合同文件的承诺或工作态度存在严重不足，不适应现场工作需要，甲方有权向乙方提出撤换。乙方可以提出整改意见；如甲方不予接受，或认为整改效果不明显的，则乙方必须在收到甲方撤换通知书之日起 7 天内无条件撤换，所调换人员的资质、资历、学历、职称、业绩、实际工作能力不低于本合同中所承诺人员的素质。</w:t>
      </w:r>
    </w:p>
    <w:p>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本工程实际需要，而乙方受自身的资质、资格限制无法进行检测、监测项目，乙方可进行专业（专项）检测、监测分包，乙方应提前把拟推荐的专业（专项）检测、监测分包单位报甲方审核确认。未经甲方确认的检测、监测分包单位，所提交的检测、监测报告甲方不予认可，不予支付相关的检测、监测费用，由此引起的一切后果由乙方承担。</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五．履行期限、地点和方式</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1、履行期限：从合同签订之日起到乙方按合同约定时间完成合同约定全部工作内容且本工程项目通过竣工验收之日为止。</w:t>
      </w:r>
    </w:p>
    <w:p>
      <w:pPr>
        <w:widowControl/>
        <w:kinsoku w:val="0"/>
        <w:autoSpaceDE w:val="0"/>
        <w:autoSpaceDN w:val="0"/>
        <w:adjustRightInd w:val="0"/>
        <w:snapToGrid w:val="0"/>
        <w:spacing w:line="360" w:lineRule="auto"/>
        <w:ind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2、履行地点：</w:t>
      </w:r>
      <w:r>
        <w:rPr>
          <w:rFonts w:hint="eastAsia" w:ascii="宋体" w:hAnsi="宋体" w:eastAsia="宋体" w:cs="宋体"/>
          <w:color w:val="auto"/>
          <w:sz w:val="24"/>
          <w:highlight w:val="none"/>
          <w:lang w:val="en-US" w:eastAsia="zh-CN"/>
        </w:rPr>
        <w:t>广州市南沙区</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3、进场时间由甲方确定，并提前 2 天通知乙方。</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4、检测监测工作根据甲方的安排，分批进场；检测监测工作从工程开工至服务项目全部完成，全程跟进。</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highlight w:val="none"/>
        </w:rPr>
      </w:pPr>
      <w:r>
        <w:rPr>
          <w:rFonts w:hint="eastAsia" w:ascii="宋体" w:hAnsi="宋体" w:eastAsia="宋体" w:cs="宋体"/>
          <w:b/>
          <w:bCs/>
          <w:color w:val="auto"/>
          <w:spacing w:val="-6"/>
          <w:sz w:val="28"/>
          <w:szCs w:val="28"/>
          <w:highlight w:val="none"/>
        </w:rPr>
        <w:t>六．检测和监测标准</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工程检测标准参照以下现行规范中的有关条款进行：</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1、广东省标准《建筑地基基础检测规范》DBJ/T 15-60-2019；</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2、国家行业标准《建筑基桩检测技术规范》JGJ106-2014；</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3、广东省标准《建筑地基处理技术规范》DBJ/T 15-38-2019；</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4、国家行业标准《建筑地基处理技术规范》JGJ79-2012；</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5、广东省标准《建筑地基基础设计规范》DBJ15-31-2016；</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6、国家标准《建筑地基基础设计规范》GB50007-2011；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7、国家行业标准《建筑桩基技术规范》JGJ94-2008；</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8、国家标准《混凝土结构工程施工质量验收规范》GB50204-2015；</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9、国家标准《公共场所卫生检验方法 第 1 部分：物理因素》GB/T 18204.1-2013</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、《建筑地基处理技术规范》JGJ79-2012；</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、《建筑桩基技术规范》JGJ94-2008；</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、《建筑基桩检测技术规范》JGJ106-2014；</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、《建筑基坑支护技术规程》JGJ120-2012；</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、《建筑地基基础工程施工规范》GB 51004-2015；</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、《建筑与市政工程抗震通用规范》GB 55002-2021；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、《建筑与市政地基基础通用规范》GB 55003-2021；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、《工程结构通用规范》GB 55001-2021；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、《钢结构通用规范》GB 55006-2021；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、建筑工程检测试验技术管理规范（JGJ 190-2010）；</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、建筑与市政工程施工质量控制通用规范（GB 55032-2022）；</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、建筑与市政施工现场安全卫生与职业健康通用规范（GB 55034-2022）；</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广州市住房和城乡建设局关于规范房屋建筑工程地基基础检测工作的通知</w:t>
      </w:r>
      <w:r>
        <w:rPr>
          <w:rFonts w:hint="eastAsia" w:ascii="宋体" w:hAnsi="宋体" w:eastAsia="宋体" w:cs="宋体"/>
          <w:color w:val="auto"/>
          <w:sz w:val="24"/>
          <w:highlight w:val="none"/>
          <w:lang w:eastAsia="zh-CN"/>
        </w:rPr>
        <w:t>》（穗建规字〔2025〕7号）</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广州市建设工程质量检测管理办法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、《广东省建设工程质量检测管理实施细则》</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如以上标准有关规定不统一的，以国家标准</w:t>
      </w:r>
      <w:r>
        <w:rPr>
          <w:rFonts w:hint="eastAsia" w:ascii="宋体" w:hAnsi="宋体" w:eastAsia="宋体" w:cs="宋体"/>
          <w:color w:val="auto"/>
          <w:sz w:val="24"/>
          <w:highlight w:val="none"/>
          <w:lang w:val="en-US" w:eastAsia="zh-CN"/>
        </w:rPr>
        <w:t>及要求更严格者</w:t>
      </w:r>
      <w:r>
        <w:rPr>
          <w:rFonts w:hint="eastAsia" w:ascii="宋体" w:hAnsi="宋体" w:eastAsia="宋体" w:cs="宋体"/>
          <w:color w:val="auto"/>
          <w:sz w:val="24"/>
          <w:highlight w:val="none"/>
        </w:rPr>
        <w:t>为准。</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工程监测标准参照以下现行规范中的有关条款进行：</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1、国家标准《工程测量标准》GB50026-2020；</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、行业标准《建筑变形测量规范》JGJ8-2016；</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、《工程测量通用规范》</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"http://www.csres.com/detail/371439.html" \t "http://www.csres.com/_blank"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GB 55018-2021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t>
      </w:r>
    </w:p>
    <w:p>
      <w:pPr>
        <w:widowControl/>
        <w:tabs>
          <w:tab w:val="left" w:pos="54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、《工程勘察通用规范》GB 55017-2021；</w:t>
      </w:r>
      <w:r>
        <w:rPr>
          <w:rFonts w:hint="eastAsia" w:ascii="宋体" w:hAnsi="宋体" w:eastAsia="宋体" w:cs="宋体"/>
          <w:color w:val="auto"/>
          <w:sz w:val="24"/>
          <w:highlight w:val="none"/>
          <w:lang w:eastAsia="zh-CN"/>
        </w:rPr>
        <w:tab/>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、《建筑施工安全检查标准》（JGJ 59-2011）；</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、广东省标准《高大模板支撑系统实时安全监测技术规范》DBJ/T15-197-2020</w:t>
      </w:r>
    </w:p>
    <w:p>
      <w:pPr>
        <w:pStyle w:val="10"/>
        <w:rPr>
          <w:color w:val="auto"/>
          <w:highlight w:val="none"/>
        </w:rPr>
      </w:pP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如以上标准有关规定不统一的，以国家标准</w:t>
      </w:r>
      <w:r>
        <w:rPr>
          <w:rFonts w:hint="eastAsia" w:ascii="宋体" w:hAnsi="宋体" w:eastAsia="宋体" w:cs="宋体"/>
          <w:color w:val="auto"/>
          <w:sz w:val="24"/>
          <w:highlight w:val="none"/>
          <w:lang w:val="en-US" w:eastAsia="zh-CN"/>
        </w:rPr>
        <w:t>及要求更严格者</w:t>
      </w:r>
      <w:r>
        <w:rPr>
          <w:rFonts w:hint="eastAsia" w:ascii="宋体" w:hAnsi="宋体" w:eastAsia="宋体" w:cs="宋体"/>
          <w:color w:val="auto"/>
          <w:sz w:val="24"/>
          <w:highlight w:val="none"/>
        </w:rPr>
        <w:t>为准。</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七．合同价款、承包方式及支付方式</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1、合同价款：乙方应按合同约定提供所有有效的检测和监测服务工作，甲方支付相应的检测监测费用；合同总价暂定为（含税）人民币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），其中税率为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不含税合同总价：</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2、本合同费用由乙方（联合体各方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向甲方提交合同请款资料（包括但不限于相关支付依据及相应增值税专用发票；发票抬头为</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，甲方持发票复印件做辅助账及核算等），甲方完成审核并相关款项支付给乙方</w:t>
      </w:r>
      <w:r>
        <w:rPr>
          <w:rFonts w:hint="eastAsia" w:ascii="宋体" w:hAnsi="宋体" w:eastAsia="宋体" w:cs="宋体"/>
          <w:color w:val="auto"/>
          <w:sz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3、本合同约定的价格为含税价格，合同履行期间国家税率调整或开票的实际税率与前述税率不一致的，不含税价不变，价税合计按实际税率相应调整，以开具发票的时间为准。</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4、承包方式：</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所有监测及检测项目和细目的综合单价已包括且不限于为实施和完成本项目全部试验检测监测工作所需的劳务费、材料费、技术服务费、监测及检测试验费、试验检测仪器设备使用费、机械进退场费、水电费、车辆通行费、报告编写费、各项管理费、检测配合费、保险费、其他一切建设使用费（含驻地建设费、临时用水用电费）及所有因工程质量检测应交纳的政府规费、税金以及合同明示或暗示的所有一般风险、责任和义务等，以及为完成本项目监测及检测的全部利润等所有服务费用。该综合单价在合同实施期间应保持不变，并不因劳务、材料、机械等成本的价格变动以及工程量变化及征地拆迁的影响而做任何调整。</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所有检测或监测项目，其工作内容还包括检测或监测前的准备工作及费用，检测或监测过程中发生的实物工作费、技术工作费、一切附属设施及工作内容（如：试坑开挖、桩头处理、检测加载设备、设备吊装拆卸及运输、重锤吊装拆卸及运输、汽车台班、租车台班、支架、工作棚、锚桩及焊接、电源与照明设备、现场配合人员费用以及为勘查机械开路及提供施工场面及发电费用、水费、窝工费、机械进出场费、雨季施工、淤泥处施工所需各类措施费等；此费用应综合考虑现场实际情况，进场次数因现场情况需综合考虑及未列出但正常可能会发生的费用）及检测后出具检测报告书等，都包含在综合单价内。</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（3）甲方有权根据实际情况对建设内容进行调整（检测工作量也随之调整），减少的项目无论有无替代，甲方都不予补偿。</w:t>
      </w:r>
    </w:p>
    <w:p>
      <w:pPr>
        <w:widowControl/>
        <w:numPr>
          <w:ilvl w:val="255"/>
          <w:numId w:val="0"/>
        </w:numPr>
        <w:kinsoku w:val="0"/>
        <w:autoSpaceDE w:val="0"/>
        <w:autoSpaceDN w:val="0"/>
        <w:adjustRightInd w:val="0"/>
        <w:snapToGrid w:val="0"/>
        <w:spacing w:line="360" w:lineRule="auto"/>
        <w:ind w:left="42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5、结算方式：</w:t>
      </w:r>
    </w:p>
    <w:p>
      <w:pPr>
        <w:widowControl/>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采用综合单价包干，以实际完成的检测监测工程量按实结算，甲方委托第三方造价咨询单位进行审定，若经第三方造价咨询单位审定的结算总价高于暂定合同价，则按暂定合同价作为结算价，暂定合同价按最高限价×（1-投标下浮率）。</w:t>
      </w:r>
      <w:bookmarkStart w:id="10" w:name="_GoBack"/>
      <w:bookmarkEnd w:id="10"/>
      <w:r>
        <w:rPr>
          <w:rFonts w:hint="eastAsia" w:ascii="宋体" w:hAnsi="宋体" w:eastAsia="宋体" w:cs="宋体"/>
          <w:color w:val="auto"/>
          <w:sz w:val="24"/>
          <w:highlight w:val="none"/>
        </w:rPr>
        <w:t>工程量根据经监理人、和甲方批准的检测与监测方案，并结合现场实际情况由甲方、监理人、乙方</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方进行签证确认，未经审批的工程量将不被承认。</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本工程所有检测（监测）项目的综合单价参照广东省建设工程质量安全检测和鉴定协会所发布的《广东省房屋建筑和市政工程工程质量安全检测收费指导价（第一批）》（粤建检协【2015】8号）的有关收费标准（如同一检测监测内容收费标准不一致的，按价格最低者原则计算）下浮20 %×（1-投标下浮率）进行计算。</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对于前述规定没有列明的项目类别工程检测、监测费综合单价，按甲方与乙方双方参照市场价格协商确定，以甲方审定为准。</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检测和监测服务的工作量由甲方根据乙方提出的检测和监测方案并结合现场实际情况进行确认，确认形式以甲方发出的书面的通知为准，乙方自行增加的额外工作量将不被承认。在检测监测技术成果完成后，实际工作量应经甲方、监理人、乙方</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方共同确认为准。</w:t>
      </w:r>
    </w:p>
    <w:p>
      <w:pPr>
        <w:spacing w:line="360" w:lineRule="auto"/>
        <w:ind w:firstLine="480" w:firstLineChars="200"/>
        <w:rPr>
          <w:color w:val="auto"/>
          <w:highlight w:val="none"/>
        </w:rPr>
      </w:pPr>
      <w:r>
        <w:rPr>
          <w:rFonts w:hint="eastAsia" w:ascii="宋体" w:hAnsi="宋体" w:eastAsia="宋体" w:cs="宋体"/>
          <w:color w:val="auto"/>
          <w:sz w:val="24"/>
          <w:highlight w:val="none"/>
        </w:rPr>
        <w:t>7、乙方不得转包或违法分包检测监测项目，乙方检测监测资质不能涵盖的检测监测项目报甲方批准后，由乙方委托具有相应资质的第三方实施，乙方应对该第三方出具的结果负责，并取得相应管理部门的确认。乙方与第三方对合同的履行承担连带责任。由此产生的相关费用已包含在合同价中，由乙方对该单位结算，甲方不再另行计取。</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8、合同价款的支付：</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由甲方按下列程序付款，本项目检测、监测服务费分别向乙方（联合体各方）拨付相应的检测、监测服务费，签订本合同时使用的“开户银行名称、账户名称（简称户名）及账号”为乙方（联合体各方）收取预付款及进度款的唯一账户，不得是临时账户，合同签订后原则上不得变更，变更账户须经甲方审批同意，否则甲方有权拒绝合同授予、有权停止工程款的拨付，所造成的一切后果由乙方（联合体各方）各自承担。</w:t>
      </w:r>
    </w:p>
    <w:p>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分别向乙方（联合体各方）账号汇出款项即视为甲方已履行付款义务，在协议履行过程中，因乙方（联合体各方）账户原因（包括但不限于账号被注销、被冻结等）导致乙方（联合体各方）无法收取款项的，由乙方（联合体各方）承担相应后果。</w:t>
      </w:r>
    </w:p>
    <w:p>
      <w:pPr>
        <w:pStyle w:val="8"/>
        <w:numPr>
          <w:ilvl w:val="0"/>
          <w:numId w:val="2"/>
        </w:numPr>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预付款：在本合同生效后，乙方提交付款申请及经甲方认可的等额</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中标价10%</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见索即付</w:t>
      </w:r>
      <w:r>
        <w:rPr>
          <w:rFonts w:hint="eastAsia" w:hAnsi="宋体" w:eastAsia="宋体" w:cs="宋体"/>
          <w:color w:val="auto"/>
          <w:sz w:val="24"/>
          <w:szCs w:val="24"/>
          <w:highlight w:val="none"/>
        </w:rPr>
        <w:t>《预付款银行保函》及</w:t>
      </w:r>
      <w:r>
        <w:rPr>
          <w:rFonts w:hint="eastAsia" w:hAnsi="宋体" w:eastAsia="宋体" w:cs="宋体"/>
          <w:color w:val="auto"/>
          <w:sz w:val="24"/>
          <w:szCs w:val="24"/>
          <w:highlight w:val="none"/>
          <w:lang w:val="en-US" w:eastAsia="zh-CN"/>
        </w:rPr>
        <w:t>见索即付</w:t>
      </w:r>
      <w:r>
        <w:rPr>
          <w:rFonts w:hint="eastAsia" w:hAnsi="宋体" w:eastAsia="宋体" w:cs="宋体"/>
          <w:color w:val="auto"/>
          <w:sz w:val="24"/>
          <w:szCs w:val="24"/>
          <w:highlight w:val="none"/>
        </w:rPr>
        <w:t>《履约保函》后30天内，甲方向乙方（联合体牵头方）支付中标报价的10%作为预付款。该预付款于工程正式开工6个月后（即第7个月度请款时）开始起扣，每月扣一次，分5次等额扣回。甲方在预付款扣完后的14天内将《预付款银行保函》无息退还乙方。</w:t>
      </w:r>
    </w:p>
    <w:p>
      <w:pPr>
        <w:pStyle w:val="8"/>
        <w:numPr>
          <w:ilvl w:val="0"/>
          <w:numId w:val="2"/>
        </w:numPr>
        <w:adjustRightInd w:val="0"/>
        <w:snapToGrid w:val="0"/>
        <w:spacing w:line="360" w:lineRule="auto"/>
        <w:ind w:firstLine="480" w:firstLineChars="200"/>
        <w:rPr>
          <w:rFonts w:hAnsi="宋体" w:cs="宋体"/>
          <w:snapToGrid w:val="0"/>
          <w:color w:val="auto"/>
          <w:sz w:val="24"/>
          <w:szCs w:val="24"/>
          <w:highlight w:val="none"/>
        </w:rPr>
      </w:pPr>
      <w:r>
        <w:rPr>
          <w:rFonts w:hint="eastAsia" w:hAnsi="宋体" w:cs="宋体"/>
          <w:color w:val="auto"/>
          <w:sz w:val="24"/>
          <w:szCs w:val="24"/>
          <w:highlight w:val="none"/>
        </w:rPr>
        <w:t>检测、监测</w:t>
      </w:r>
      <w:r>
        <w:rPr>
          <w:rFonts w:hint="eastAsia" w:hAnsi="宋体" w:cs="宋体"/>
          <w:snapToGrid w:val="0"/>
          <w:color w:val="auto"/>
          <w:sz w:val="24"/>
          <w:szCs w:val="24"/>
          <w:highlight w:val="none"/>
        </w:rPr>
        <w:t>服务费</w:t>
      </w:r>
      <w:r>
        <w:rPr>
          <w:rFonts w:hint="eastAsia" w:hAnsi="宋体" w:cs="宋体"/>
          <w:color w:val="auto"/>
          <w:sz w:val="24"/>
          <w:szCs w:val="24"/>
          <w:highlight w:val="none"/>
        </w:rPr>
        <w:t>按季度支付。检测、监测的计量和支付金额经甲方审批确认后，按当期的应支付检测、监测服务费的8</w:t>
      </w:r>
      <w:r>
        <w:rPr>
          <w:rFonts w:hint="eastAsia" w:hAnsi="宋体" w:eastAsia="宋体" w:cs="宋体"/>
          <w:color w:val="auto"/>
          <w:sz w:val="24"/>
          <w:szCs w:val="24"/>
          <w:highlight w:val="none"/>
        </w:rPr>
        <w:t>0</w:t>
      </w:r>
      <w:r>
        <w:rPr>
          <w:rFonts w:hint="eastAsia" w:hAnsi="宋体" w:cs="宋体"/>
          <w:color w:val="auto"/>
          <w:sz w:val="24"/>
          <w:szCs w:val="24"/>
          <w:highlight w:val="none"/>
        </w:rPr>
        <w:t>%进行支付，且累计支付不超过暂定合同价的8</w:t>
      </w:r>
      <w:r>
        <w:rPr>
          <w:rFonts w:hint="eastAsia" w:hAnsi="宋体" w:eastAsia="宋体" w:cs="宋体"/>
          <w:color w:val="auto"/>
          <w:sz w:val="24"/>
          <w:szCs w:val="24"/>
          <w:highlight w:val="none"/>
        </w:rPr>
        <w:t>0</w:t>
      </w:r>
      <w:r>
        <w:rPr>
          <w:rFonts w:hint="eastAsia" w:hAnsi="宋体" w:cs="宋体"/>
          <w:color w:val="auto"/>
          <w:sz w:val="24"/>
          <w:szCs w:val="24"/>
          <w:highlight w:val="none"/>
        </w:rPr>
        <w:t>％</w:t>
      </w:r>
      <w:r>
        <w:rPr>
          <w:rFonts w:hint="eastAsia" w:hAnsi="宋体" w:cs="宋体"/>
          <w:snapToGrid w:val="0"/>
          <w:color w:val="auto"/>
          <w:sz w:val="24"/>
          <w:szCs w:val="24"/>
          <w:highlight w:val="none"/>
        </w:rPr>
        <w:t>。</w:t>
      </w:r>
    </w:p>
    <w:p>
      <w:pPr>
        <w:pStyle w:val="8"/>
        <w:adjustRightInd w:val="0"/>
        <w:snapToGrid w:val="0"/>
        <w:spacing w:line="360" w:lineRule="auto"/>
        <w:ind w:firstLine="480" w:firstLineChars="200"/>
        <w:rPr>
          <w:rFonts w:hAnsi="宋体" w:cs="宋体"/>
          <w:snapToGrid w:val="0"/>
          <w:color w:val="auto"/>
          <w:sz w:val="24"/>
          <w:szCs w:val="24"/>
          <w:highlight w:val="none"/>
        </w:rPr>
      </w:pPr>
      <w:r>
        <w:rPr>
          <w:rFonts w:hint="eastAsia" w:hAnsi="宋体" w:eastAsia="宋体" w:cs="宋体"/>
          <w:color w:val="auto"/>
          <w:sz w:val="24"/>
          <w:highlight w:val="none"/>
        </w:rPr>
        <w:t>（3）</w:t>
      </w:r>
      <w:r>
        <w:rPr>
          <w:rFonts w:hint="eastAsia" w:hAnsi="宋体" w:eastAsia="宋体" w:cs="宋体"/>
          <w:color w:val="auto"/>
          <w:sz w:val="24"/>
          <w:szCs w:val="24"/>
          <w:highlight w:val="none"/>
        </w:rPr>
        <w:t>工程项目通过建设行政主管部门竣工验收后，</w:t>
      </w:r>
      <w:r>
        <w:rPr>
          <w:rFonts w:hint="eastAsia" w:hAnsi="宋体" w:cs="宋体"/>
          <w:color w:val="auto"/>
          <w:sz w:val="24"/>
          <w:szCs w:val="24"/>
          <w:highlight w:val="none"/>
        </w:rPr>
        <w:t>检测、监测的计量和支付金额经甲方审批确认后，支付</w:t>
      </w:r>
      <w:r>
        <w:rPr>
          <w:rFonts w:hint="eastAsia" w:hAnsi="宋体" w:eastAsia="宋体" w:cs="宋体"/>
          <w:color w:val="auto"/>
          <w:sz w:val="24"/>
          <w:szCs w:val="24"/>
          <w:highlight w:val="none"/>
        </w:rPr>
        <w:t>至甲方确认计量结果</w:t>
      </w:r>
      <w:r>
        <w:rPr>
          <w:rFonts w:hint="eastAsia" w:hAnsi="宋体" w:cs="宋体"/>
          <w:color w:val="auto"/>
          <w:sz w:val="24"/>
          <w:szCs w:val="24"/>
          <w:highlight w:val="none"/>
        </w:rPr>
        <w:t>的</w:t>
      </w:r>
      <w:r>
        <w:rPr>
          <w:rFonts w:hint="eastAsia" w:hAnsi="宋体" w:eastAsia="宋体" w:cs="宋体"/>
          <w:color w:val="auto"/>
          <w:sz w:val="24"/>
          <w:szCs w:val="24"/>
          <w:highlight w:val="none"/>
        </w:rPr>
        <w:t>95</w:t>
      </w:r>
      <w:r>
        <w:rPr>
          <w:rFonts w:hint="eastAsia" w:hAnsi="宋体" w:cs="宋体"/>
          <w:color w:val="auto"/>
          <w:sz w:val="24"/>
          <w:szCs w:val="24"/>
          <w:highlight w:val="none"/>
        </w:rPr>
        <w:t>％，且累计支付不超过暂定合同价的</w:t>
      </w:r>
      <w:r>
        <w:rPr>
          <w:rFonts w:hint="eastAsia" w:hAnsi="宋体" w:eastAsia="宋体" w:cs="宋体"/>
          <w:color w:val="auto"/>
          <w:sz w:val="24"/>
          <w:szCs w:val="24"/>
          <w:highlight w:val="none"/>
        </w:rPr>
        <w:t>95</w:t>
      </w:r>
      <w:r>
        <w:rPr>
          <w:rFonts w:hint="eastAsia" w:hAnsi="宋体" w:cs="宋体"/>
          <w:color w:val="auto"/>
          <w:sz w:val="24"/>
          <w:szCs w:val="24"/>
          <w:highlight w:val="none"/>
        </w:rPr>
        <w:t>％</w:t>
      </w:r>
      <w:r>
        <w:rPr>
          <w:rFonts w:hint="eastAsia" w:hAnsi="宋体" w:cs="宋体"/>
          <w:snapToGrid w:val="0"/>
          <w:color w:val="auto"/>
          <w:sz w:val="24"/>
          <w:szCs w:val="24"/>
          <w:highlight w:val="none"/>
        </w:rPr>
        <w:t>。</w:t>
      </w:r>
    </w:p>
    <w:p>
      <w:pPr>
        <w:pStyle w:val="8"/>
        <w:widowControl/>
        <w:kinsoku w:val="0"/>
        <w:autoSpaceDE w:val="0"/>
        <w:autoSpaceDN w:val="0"/>
        <w:adjustRightInd w:val="0"/>
        <w:snapToGrid w:val="0"/>
        <w:spacing w:line="360" w:lineRule="auto"/>
        <w:ind w:firstLine="480" w:firstLineChars="200"/>
        <w:textAlignment w:val="baseline"/>
        <w:rPr>
          <w:rFonts w:hAnsi="宋体" w:eastAsia="宋体" w:cs="宋体"/>
          <w:color w:val="auto"/>
          <w:sz w:val="24"/>
          <w:szCs w:val="24"/>
          <w:highlight w:val="none"/>
        </w:rPr>
      </w:pPr>
      <w:r>
        <w:rPr>
          <w:rFonts w:hint="eastAsia" w:hAnsi="宋体" w:eastAsia="宋体" w:cs="宋体"/>
          <w:color w:val="auto"/>
          <w:sz w:val="24"/>
          <w:highlight w:val="none"/>
        </w:rPr>
        <w:t>（4）</w:t>
      </w:r>
      <w:r>
        <w:rPr>
          <w:rFonts w:hint="eastAsia" w:hAnsi="宋体" w:cs="宋体"/>
          <w:color w:val="auto"/>
          <w:sz w:val="24"/>
          <w:highlight w:val="none"/>
        </w:rPr>
        <w:t>乙方</w:t>
      </w:r>
      <w:r>
        <w:rPr>
          <w:rFonts w:hint="eastAsia" w:hAnsi="宋体" w:cs="宋体"/>
          <w:color w:val="auto"/>
          <w:sz w:val="24"/>
          <w:szCs w:val="24"/>
          <w:highlight w:val="none"/>
        </w:rPr>
        <w:t>提交全部最终成果报告后，提交结算资料，经监理单位、</w:t>
      </w:r>
      <w:r>
        <w:rPr>
          <w:rFonts w:hint="eastAsia" w:hAnsi="宋体" w:cs="宋体"/>
          <w:snapToGrid w:val="0"/>
          <w:color w:val="auto"/>
          <w:sz w:val="24"/>
          <w:szCs w:val="24"/>
          <w:highlight w:val="none"/>
        </w:rPr>
        <w:t>造价咨询</w:t>
      </w:r>
      <w:r>
        <w:rPr>
          <w:rFonts w:hint="eastAsia" w:hAnsi="宋体" w:cs="宋体"/>
          <w:snapToGrid w:val="0"/>
          <w:color w:val="auto"/>
          <w:sz w:val="24"/>
          <w:szCs w:val="24"/>
          <w:highlight w:val="none"/>
          <w:lang w:val="en-US" w:eastAsia="zh-CN"/>
        </w:rPr>
        <w:t>单位</w:t>
      </w:r>
      <w:r>
        <w:rPr>
          <w:rFonts w:hint="eastAsia" w:hAnsi="宋体" w:cs="宋体"/>
          <w:color w:val="auto"/>
          <w:sz w:val="24"/>
          <w:szCs w:val="24"/>
          <w:highlight w:val="none"/>
        </w:rPr>
        <w:t>审核后，送甲方审定</w:t>
      </w:r>
      <w:r>
        <w:rPr>
          <w:rFonts w:hint="eastAsia" w:hAnsi="宋体" w:cs="宋体"/>
          <w:color w:val="auto"/>
          <w:sz w:val="24"/>
          <w:szCs w:val="24"/>
          <w:highlight w:val="none"/>
          <w:lang w:eastAsia="zh-CN"/>
        </w:rPr>
        <w:t>，</w:t>
      </w:r>
      <w:r>
        <w:rPr>
          <w:rFonts w:hint="eastAsia" w:hAnsi="宋体" w:cs="宋体"/>
          <w:snapToGrid w:val="0"/>
          <w:color w:val="auto"/>
          <w:sz w:val="24"/>
          <w:szCs w:val="24"/>
          <w:highlight w:val="none"/>
        </w:rPr>
        <w:t>甲方</w:t>
      </w:r>
      <w:r>
        <w:rPr>
          <w:rFonts w:hint="eastAsia" w:hAnsi="宋体" w:cs="宋体"/>
          <w:color w:val="auto"/>
          <w:sz w:val="24"/>
          <w:szCs w:val="24"/>
          <w:highlight w:val="none"/>
        </w:rPr>
        <w:t>支付至结算审定金额的100%</w:t>
      </w:r>
      <w:r>
        <w:rPr>
          <w:rFonts w:hint="eastAsia" w:hAnsi="宋体" w:cs="宋体"/>
          <w:snapToGrid w:val="0"/>
          <w:color w:val="auto"/>
          <w:sz w:val="24"/>
          <w:szCs w:val="24"/>
          <w:highlight w:val="none"/>
        </w:rPr>
        <w:t>。</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（5）本项目的检测监测费的支付均需乙方提出书面申请，甲方经办部门收到书面申请资料后 5 个工作日内给出审核意见，乙方按审核意见补充完善资料给甲方。原则上审核通过后的 30 个工作日内完成付款手续。</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（6）不论何种情况，本工程检测监测费均不计算利息。检测监测单位收款时须向甲方出具合法票据。</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9、履约担保：</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（1）履约担保的金额：中标价的10%，即为（大写）   （小写   元）</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（2）提供履约担保的时间：签订本合同时。</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（3）履约担保的形式</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乙方（可以由联合体牵头方）向甲方提交由在中国境内银行开具的无条件、不可撤销、见索即付的银行保函，担保金额为中标价的10%。提供履约保函所发生的费用由乙方承担。</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（4）履约担保期限和退还</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以竣工验收合格且乙方提交全部检测和监测报告和结算资料的28天后作为保函失效时间。担保有效期满后，甲方应在收到乙方退保申请后的14天内将此担保退还给乙方。</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color w:val="auto"/>
          <w:highlight w:val="none"/>
        </w:rPr>
      </w:pPr>
      <w:r>
        <w:rPr>
          <w:rFonts w:hint="eastAsia" w:ascii="宋体" w:hAnsi="宋体" w:eastAsia="宋体" w:cs="宋体"/>
          <w:b/>
          <w:bCs/>
          <w:color w:val="auto"/>
          <w:spacing w:val="-6"/>
          <w:sz w:val="28"/>
          <w:szCs w:val="28"/>
          <w:highlight w:val="none"/>
        </w:rPr>
        <w:t>八．违约责任</w:t>
      </w:r>
    </w:p>
    <w:p>
      <w:pPr>
        <w:widowControl/>
        <w:numPr>
          <w:ilvl w:val="0"/>
          <w:numId w:val="3"/>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乙方应严格按照设计要求及现场监理人员要求，及时到场进行工作。若乙方在合同签订后，无正当理由经甲方催促不按时进场开展工作的，乙方每次向甲方支付 10000元违约金，累计达【3】次，甲方有权解除合同；进场后累计三次未能及时提交满足合同约定标准的检测或监测报告，乙方应按合同总金额的 20%向甲方支付违约金，且甲方有权解除合同，乙方应全额返还甲方已付款项。如违约金未能弥补甲方损失的，由乙方承担赔偿责任。</w:t>
      </w:r>
    </w:p>
    <w:p>
      <w:pPr>
        <w:widowControl/>
        <w:numPr>
          <w:ilvl w:val="0"/>
          <w:numId w:val="3"/>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如乙方提交的检测或监测报告因乙方原因导致未符合政府、行业规范要求的，乙方应自付费用继续完善，直到满足质量监督部门要求为止，并承担因此给甲方造成的损失。</w:t>
      </w:r>
    </w:p>
    <w:p>
      <w:pPr>
        <w:widowControl/>
        <w:numPr>
          <w:ilvl w:val="0"/>
          <w:numId w:val="3"/>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乙方在履行本合同中所使用方案和技术，不会侵犯任何第三人的知识产权和其他合法权益。如有违反，被权利人追究法律责任的，由乙方承担赔偿责任。如造成甲方经济损失的，由乙方进行全额赔偿（包括但不限于诉讼费、调查费、律师费等费用支出）。</w:t>
      </w:r>
    </w:p>
    <w:p>
      <w:pPr>
        <w:widowControl/>
        <w:numPr>
          <w:ilvl w:val="0"/>
          <w:numId w:val="3"/>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除经双方书面同意， 任何一方不得将合同约定的义务、责任和权利全部或者部分予以转让。乙方单方将本合同下权利义务全部或部分转让的，乙方支付合同总价款 20%的违约金，且甲方有权解除本合同，不支付已产生的检测监测费用并要求乙方返还已付全部款项。如违约金未能弥补甲方损失的，由乙方承担赔偿责任。</w:t>
      </w:r>
    </w:p>
    <w:p>
      <w:pPr>
        <w:widowControl/>
        <w:numPr>
          <w:ilvl w:val="0"/>
          <w:numId w:val="3"/>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乙方对提交的服务成果质量负责，因乙方提交的服务成果导致甲方损失的，由乙方承担赔偿责任。</w:t>
      </w:r>
    </w:p>
    <w:p>
      <w:pPr>
        <w:numPr>
          <w:ilvl w:val="0"/>
          <w:numId w:val="3"/>
        </w:num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除本合同另有约定外，乙方未履行合同义务或违反合同约定，经甲方通知后未及时整改的，应支付合同总价款【20】%的违约金，且甲方有权解除本合同。违约金未能弥补甲方损失的，由乙方承担赔偿责任。</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九.合同争议</w:t>
      </w:r>
    </w:p>
    <w:p>
      <w:pPr>
        <w:widowControl/>
        <w:numPr>
          <w:ilvl w:val="255"/>
          <w:numId w:val="0"/>
        </w:numPr>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合同履行过程中出现分歧，各方应遵循平等互利和诚实信用原则，通过友好协商解决。若协商不成，任何一方可向工程所在地有管辖权的人民法院提起诉讼，适用中华人民共和国法律。</w:t>
      </w:r>
    </w:p>
    <w:p>
      <w:pPr>
        <w:widowControl/>
        <w:numPr>
          <w:ilvl w:val="0"/>
          <w:numId w:val="4"/>
        </w:numPr>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不可抗力</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不可抗力的定义：不可抗力是指合同当事人在订立合同时不可预见，在合同履行过程中不可避免、不能克服且不能提前防备的自然灾害和社会性突发事件，如地震、海啸、瘟疫、骚乱、戒严、暴动、战争情形。</w:t>
      </w:r>
    </w:p>
    <w:p>
      <w:pPr>
        <w:spacing w:line="360" w:lineRule="auto"/>
        <w:ind w:firstLine="480" w:firstLineChars="200"/>
        <w:rPr>
          <w:color w:val="auto"/>
          <w:highlight w:val="none"/>
        </w:rPr>
      </w:pPr>
      <w:r>
        <w:rPr>
          <w:rFonts w:hint="eastAsia" w:ascii="宋体" w:hAnsi="宋体" w:eastAsia="宋体" w:cs="宋体"/>
          <w:color w:val="auto"/>
          <w:sz w:val="24"/>
          <w:highlight w:val="none"/>
        </w:rPr>
        <w:t>2、不可抗力处理程序：不可抗力事项发生后，乙方应立即书面通知甲方和监理人，并在力所能及的条件下迅速采取措施，尽力减少损失，甲方应协助乙方采取相应措施。甲方或监理人认为应当暂停检测监测的，乙方应暂停检测监测的工作。不可抗力事项结束后的7天内，乙方向监理人通报受害情况和损失情况，并预计清理和修复的费用，抄送全过程造价咨询单位。不可抗力事项持续发生，乙方应每隔7天向监理人和全过程造价咨询单位报告一次受害情况。由不可抗力造成的工期、费用由甲方、乙方协商处理。</w:t>
      </w:r>
    </w:p>
    <w:p>
      <w:pPr>
        <w:widowControl/>
        <w:kinsoku w:val="0"/>
        <w:autoSpaceDE w:val="0"/>
        <w:autoSpaceDN w:val="0"/>
        <w:adjustRightInd w:val="0"/>
        <w:snapToGrid w:val="0"/>
        <w:spacing w:line="360" w:lineRule="auto"/>
        <w:ind w:firstLine="538" w:firstLineChars="200"/>
        <w:textAlignment w:val="baseline"/>
        <w:rPr>
          <w:rFonts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十一.其他</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1、为确保检测和监测结果的公正性，任何一方不得干预检测监测结果。</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乙方的设备、材料、人员等的安全及社会保险由乙方自行承担。如甲方被第三方权利人追究法律责任的，由乙方承担赔偿责任。如造成甲方经济损失的，由乙方进行全额赔偿（包括但不限于调查费、律师费等费用支出）。</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3、乙方在收取费用时提供有效等额的发票。乙方收取的费用已包括各项税费。</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4、本合同尾部地址为通知送达地址，如有变更应在三日内书面通知其他方，否则原地址送达为合法有效送达。</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5、合同自各方法定代表人或授权代表签字盖章之日起生效，如乙方在合同各方签字盖章前已按甲方要求进场作业的，则合同生效期为乙方进场作业之日。</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6、本合同一式捌份，正本甲、乙双方各执一份，副本甲方执三份，副本乙方执三份，均具有同等法律效力。附件为本合同不可分割的一部分。</w:t>
      </w: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p>
    <w:p>
      <w:pPr>
        <w:widowControl/>
        <w:kinsoku w:val="0"/>
        <w:autoSpaceDE w:val="0"/>
        <w:autoSpaceDN w:val="0"/>
        <w:adjustRightInd w:val="0"/>
        <w:snapToGrid w:val="0"/>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附件：1.《建设工程项目廉洁协议书》</w:t>
      </w:r>
    </w:p>
    <w:p>
      <w:pPr>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2.《履约银行保函》</w:t>
      </w:r>
    </w:p>
    <w:p>
      <w:pPr>
        <w:numPr>
          <w:ilvl w:val="255"/>
          <w:numId w:val="0"/>
        </w:numPr>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3.《预付款保函》</w:t>
      </w:r>
    </w:p>
    <w:p>
      <w:pPr>
        <w:numPr>
          <w:ilvl w:val="255"/>
          <w:numId w:val="0"/>
        </w:numPr>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4.《安全生产管理协议》</w:t>
      </w:r>
    </w:p>
    <w:p>
      <w:pPr>
        <w:pStyle w:val="2"/>
        <w:rPr>
          <w:color w:val="auto"/>
          <w:highlight w:val="none"/>
        </w:rPr>
      </w:pPr>
    </w:p>
    <w:p>
      <w:pPr>
        <w:widowControl/>
        <w:kinsoku w:val="0"/>
        <w:autoSpaceDE w:val="0"/>
        <w:autoSpaceDN w:val="0"/>
        <w:adjustRightInd w:val="0"/>
        <w:snapToGrid w:val="0"/>
        <w:spacing w:line="360" w:lineRule="auto"/>
        <w:textAlignment w:val="baseline"/>
        <w:rPr>
          <w:rFonts w:ascii="宋体" w:hAnsi="宋体" w:eastAsia="宋体" w:cs="宋体"/>
          <w:color w:val="auto"/>
          <w:spacing w:val="-4"/>
          <w:sz w:val="24"/>
          <w:highlight w:val="none"/>
        </w:rPr>
      </w:pPr>
    </w:p>
    <w:p>
      <w:pPr>
        <w:widowControl/>
        <w:kinsoku w:val="0"/>
        <w:autoSpaceDE w:val="0"/>
        <w:autoSpaceDN w:val="0"/>
        <w:adjustRightInd w:val="0"/>
        <w:snapToGrid w:val="0"/>
        <w:spacing w:line="360" w:lineRule="auto"/>
        <w:jc w:val="center"/>
        <w:textAlignment w:val="baseline"/>
        <w:rPr>
          <w:rFonts w:ascii="宋体" w:hAnsi="宋体" w:eastAsia="宋体" w:cs="宋体"/>
          <w:color w:val="auto"/>
          <w:sz w:val="24"/>
          <w:highlight w:val="none"/>
        </w:rPr>
        <w:sectPr>
          <w:footerReference r:id="rId3" w:type="default"/>
          <w:pgSz w:w="11907" w:h="16839"/>
          <w:pgMar w:top="1431" w:right="1243" w:bottom="1381" w:left="1258" w:header="0" w:footer="1166" w:gutter="0"/>
          <w:pgNumType w:start="1"/>
          <w:cols w:space="720" w:num="1"/>
        </w:sectPr>
      </w:pPr>
      <w:r>
        <w:rPr>
          <w:rFonts w:ascii="宋体" w:hAnsi="宋体" w:eastAsia="宋体" w:cs="宋体"/>
          <w:color w:val="auto"/>
          <w:spacing w:val="-4"/>
          <w:sz w:val="24"/>
          <w:highlight w:val="none"/>
        </w:rPr>
        <w:t>合同以下无正</w:t>
      </w:r>
      <w:r>
        <w:rPr>
          <w:rFonts w:hint="eastAsia" w:ascii="宋体" w:hAnsi="宋体" w:eastAsia="宋体" w:cs="宋体"/>
          <w:color w:val="auto"/>
          <w:spacing w:val="-4"/>
          <w:sz w:val="24"/>
          <w:highlight w:val="none"/>
        </w:rPr>
        <w:t>文</w:t>
      </w:r>
    </w:p>
    <w:p>
      <w:pPr>
        <w:spacing w:before="7"/>
        <w:rPr>
          <w:color w:val="auto"/>
          <w:highlight w:val="none"/>
        </w:rPr>
      </w:pPr>
    </w:p>
    <w:tbl>
      <w:tblPr>
        <w:tblStyle w:val="15"/>
        <w:tblW w:w="879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77"/>
        <w:gridCol w:w="401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97" w:hRule="atLeast"/>
        </w:trPr>
        <w:tc>
          <w:tcPr>
            <w:tcW w:w="4777" w:type="dxa"/>
          </w:tcPr>
          <w:p>
            <w:pPr>
              <w:pStyle w:val="14"/>
              <w:spacing w:line="219" w:lineRule="auto"/>
              <w:rPr>
                <w:color w:val="auto"/>
                <w:spacing w:val="-8"/>
                <w:highlight w:val="none"/>
                <w:lang w:eastAsia="zh-CN"/>
              </w:rPr>
            </w:pPr>
          </w:p>
          <w:p>
            <w:pPr>
              <w:pStyle w:val="14"/>
              <w:spacing w:line="219" w:lineRule="auto"/>
              <w:rPr>
                <w:color w:val="auto"/>
                <w:highlight w:val="none"/>
                <w:lang w:eastAsia="zh-CN"/>
              </w:rPr>
            </w:pPr>
            <w:r>
              <w:rPr>
                <w:color w:val="auto"/>
                <w:spacing w:val="-8"/>
                <w:highlight w:val="none"/>
                <w:lang w:eastAsia="zh-CN"/>
              </w:rPr>
              <w:t>委托人（甲方盖章</w:t>
            </w:r>
            <w:r>
              <w:rPr>
                <w:color w:val="auto"/>
                <w:highlight w:val="none"/>
                <w:lang w:eastAsia="zh-CN"/>
              </w:rPr>
              <w:t>）</w:t>
            </w:r>
            <w:r>
              <w:rPr>
                <w:color w:val="auto"/>
                <w:spacing w:val="-48"/>
                <w:highlight w:val="none"/>
                <w:lang w:eastAsia="zh-CN"/>
              </w:rPr>
              <w:t xml:space="preserve"> </w:t>
            </w:r>
            <w:r>
              <w:rPr>
                <w:color w:val="auto"/>
                <w:highlight w:val="none"/>
                <w:lang w:eastAsia="zh-CN"/>
              </w:rPr>
              <w:t>：</w:t>
            </w:r>
          </w:p>
        </w:tc>
        <w:tc>
          <w:tcPr>
            <w:tcW w:w="4014" w:type="dxa"/>
          </w:tcPr>
          <w:p>
            <w:pPr>
              <w:pStyle w:val="14"/>
              <w:spacing w:line="219" w:lineRule="auto"/>
              <w:rPr>
                <w:color w:val="auto"/>
                <w:spacing w:val="-9"/>
                <w:highlight w:val="none"/>
                <w:lang w:eastAsia="zh-CN"/>
              </w:rPr>
            </w:pPr>
          </w:p>
          <w:p>
            <w:pPr>
              <w:pStyle w:val="14"/>
              <w:spacing w:line="219" w:lineRule="auto"/>
              <w:rPr>
                <w:color w:val="auto"/>
                <w:highlight w:val="none"/>
                <w:lang w:eastAsia="zh-CN"/>
              </w:rPr>
            </w:pPr>
            <w:r>
              <w:rPr>
                <w:color w:val="auto"/>
                <w:spacing w:val="-9"/>
                <w:highlight w:val="none"/>
                <w:lang w:eastAsia="zh-CN"/>
              </w:rPr>
              <w:t>受托人（乙方盖章</w:t>
            </w:r>
            <w:r>
              <w:rPr>
                <w:color w:val="auto"/>
                <w:spacing w:val="1"/>
                <w:highlight w:val="none"/>
                <w:lang w:eastAsia="zh-CN"/>
              </w:rPr>
              <w:t>）</w:t>
            </w:r>
            <w:r>
              <w:rPr>
                <w:color w:val="auto"/>
                <w:spacing w:val="-48"/>
                <w:highlight w:val="none"/>
                <w:lang w:eastAsia="zh-CN"/>
              </w:rPr>
              <w:t xml:space="preserve"> </w:t>
            </w:r>
            <w:r>
              <w:rPr>
                <w:color w:val="auto"/>
                <w:spacing w:val="1"/>
                <w:highlight w:val="none"/>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2" w:hRule="atLeast"/>
        </w:trPr>
        <w:tc>
          <w:tcPr>
            <w:tcW w:w="4777" w:type="dxa"/>
          </w:tcPr>
          <w:p>
            <w:pPr>
              <w:pStyle w:val="14"/>
              <w:spacing w:before="127" w:line="220" w:lineRule="auto"/>
              <w:rPr>
                <w:color w:val="auto"/>
                <w:highlight w:val="none"/>
                <w:lang w:eastAsia="zh-CN"/>
              </w:rPr>
            </w:pPr>
            <w:r>
              <w:rPr>
                <w:rFonts w:hint="eastAsia"/>
                <w:b/>
                <w:bCs/>
                <w:color w:val="auto"/>
                <w:spacing w:val="-2"/>
                <w:highlight w:val="none"/>
                <w:lang w:eastAsia="zh-CN"/>
              </w:rPr>
              <w:t>广州广粮坊食品科技有限公司</w:t>
            </w:r>
          </w:p>
        </w:tc>
        <w:tc>
          <w:tcPr>
            <w:tcW w:w="4014" w:type="dxa"/>
          </w:tcPr>
          <w:p>
            <w:pPr>
              <w:rPr>
                <w:rFonts w:ascii="Arial"/>
                <w:color w:val="auto"/>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1" w:hRule="atLeast"/>
        </w:trPr>
        <w:tc>
          <w:tcPr>
            <w:tcW w:w="4777" w:type="dxa"/>
          </w:tcPr>
          <w:p>
            <w:pPr>
              <w:spacing w:line="291" w:lineRule="auto"/>
              <w:rPr>
                <w:rFonts w:ascii="Arial"/>
                <w:color w:val="auto"/>
                <w:highlight w:val="none"/>
              </w:rPr>
            </w:pPr>
          </w:p>
          <w:p>
            <w:pPr>
              <w:pStyle w:val="14"/>
              <w:spacing w:before="68" w:line="221" w:lineRule="auto"/>
              <w:ind w:left="1"/>
              <w:rPr>
                <w:color w:val="auto"/>
                <w:highlight w:val="none"/>
                <w:lang w:eastAsia="zh-CN"/>
              </w:rPr>
            </w:pPr>
            <w:r>
              <w:rPr>
                <w:color w:val="auto"/>
                <w:spacing w:val="-3"/>
                <w:highlight w:val="none"/>
                <w:lang w:eastAsia="zh-CN"/>
              </w:rPr>
              <w:t>法定代表人或签约代表：</w:t>
            </w:r>
          </w:p>
        </w:tc>
        <w:tc>
          <w:tcPr>
            <w:tcW w:w="4014" w:type="dxa"/>
          </w:tcPr>
          <w:p>
            <w:pPr>
              <w:spacing w:line="291" w:lineRule="auto"/>
              <w:rPr>
                <w:rFonts w:ascii="Arial"/>
                <w:color w:val="auto"/>
                <w:highlight w:val="none"/>
              </w:rPr>
            </w:pPr>
          </w:p>
          <w:p>
            <w:pPr>
              <w:pStyle w:val="14"/>
              <w:spacing w:before="68" w:line="221" w:lineRule="auto"/>
              <w:rPr>
                <w:color w:val="auto"/>
                <w:highlight w:val="none"/>
                <w:lang w:eastAsia="zh-CN"/>
              </w:rPr>
            </w:pPr>
            <w:r>
              <w:rPr>
                <w:color w:val="auto"/>
                <w:spacing w:val="-15"/>
                <w:highlight w:val="none"/>
                <w:lang w:eastAsia="zh-CN"/>
              </w:rPr>
              <w:t>法定代表人或签约代表：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7" w:hRule="atLeast"/>
        </w:trPr>
        <w:tc>
          <w:tcPr>
            <w:tcW w:w="4777" w:type="dxa"/>
          </w:tcPr>
          <w:p>
            <w:pPr>
              <w:pStyle w:val="14"/>
              <w:spacing w:before="96" w:line="220" w:lineRule="auto"/>
              <w:ind w:left="7"/>
              <w:rPr>
                <w:color w:val="auto"/>
                <w:highlight w:val="none"/>
              </w:rPr>
            </w:pPr>
            <w:r>
              <w:rPr>
                <w:color w:val="auto"/>
                <w:spacing w:val="-3"/>
                <w:highlight w:val="none"/>
              </w:rPr>
              <w:t>（签字或盖章）</w:t>
            </w:r>
          </w:p>
        </w:tc>
        <w:tc>
          <w:tcPr>
            <w:tcW w:w="4014" w:type="dxa"/>
          </w:tcPr>
          <w:p>
            <w:pPr>
              <w:pStyle w:val="14"/>
              <w:spacing w:before="96" w:line="220" w:lineRule="auto"/>
              <w:rPr>
                <w:color w:val="auto"/>
                <w:highlight w:val="none"/>
              </w:rPr>
            </w:pPr>
            <w:r>
              <w:rPr>
                <w:color w:val="auto"/>
                <w:spacing w:val="-3"/>
                <w:highlight w:val="none"/>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92" w:hRule="atLeast"/>
        </w:trPr>
        <w:tc>
          <w:tcPr>
            <w:tcW w:w="4777" w:type="dxa"/>
          </w:tcPr>
          <w:p>
            <w:pPr>
              <w:spacing w:line="347" w:lineRule="auto"/>
              <w:rPr>
                <w:rFonts w:ascii="Arial"/>
                <w:color w:val="auto"/>
                <w:highlight w:val="none"/>
              </w:rPr>
            </w:pPr>
          </w:p>
          <w:p>
            <w:pPr>
              <w:pStyle w:val="14"/>
              <w:spacing w:before="69" w:line="220" w:lineRule="auto"/>
              <w:ind w:left="2"/>
              <w:rPr>
                <w:color w:val="auto"/>
                <w:highlight w:val="none"/>
                <w:lang w:eastAsia="zh-CN"/>
              </w:rPr>
            </w:pPr>
            <w:r>
              <w:rPr>
                <w:color w:val="auto"/>
                <w:spacing w:val="-1"/>
                <w:highlight w:val="none"/>
                <w:lang w:eastAsia="zh-CN"/>
              </w:rPr>
              <w:t>经办人（签字或盖章</w:t>
            </w:r>
            <w:r>
              <w:rPr>
                <w:color w:val="auto"/>
                <w:spacing w:val="-12"/>
                <w:highlight w:val="none"/>
                <w:lang w:eastAsia="zh-CN"/>
              </w:rPr>
              <w:t>）：</w:t>
            </w:r>
          </w:p>
        </w:tc>
        <w:tc>
          <w:tcPr>
            <w:tcW w:w="4014" w:type="dxa"/>
          </w:tcPr>
          <w:p>
            <w:pPr>
              <w:spacing w:line="347" w:lineRule="auto"/>
              <w:rPr>
                <w:rFonts w:ascii="Arial"/>
                <w:color w:val="auto"/>
                <w:highlight w:val="none"/>
              </w:rPr>
            </w:pPr>
          </w:p>
          <w:p>
            <w:pPr>
              <w:pStyle w:val="14"/>
              <w:spacing w:before="69" w:line="220" w:lineRule="auto"/>
              <w:rPr>
                <w:color w:val="auto"/>
                <w:highlight w:val="none"/>
                <w:lang w:eastAsia="zh-CN"/>
              </w:rPr>
            </w:pPr>
            <w:r>
              <w:rPr>
                <w:color w:val="auto"/>
                <w:spacing w:val="-11"/>
                <w:highlight w:val="none"/>
                <w:lang w:eastAsia="zh-CN"/>
              </w:rPr>
              <w:t>经办人（签字或盖章</w:t>
            </w:r>
            <w:r>
              <w:rPr>
                <w:color w:val="auto"/>
                <w:spacing w:val="-32"/>
                <w:highlight w:val="none"/>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2" w:hRule="atLeast"/>
        </w:trPr>
        <w:tc>
          <w:tcPr>
            <w:tcW w:w="4777" w:type="dxa"/>
          </w:tcPr>
          <w:p>
            <w:pPr>
              <w:spacing w:line="292" w:lineRule="auto"/>
              <w:rPr>
                <w:rFonts w:ascii="Arial"/>
                <w:color w:val="auto"/>
                <w:highlight w:val="none"/>
              </w:rPr>
            </w:pPr>
          </w:p>
          <w:p>
            <w:pPr>
              <w:pStyle w:val="14"/>
              <w:spacing w:before="68" w:line="230" w:lineRule="auto"/>
              <w:rPr>
                <w:color w:val="auto"/>
                <w:highlight w:val="none"/>
              </w:rPr>
            </w:pPr>
            <w:r>
              <w:rPr>
                <w:color w:val="auto"/>
                <w:spacing w:val="-12"/>
                <w:highlight w:val="none"/>
              </w:rPr>
              <w:t>地址：</w:t>
            </w:r>
          </w:p>
        </w:tc>
        <w:tc>
          <w:tcPr>
            <w:tcW w:w="4014" w:type="dxa"/>
          </w:tcPr>
          <w:p>
            <w:pPr>
              <w:pStyle w:val="14"/>
              <w:spacing w:before="68" w:line="230" w:lineRule="auto"/>
              <w:rPr>
                <w:color w:val="auto"/>
                <w:spacing w:val="-12"/>
                <w:highlight w:val="none"/>
              </w:rPr>
            </w:pPr>
          </w:p>
          <w:p>
            <w:pPr>
              <w:pStyle w:val="14"/>
              <w:spacing w:before="68" w:line="230" w:lineRule="auto"/>
              <w:rPr>
                <w:color w:val="auto"/>
                <w:highlight w:val="none"/>
              </w:rPr>
            </w:pPr>
            <w:r>
              <w:rPr>
                <w:color w:val="auto"/>
                <w:spacing w:val="-12"/>
                <w:highlight w:val="none"/>
              </w:rPr>
              <w:t>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4" w:hRule="atLeast"/>
        </w:trPr>
        <w:tc>
          <w:tcPr>
            <w:tcW w:w="4777" w:type="dxa"/>
          </w:tcPr>
          <w:p>
            <w:pPr>
              <w:pStyle w:val="14"/>
              <w:spacing w:before="128" w:line="220" w:lineRule="auto"/>
              <w:rPr>
                <w:color w:val="auto"/>
                <w:highlight w:val="none"/>
              </w:rPr>
            </w:pPr>
          </w:p>
        </w:tc>
        <w:tc>
          <w:tcPr>
            <w:tcW w:w="4014" w:type="dxa"/>
          </w:tcPr>
          <w:p>
            <w:pPr>
              <w:rPr>
                <w:rFonts w:ascii="Arial"/>
                <w:color w:val="auto"/>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4777" w:type="dxa"/>
          </w:tcPr>
          <w:p>
            <w:pPr>
              <w:pStyle w:val="14"/>
              <w:spacing w:before="154" w:line="221" w:lineRule="auto"/>
              <w:ind w:left="16"/>
              <w:rPr>
                <w:color w:val="auto"/>
                <w:highlight w:val="none"/>
              </w:rPr>
            </w:pPr>
            <w:r>
              <w:rPr>
                <w:color w:val="auto"/>
                <w:spacing w:val="-13"/>
                <w:highlight w:val="none"/>
              </w:rPr>
              <w:t>邮编：</w:t>
            </w:r>
          </w:p>
        </w:tc>
        <w:tc>
          <w:tcPr>
            <w:tcW w:w="4014" w:type="dxa"/>
          </w:tcPr>
          <w:p>
            <w:pPr>
              <w:pStyle w:val="14"/>
              <w:spacing w:before="155" w:line="221" w:lineRule="auto"/>
              <w:rPr>
                <w:color w:val="auto"/>
                <w:highlight w:val="none"/>
              </w:rPr>
            </w:pPr>
            <w:r>
              <w:rPr>
                <w:color w:val="auto"/>
                <w:spacing w:val="-7"/>
                <w:highlight w:val="none"/>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8" w:hRule="atLeast"/>
        </w:trPr>
        <w:tc>
          <w:tcPr>
            <w:tcW w:w="4777" w:type="dxa"/>
          </w:tcPr>
          <w:p>
            <w:pPr>
              <w:pStyle w:val="14"/>
              <w:spacing w:before="156" w:line="223" w:lineRule="auto"/>
              <w:ind w:left="1"/>
              <w:rPr>
                <w:color w:val="auto"/>
                <w:highlight w:val="none"/>
              </w:rPr>
            </w:pPr>
            <w:r>
              <w:rPr>
                <w:color w:val="auto"/>
                <w:spacing w:val="7"/>
                <w:highlight w:val="none"/>
              </w:rPr>
              <w:t>联系人</w:t>
            </w:r>
            <w:r>
              <w:rPr>
                <w:rFonts w:hint="eastAsia"/>
                <w:color w:val="auto"/>
                <w:spacing w:val="7"/>
                <w:highlight w:val="none"/>
                <w:lang w:eastAsia="zh-CN"/>
              </w:rPr>
              <w:t>：</w:t>
            </w:r>
          </w:p>
        </w:tc>
        <w:tc>
          <w:tcPr>
            <w:tcW w:w="4014" w:type="dxa"/>
          </w:tcPr>
          <w:p>
            <w:pPr>
              <w:pStyle w:val="14"/>
              <w:spacing w:before="156" w:line="222" w:lineRule="auto"/>
              <w:rPr>
                <w:color w:val="auto"/>
                <w:highlight w:val="none"/>
              </w:rPr>
            </w:pPr>
            <w:r>
              <w:rPr>
                <w:color w:val="auto"/>
                <w:spacing w:val="-13"/>
                <w:highlight w:val="none"/>
              </w:rPr>
              <w:t>账号：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9" w:hRule="atLeast"/>
        </w:trPr>
        <w:tc>
          <w:tcPr>
            <w:tcW w:w="4777" w:type="dxa"/>
          </w:tcPr>
          <w:p>
            <w:pPr>
              <w:pStyle w:val="14"/>
              <w:spacing w:before="130" w:line="223" w:lineRule="auto"/>
              <w:ind w:left="25"/>
              <w:rPr>
                <w:color w:val="auto"/>
                <w:highlight w:val="none"/>
              </w:rPr>
            </w:pPr>
            <w:r>
              <w:rPr>
                <w:color w:val="auto"/>
                <w:spacing w:val="-18"/>
                <w:highlight w:val="none"/>
              </w:rPr>
              <w:t>电话：</w:t>
            </w:r>
          </w:p>
        </w:tc>
        <w:tc>
          <w:tcPr>
            <w:tcW w:w="4014" w:type="dxa"/>
          </w:tcPr>
          <w:p>
            <w:pPr>
              <w:pStyle w:val="14"/>
              <w:spacing w:before="130" w:line="221" w:lineRule="auto"/>
              <w:rPr>
                <w:color w:val="auto"/>
                <w:highlight w:val="none"/>
                <w:lang w:eastAsia="zh-CN"/>
              </w:rPr>
            </w:pPr>
            <w:r>
              <w:rPr>
                <w:color w:val="auto"/>
                <w:spacing w:val="-16"/>
                <w:highlight w:val="none"/>
                <w:lang w:eastAsia="zh-CN"/>
              </w:rPr>
              <w:t>邮编：</w:t>
            </w:r>
          </w:p>
          <w:p>
            <w:pPr>
              <w:pStyle w:val="14"/>
              <w:spacing w:before="291" w:line="537" w:lineRule="exact"/>
              <w:rPr>
                <w:color w:val="auto"/>
                <w:highlight w:val="none"/>
                <w:lang w:eastAsia="zh-CN"/>
              </w:rPr>
            </w:pPr>
            <w:r>
              <w:rPr>
                <w:color w:val="auto"/>
                <w:spacing w:val="7"/>
                <w:position w:val="25"/>
                <w:highlight w:val="none"/>
                <w:lang w:eastAsia="zh-CN"/>
              </w:rPr>
              <w:t>联系人</w:t>
            </w:r>
            <w:r>
              <w:rPr>
                <w:rFonts w:hint="eastAsia"/>
                <w:color w:val="auto"/>
                <w:spacing w:val="7"/>
                <w:position w:val="25"/>
                <w:highlight w:val="none"/>
                <w:lang w:eastAsia="zh-CN"/>
              </w:rPr>
              <w:t>：</w:t>
            </w:r>
          </w:p>
          <w:p>
            <w:pPr>
              <w:pStyle w:val="14"/>
              <w:spacing w:line="183" w:lineRule="auto"/>
              <w:rPr>
                <w:color w:val="auto"/>
                <w:highlight w:val="none"/>
                <w:lang w:eastAsia="zh-CN"/>
              </w:rPr>
            </w:pPr>
            <w:r>
              <w:rPr>
                <w:color w:val="auto"/>
                <w:spacing w:val="-18"/>
                <w:highlight w:val="none"/>
                <w:lang w:eastAsia="zh-CN"/>
              </w:rPr>
              <w:t>电话：</w:t>
            </w:r>
          </w:p>
        </w:tc>
      </w:tr>
    </w:tbl>
    <w:p>
      <w:pPr>
        <w:spacing w:line="285" w:lineRule="auto"/>
        <w:rPr>
          <w:rFonts w:ascii="Arial"/>
          <w:color w:val="auto"/>
          <w:highlight w:val="none"/>
        </w:rPr>
      </w:pPr>
    </w:p>
    <w:p>
      <w:pPr>
        <w:spacing w:line="285" w:lineRule="auto"/>
        <w:rPr>
          <w:rFonts w:ascii="Arial"/>
          <w:color w:val="auto"/>
          <w:highlight w:val="none"/>
        </w:rPr>
      </w:pPr>
    </w:p>
    <w:p>
      <w:pPr>
        <w:spacing w:line="285" w:lineRule="auto"/>
        <w:rPr>
          <w:rFonts w:ascii="Arial"/>
          <w:color w:val="auto"/>
          <w:highlight w:val="none"/>
        </w:rPr>
      </w:pPr>
    </w:p>
    <w:p>
      <w:pPr>
        <w:spacing w:line="286" w:lineRule="auto"/>
        <w:rPr>
          <w:rFonts w:ascii="Arial"/>
          <w:color w:val="auto"/>
          <w:highlight w:val="none"/>
        </w:rPr>
      </w:pPr>
    </w:p>
    <w:p>
      <w:pPr>
        <w:spacing w:before="68" w:line="221" w:lineRule="auto"/>
        <w:ind w:left="3463"/>
        <w:rPr>
          <w:rFonts w:ascii="宋体" w:hAnsi="宋体" w:eastAsia="宋体" w:cs="宋体"/>
          <w:color w:val="auto"/>
          <w:szCs w:val="21"/>
          <w:highlight w:val="none"/>
        </w:rPr>
      </w:pPr>
      <w:r>
        <w:rPr>
          <w:rFonts w:ascii="宋体" w:hAnsi="宋体" w:eastAsia="宋体" w:cs="宋体"/>
          <w:b/>
          <w:bCs/>
          <w:color w:val="auto"/>
          <w:spacing w:val="-25"/>
          <w:szCs w:val="21"/>
          <w:highlight w:val="none"/>
        </w:rPr>
        <w:t>签订日期：</w:t>
      </w:r>
      <w:r>
        <w:rPr>
          <w:rFonts w:ascii="宋体" w:hAnsi="宋体" w:eastAsia="宋体" w:cs="宋体"/>
          <w:color w:val="auto"/>
          <w:spacing w:val="13"/>
          <w:szCs w:val="21"/>
          <w:highlight w:val="none"/>
        </w:rPr>
        <w:t xml:space="preserve">     </w:t>
      </w:r>
      <w:r>
        <w:rPr>
          <w:rFonts w:ascii="宋体" w:hAnsi="宋体" w:eastAsia="宋体" w:cs="宋体"/>
          <w:b/>
          <w:bCs/>
          <w:color w:val="auto"/>
          <w:spacing w:val="-25"/>
          <w:szCs w:val="21"/>
          <w:highlight w:val="none"/>
        </w:rPr>
        <w:t>年</w:t>
      </w:r>
      <w:r>
        <w:rPr>
          <w:rFonts w:ascii="宋体" w:hAnsi="宋体" w:eastAsia="宋体" w:cs="宋体"/>
          <w:color w:val="auto"/>
          <w:spacing w:val="6"/>
          <w:szCs w:val="21"/>
          <w:highlight w:val="none"/>
        </w:rPr>
        <w:t xml:space="preserve">  </w:t>
      </w:r>
      <w:r>
        <w:rPr>
          <w:rFonts w:ascii="宋体" w:hAnsi="宋体" w:eastAsia="宋体" w:cs="宋体"/>
          <w:b/>
          <w:bCs/>
          <w:color w:val="auto"/>
          <w:spacing w:val="-25"/>
          <w:szCs w:val="21"/>
          <w:highlight w:val="none"/>
        </w:rPr>
        <w:t>月</w:t>
      </w:r>
      <w:r>
        <w:rPr>
          <w:rFonts w:ascii="宋体" w:hAnsi="宋体" w:eastAsia="宋体" w:cs="宋体"/>
          <w:color w:val="auto"/>
          <w:spacing w:val="22"/>
          <w:szCs w:val="21"/>
          <w:highlight w:val="none"/>
        </w:rPr>
        <w:t xml:space="preserve">  </w:t>
      </w:r>
      <w:r>
        <w:rPr>
          <w:rFonts w:ascii="宋体" w:hAnsi="宋体" w:eastAsia="宋体" w:cs="宋体"/>
          <w:b/>
          <w:bCs/>
          <w:color w:val="auto"/>
          <w:spacing w:val="-25"/>
          <w:szCs w:val="21"/>
          <w:highlight w:val="none"/>
        </w:rPr>
        <w:t>日</w:t>
      </w:r>
    </w:p>
    <w:p>
      <w:pPr>
        <w:spacing w:line="221" w:lineRule="auto"/>
        <w:rPr>
          <w:rFonts w:ascii="宋体" w:hAnsi="宋体" w:eastAsia="宋体" w:cs="宋体"/>
          <w:color w:val="auto"/>
          <w:szCs w:val="21"/>
          <w:highlight w:val="none"/>
        </w:rPr>
        <w:sectPr>
          <w:headerReference r:id="rId4" w:type="default"/>
          <w:footerReference r:id="rId5" w:type="default"/>
          <w:pgSz w:w="11907" w:h="16839"/>
          <w:pgMar w:top="1812" w:right="1160" w:bottom="1381" w:left="1358" w:header="1572" w:footer="1166" w:gutter="0"/>
          <w:pgNumType w:start="14"/>
          <w:cols w:space="720" w:num="1"/>
        </w:sectPr>
      </w:pPr>
    </w:p>
    <w:p>
      <w:pPr>
        <w:spacing w:before="156" w:beforeLines="50" w:line="360" w:lineRule="auto"/>
        <w:ind w:left="482" w:hanging="480" w:hangingChars="200"/>
        <w:outlineLvl w:val="9"/>
        <w:rPr>
          <w:rFonts w:hint="eastAsia" w:ascii="宋体" w:hAnsi="宋体" w:eastAsia="宋体" w:cstheme="minorBidi"/>
          <w:bCs/>
          <w:color w:val="auto"/>
          <w:sz w:val="24"/>
          <w:highlight w:val="none"/>
        </w:rPr>
      </w:pPr>
      <w:r>
        <w:rPr>
          <w:rFonts w:hint="eastAsia" w:ascii="宋体" w:hAnsi="宋体" w:eastAsia="宋体" w:cstheme="minorBidi"/>
          <w:bCs/>
          <w:color w:val="auto"/>
          <w:spacing w:val="0"/>
          <w:sz w:val="24"/>
          <w:highlight w:val="none"/>
        </w:rPr>
        <w:t>附件1</w:t>
      </w:r>
    </w:p>
    <w:p>
      <w:pPr>
        <w:spacing w:line="360" w:lineRule="auto"/>
        <w:jc w:val="center"/>
        <w:rPr>
          <w:rFonts w:ascii="微软雅黑" w:eastAsia="微软雅黑"/>
          <w:b/>
          <w:color w:val="auto"/>
          <w:sz w:val="52"/>
          <w:szCs w:val="52"/>
          <w:highlight w:val="none"/>
        </w:rPr>
      </w:pPr>
      <w:r>
        <w:rPr>
          <w:rFonts w:hint="eastAsia" w:ascii="微软雅黑" w:eastAsia="微软雅黑"/>
          <w:b/>
          <w:color w:val="auto"/>
          <w:sz w:val="52"/>
          <w:szCs w:val="52"/>
          <w:highlight w:val="none"/>
        </w:rPr>
        <w:t>建设工程项目廉洁协议书</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7938"/>
        </w:tabs>
        <w:ind w:firstLine="850" w:firstLineChars="405"/>
        <w:rPr>
          <w:color w:val="auto"/>
          <w:highlight w:val="none"/>
        </w:rPr>
      </w:pPr>
      <w:r>
        <w:rPr>
          <w:rFonts w:hint="eastAsia"/>
          <w:color w:val="auto"/>
          <w:highlight w:val="none"/>
        </w:rPr>
        <w:t xml:space="preserve">   </w:t>
      </w:r>
    </w:p>
    <w:p>
      <w:pPr>
        <w:adjustRightInd w:val="0"/>
        <w:snapToGrid w:val="0"/>
        <w:spacing w:line="480" w:lineRule="auto"/>
        <w:ind w:firstLine="864" w:firstLineChars="270"/>
        <w:rPr>
          <w:rFonts w:ascii="仿宋_GB2312" w:hAnsi="宋体" w:eastAsia="仿宋_GB2312"/>
          <w:color w:val="auto"/>
          <w:sz w:val="32"/>
          <w:szCs w:val="32"/>
          <w:highlight w:val="none"/>
          <w:u w:val="single"/>
        </w:rPr>
      </w:pPr>
      <w:r>
        <w:rPr>
          <w:rFonts w:hint="eastAsia" w:ascii="仿宋_GB2312" w:eastAsia="仿宋_GB2312"/>
          <w:color w:val="auto"/>
          <w:sz w:val="32"/>
          <w:szCs w:val="32"/>
          <w:highlight w:val="none"/>
        </w:rPr>
        <w:t xml:space="preserve">工程项目名称： </w:t>
      </w:r>
      <w:r>
        <w:rPr>
          <w:rFonts w:hint="eastAsia" w:ascii="仿宋_GB2312" w:hAnsi="宋体" w:eastAsia="仿宋_GB2312"/>
          <w:color w:val="auto"/>
          <w:sz w:val="32"/>
          <w:szCs w:val="32"/>
          <w:highlight w:val="none"/>
          <w:u w:val="single"/>
        </w:rPr>
        <w:t xml:space="preserve">                              </w:t>
      </w:r>
    </w:p>
    <w:p>
      <w:pPr>
        <w:adjustRightInd w:val="0"/>
        <w:snapToGrid w:val="0"/>
        <w:spacing w:line="480" w:lineRule="auto"/>
        <w:ind w:firstLine="864" w:firstLineChars="27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工程项目地址： </w:t>
      </w:r>
      <w:r>
        <w:rPr>
          <w:rFonts w:hint="eastAsia" w:ascii="仿宋_GB2312" w:eastAsia="仿宋_GB2312"/>
          <w:color w:val="auto"/>
          <w:sz w:val="32"/>
          <w:szCs w:val="32"/>
          <w:highlight w:val="none"/>
          <w:u w:val="single"/>
        </w:rPr>
        <w:t xml:space="preserve">                              </w:t>
      </w:r>
    </w:p>
    <w:p>
      <w:pPr>
        <w:adjustRightInd w:val="0"/>
        <w:snapToGrid w:val="0"/>
        <w:spacing w:line="480" w:lineRule="auto"/>
        <w:ind w:firstLine="864" w:firstLineChars="27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甲方（发包人）：</w:t>
      </w:r>
      <w:r>
        <w:rPr>
          <w:rFonts w:hint="eastAsia" w:ascii="仿宋_GB2312" w:eastAsia="仿宋_GB2312"/>
          <w:color w:val="auto"/>
          <w:sz w:val="32"/>
          <w:szCs w:val="32"/>
          <w:highlight w:val="none"/>
          <w:u w:val="single"/>
        </w:rPr>
        <w:t xml:space="preserve">                              </w:t>
      </w:r>
    </w:p>
    <w:p>
      <w:pPr>
        <w:adjustRightInd w:val="0"/>
        <w:snapToGrid w:val="0"/>
        <w:spacing w:line="480" w:lineRule="auto"/>
        <w:ind w:firstLine="864" w:firstLineChars="270"/>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乙方（承包人）：</w:t>
      </w:r>
      <w:r>
        <w:rPr>
          <w:rFonts w:hint="eastAsia" w:ascii="仿宋_GB2312" w:eastAsia="仿宋_GB2312"/>
          <w:color w:val="auto"/>
          <w:sz w:val="32"/>
          <w:szCs w:val="32"/>
          <w:highlight w:val="none"/>
          <w:u w:val="single"/>
        </w:rPr>
        <w:t xml:space="preserve">                              </w:t>
      </w:r>
    </w:p>
    <w:p>
      <w:pPr>
        <w:widowControl/>
        <w:jc w:val="left"/>
        <w:rPr>
          <w:color w:val="auto"/>
          <w:highlight w:val="none"/>
        </w:rPr>
      </w:pPr>
      <w:r>
        <w:rPr>
          <w:color w:val="auto"/>
          <w:highlight w:val="none"/>
        </w:rPr>
        <w:br w:type="page"/>
      </w:r>
    </w:p>
    <w:p>
      <w:pPr>
        <w:adjustRightInd w:val="0"/>
        <w:snapToGrid w:val="0"/>
        <w:spacing w:line="560" w:lineRule="exact"/>
        <w:jc w:val="center"/>
        <w:rPr>
          <w:rFonts w:ascii="微软雅黑" w:eastAsia="微软雅黑"/>
          <w:color w:val="auto"/>
          <w:sz w:val="44"/>
          <w:szCs w:val="44"/>
          <w:highlight w:val="none"/>
        </w:rPr>
      </w:pPr>
    </w:p>
    <w:p>
      <w:pPr>
        <w:adjustRightInd w:val="0"/>
        <w:snapToGrid w:val="0"/>
        <w:spacing w:line="560" w:lineRule="exact"/>
        <w:jc w:val="center"/>
        <w:rPr>
          <w:rFonts w:ascii="微软雅黑" w:eastAsia="微软雅黑"/>
          <w:color w:val="auto"/>
          <w:sz w:val="44"/>
          <w:szCs w:val="44"/>
          <w:highlight w:val="none"/>
        </w:rPr>
      </w:pPr>
      <w:r>
        <w:rPr>
          <w:rFonts w:hint="eastAsia" w:ascii="微软雅黑" w:eastAsia="微软雅黑"/>
          <w:color w:val="auto"/>
          <w:sz w:val="44"/>
          <w:szCs w:val="44"/>
          <w:highlight w:val="none"/>
        </w:rPr>
        <w:t>建设工程项目廉洁协议书</w:t>
      </w:r>
    </w:p>
    <w:p>
      <w:pPr>
        <w:adjustRightInd w:val="0"/>
        <w:snapToGrid w:val="0"/>
        <w:spacing w:line="560" w:lineRule="exact"/>
        <w:ind w:firstLine="880"/>
        <w:jc w:val="center"/>
        <w:rPr>
          <w:rFonts w:ascii="微软雅黑" w:eastAsia="微软雅黑"/>
          <w:color w:val="auto"/>
          <w:sz w:val="44"/>
          <w:szCs w:val="44"/>
          <w:highlight w:val="none"/>
        </w:rPr>
      </w:pPr>
    </w:p>
    <w:p>
      <w:pPr>
        <w:adjustRightInd w:val="0"/>
        <w:snapToGrid w:val="0"/>
        <w:spacing w:line="560" w:lineRule="exact"/>
        <w:ind w:firstLine="640" w:firstLineChars="200"/>
        <w:jc w:val="left"/>
        <w:rPr>
          <w:rFonts w:ascii="仿宋_GB2312" w:eastAsia="仿宋_GB2312"/>
          <w:color w:val="auto"/>
          <w:spacing w:val="8"/>
          <w:sz w:val="32"/>
          <w:szCs w:val="32"/>
          <w:highlight w:val="none"/>
        </w:rPr>
      </w:pPr>
      <w:r>
        <w:rPr>
          <w:rFonts w:hint="eastAsia" w:ascii="仿宋_GB2312" w:eastAsia="仿宋_GB2312"/>
          <w:color w:val="auto"/>
          <w:sz w:val="32"/>
          <w:szCs w:val="32"/>
          <w:highlight w:val="none"/>
        </w:rPr>
        <w:t>为加强建设工程项目廉洁风险防控，促进承发包方规范履职，廉洁从业，保证“工程优质、人员优秀、资金安全”，有效实现投资目标，保护承发包双方权益，根据国家有关法律法规和中央、省、市纪委廉洁建设有关规定</w:t>
      </w:r>
      <w:r>
        <w:rPr>
          <w:rFonts w:hint="eastAsia" w:ascii="仿宋_GB2312" w:eastAsia="仿宋_GB2312"/>
          <w:color w:val="auto"/>
          <w:spacing w:val="-8"/>
          <w:sz w:val="32"/>
          <w:szCs w:val="32"/>
          <w:highlight w:val="none"/>
        </w:rPr>
        <w:t>，发包人（</w:t>
      </w:r>
      <w:r>
        <w:rPr>
          <w:rFonts w:hint="eastAsia" w:ascii="仿宋_GB2312" w:eastAsia="仿宋_GB2312"/>
          <w:color w:val="auto"/>
          <w:sz w:val="32"/>
          <w:szCs w:val="32"/>
          <w:highlight w:val="none"/>
        </w:rPr>
        <w:t>甲方）</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与承包人（乙方）</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就《</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合同》及相关联的建设工程项目订立本廉洁协议书，以资双方共同遵照执行。</w:t>
      </w:r>
    </w:p>
    <w:p>
      <w:pPr>
        <w:adjustRightInd w:val="0"/>
        <w:snapToGrid w:val="0"/>
        <w:spacing w:line="560" w:lineRule="exact"/>
        <w:rPr>
          <w:rFonts w:ascii="仿宋_GB2312" w:eastAsia="仿宋_GB2312"/>
          <w:b/>
          <w:color w:val="auto"/>
          <w:sz w:val="32"/>
          <w:szCs w:val="32"/>
          <w:highlight w:val="none"/>
        </w:rPr>
      </w:pPr>
      <w:r>
        <w:rPr>
          <w:rFonts w:hint="eastAsia" w:ascii="仿宋_GB2312" w:eastAsia="仿宋_GB2312"/>
          <w:color w:val="auto"/>
          <w:sz w:val="32"/>
          <w:szCs w:val="32"/>
          <w:highlight w:val="none"/>
        </w:rPr>
        <w:t xml:space="preserve">    </w:t>
      </w:r>
      <w:r>
        <w:rPr>
          <w:rFonts w:hint="eastAsia" w:ascii="仿宋_GB2312" w:eastAsia="仿宋_GB2312"/>
          <w:b/>
          <w:color w:val="auto"/>
          <w:sz w:val="32"/>
          <w:szCs w:val="32"/>
          <w:highlight w:val="none"/>
        </w:rPr>
        <w:t>第一条  甲乙双方的权利和义务</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（一）严格遵守国家关于市场准入、招标投标、工程建设、物资采购等市场经济活动的法律法规、政策以及廉洁建设规定。</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（二）严格遵守招投标相关法律法规及甲方关于招投标的规定。前述合同签订后，双方严格执行合同文件，自觉履行合同约定的相关职责和义务。</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三）业务活动必须坚持公平、公开、公正、诚信、守信的原则，不得就前述合同中的质量、数量、价格、工程量和验收等条款进行私下商谈或者达成默契，不得为获取不正当利益达成私下协议，不得损害国家和集体利益。</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（四）建立健全廉洁制度，开展廉洁教育，在工程施工现场设立廉洁信息公示栏，公布举报电话及监督方式。</w:t>
      </w:r>
    </w:p>
    <w:p>
      <w:pPr>
        <w:adjustRightInd w:val="0"/>
        <w:snapToGrid w:val="0"/>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（五）发现对方在业务活动中有违反廉洁规定的行为或严重违反合同义务条款的行为，应及时提醒对方纠正。情节严重的，应向其上级相关部门反映和举报，相关部门处理的结果应及时向对方通报。</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（六）不得与相关权利方和利益方勾肩搭背，内外勾结，在本工程项目建设过程中非法谋利。</w:t>
      </w:r>
    </w:p>
    <w:p>
      <w:pPr>
        <w:adjustRightInd w:val="0"/>
        <w:snapToGrid w:val="0"/>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（七）不得通过说情、批示、打招呼、暗示或强迫命令等形式，干扰、妨碍本建设工程项目业务活动。</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（八）不得干扰、妨碍查处本建设工程项目中的违规违纪违法行为。</w:t>
      </w:r>
    </w:p>
    <w:p>
      <w:pPr>
        <w:adjustRightInd w:val="0"/>
        <w:snapToGrid w:val="0"/>
        <w:spacing w:line="560" w:lineRule="exact"/>
        <w:rPr>
          <w:rFonts w:ascii="仿宋_GB2312" w:eastAsia="仿宋_GB2312"/>
          <w:b/>
          <w:color w:val="auto"/>
          <w:sz w:val="32"/>
          <w:szCs w:val="32"/>
          <w:highlight w:val="none"/>
        </w:rPr>
      </w:pPr>
      <w:r>
        <w:rPr>
          <w:rFonts w:hint="eastAsia" w:ascii="仿宋_GB2312" w:eastAsia="仿宋_GB2312"/>
          <w:color w:val="auto"/>
          <w:sz w:val="32"/>
          <w:szCs w:val="32"/>
          <w:highlight w:val="none"/>
        </w:rPr>
        <w:t xml:space="preserve">    </w:t>
      </w:r>
      <w:r>
        <w:rPr>
          <w:rFonts w:hint="eastAsia" w:ascii="仿宋_GB2312" w:eastAsia="仿宋_GB2312"/>
          <w:b/>
          <w:color w:val="auto"/>
          <w:sz w:val="32"/>
          <w:szCs w:val="32"/>
          <w:highlight w:val="none"/>
        </w:rPr>
        <w:t>第二条  甲方的义务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甲方及甲方领导人员和从事本建设工程项目的工作人员（以下简称“甲方相关人员”），在工程建设的事前、事中和事后都须遵守以下规定：</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（一）甲方及甲方相关人员应按照公平、公正、公开和诚实守信的原则开展工作，为乙方提供公平的竞争环境与平台；</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（五）甲方相关人员不得利用职务之便收受乙方以回扣、手续费、加班费、咨询费、劳务费、协调费、辛苦费等各种名义给予或赠送的钱物；不得接受乙方给予或赠送的干股或红利；</w:t>
      </w:r>
    </w:p>
    <w:p>
      <w:pPr>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（六）甲方相关人员不得安排其父母、配偶、子女及其他特定关系人从事与甲方有关的工程材料设备供应、工程分包、劳务等经济活动；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（七）甲方相关人员不得利用职权从事各种有偿中介活动和安排施工队伍，不得以任何理由向承包人推荐分包单位或推销材料，不得要求承包人购买前述合同约定外的材料和设备；</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（八）甲方及甲方相关人员不得违反国家法律法规党内规章制度及甲方内部的其他禁止性规定。</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第三条  乙方的义务</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b/>
          <w:color w:val="auto"/>
          <w:sz w:val="32"/>
          <w:szCs w:val="32"/>
          <w:highlight w:val="none"/>
        </w:rPr>
        <w:t xml:space="preserve">    </w:t>
      </w:r>
      <w:r>
        <w:rPr>
          <w:rFonts w:hint="eastAsia" w:ascii="仿宋_GB2312" w:eastAsia="仿宋_GB2312"/>
          <w:color w:val="auto"/>
          <w:sz w:val="32"/>
          <w:szCs w:val="32"/>
          <w:highlight w:val="none"/>
        </w:rPr>
        <w:t>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pPr>
        <w:adjustRightInd w:val="0"/>
        <w:snapToGrid w:val="0"/>
        <w:spacing w:line="56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（一）乙方及乙方相关人员不得在工程招投标阶段以违反国家法律法规、党章党纪规定的方式获取不正当利益；</w:t>
      </w:r>
    </w:p>
    <w:p>
      <w:pPr>
        <w:adjustRightInd w:val="0"/>
        <w:snapToGrid w:val="0"/>
        <w:spacing w:line="56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pPr>
        <w:adjustRightInd w:val="0"/>
        <w:snapToGrid w:val="0"/>
        <w:spacing w:line="56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（三）乙方及乙方相关人员不得因前述合同履行向甲方、甲方相关人员及其亲属有输送利益的行为；</w:t>
      </w:r>
    </w:p>
    <w:p>
      <w:pPr>
        <w:adjustRightInd w:val="0"/>
        <w:snapToGrid w:val="0"/>
        <w:spacing w:line="56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（四）乙方及乙方相关人员不得为甲方、甲方相关人员及其亲属个人购置或提供通讯工具和高档办公用品等物品，也不得为甲方相关人员提供与工作无关的不动产、交通工具等；</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（五）乙方及乙方相关人员不得以回扣、手续费、加班费、咨询费、劳务费、协调费、辛苦费等各种名义向甲方及甲方相关人员给予或赠送钱物；不得向甲方及甲方相关人员提供干股或红利；</w:t>
      </w:r>
    </w:p>
    <w:p>
      <w:pPr>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（六）乙方及乙方相关人员不得以谋取非正当利益为目的，擅自与甲方或甲方相关人员就与本建设工程项目有关的业务问题进行私下商谈或者达成利益默契；</w:t>
      </w:r>
    </w:p>
    <w:p>
      <w:pPr>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（七）乙方及乙方相关人员不得违反国家法律法规及党内规章制度的其他禁止性规定；</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（八）乙方或乙方相关人员发现甲方相关人员有违反本廉洁协议书规定的，应向甲方举报。</w:t>
      </w:r>
    </w:p>
    <w:p>
      <w:pPr>
        <w:spacing w:line="56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第四条  违约责任</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（一）甲方及甲方相关人员违反本廉洁协议书第一、二条，按管理权限，依据有关规定给予党纪、政纪或组织处理；涉嫌犯罪的，移交司法机关追究刑事责任；给乙方造成经济损失的，应予以赔偿。</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甲方举报投诉联系部门：广州岭南商旅投资集团有限公司纪检监察室，联系电话：86266672；广州市粮食集团有限责任公司纪委办公室，联系电话：83339110。</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（三）乙方及乙方相关人员违反本廉洁协议书第一、三条，甲方有权扣除乙方依据前述合同支付的全部履约保证金或要求乙方支付该合同总金额20%的违约金作为处罚。</w:t>
      </w:r>
    </w:p>
    <w:p>
      <w:pPr>
        <w:adjustRightInd w:val="0"/>
        <w:snapToGrid w:val="0"/>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r>
        <w:rPr>
          <w:rFonts w:hint="eastAsia" w:ascii="仿宋_GB2312" w:eastAsia="仿宋_GB2312"/>
          <w:b/>
          <w:color w:val="auto"/>
          <w:sz w:val="32"/>
          <w:szCs w:val="32"/>
          <w:highlight w:val="none"/>
        </w:rPr>
        <w:t>第五条</w:t>
      </w:r>
      <w:r>
        <w:rPr>
          <w:rFonts w:hint="eastAsia" w:ascii="仿宋_GB2312" w:eastAsia="仿宋_GB2312"/>
          <w:color w:val="auto"/>
          <w:sz w:val="32"/>
          <w:szCs w:val="32"/>
          <w:highlight w:val="none"/>
        </w:rPr>
        <w:t xml:space="preserve">  本廉洁协议书由双方或双方上级单位负责监督。可由甲方或甲方上级单位的纪检监察部门约请乙方或乙方上级单位对本廉洁协议书履行情况进行检查。</w:t>
      </w:r>
    </w:p>
    <w:p>
      <w:pPr>
        <w:adjustRightInd w:val="0"/>
        <w:snapToGrid w:val="0"/>
        <w:spacing w:line="560" w:lineRule="exact"/>
        <w:ind w:firstLine="626" w:firstLineChars="195"/>
        <w:rPr>
          <w:rFonts w:ascii="仿宋_GB2312" w:eastAsia="仿宋_GB2312"/>
          <w:color w:val="auto"/>
          <w:sz w:val="32"/>
          <w:szCs w:val="32"/>
          <w:highlight w:val="none"/>
        </w:rPr>
      </w:pPr>
      <w:r>
        <w:rPr>
          <w:rFonts w:hint="eastAsia" w:ascii="仿宋_GB2312" w:eastAsia="仿宋_GB2312"/>
          <w:b/>
          <w:color w:val="auto"/>
          <w:sz w:val="32"/>
          <w:szCs w:val="32"/>
          <w:highlight w:val="none"/>
        </w:rPr>
        <w:t>第六条</w:t>
      </w:r>
      <w:r>
        <w:rPr>
          <w:rFonts w:hint="eastAsia" w:ascii="仿宋_GB2312" w:eastAsia="仿宋_GB2312"/>
          <w:color w:val="auto"/>
          <w:sz w:val="32"/>
          <w:szCs w:val="32"/>
          <w:highlight w:val="none"/>
        </w:rPr>
        <w:t xml:space="preserve">  本协议作为前述合同的附件，并具有同等的法律效力，经合同双方签署立即生效。</w:t>
      </w:r>
    </w:p>
    <w:p>
      <w:pPr>
        <w:adjustRightInd w:val="0"/>
        <w:snapToGrid w:val="0"/>
        <w:spacing w:line="560" w:lineRule="exact"/>
        <w:ind w:firstLine="626" w:firstLineChars="195"/>
        <w:rPr>
          <w:rFonts w:ascii="仿宋_GB2312" w:eastAsia="仿宋_GB2312"/>
          <w:color w:val="auto"/>
          <w:sz w:val="32"/>
          <w:szCs w:val="32"/>
          <w:highlight w:val="none"/>
        </w:rPr>
      </w:pPr>
      <w:r>
        <w:rPr>
          <w:rFonts w:hint="eastAsia" w:ascii="仿宋_GB2312" w:eastAsia="仿宋_GB2312"/>
          <w:b/>
          <w:color w:val="auto"/>
          <w:sz w:val="32"/>
          <w:szCs w:val="32"/>
          <w:highlight w:val="none"/>
        </w:rPr>
        <w:t>第七条</w:t>
      </w:r>
      <w:r>
        <w:rPr>
          <w:rFonts w:hint="eastAsia" w:ascii="仿宋_GB2312" w:eastAsia="仿宋_GB2312"/>
          <w:color w:val="auto"/>
          <w:sz w:val="32"/>
          <w:szCs w:val="32"/>
          <w:highlight w:val="none"/>
        </w:rPr>
        <w:t xml:space="preserve">  本协议一式两份，由甲乙双方各执一份。</w:t>
      </w:r>
    </w:p>
    <w:p>
      <w:pPr>
        <w:ind w:firstLine="643" w:firstLineChars="200"/>
        <w:rPr>
          <w:rFonts w:ascii="仿宋_GB2312" w:eastAsia="仿宋_GB2312"/>
          <w:b/>
          <w:color w:val="auto"/>
          <w:sz w:val="32"/>
          <w:szCs w:val="32"/>
          <w:highlight w:val="none"/>
        </w:rPr>
      </w:pPr>
    </w:p>
    <w:p>
      <w:pPr>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甲乙双方确认在签订本廉洁协议书前已仔细阅读条款内容，甲乙双方对本廉洁协议书所产生的法律责任已清楚知悉并承诺遵守。</w:t>
      </w:r>
    </w:p>
    <w:p>
      <w:pPr>
        <w:adjustRightInd w:val="0"/>
        <w:snapToGrid w:val="0"/>
        <w:spacing w:line="560" w:lineRule="exact"/>
        <w:ind w:firstLine="624" w:firstLineChars="195"/>
        <w:rPr>
          <w:rFonts w:ascii="仿宋_GB2312" w:eastAsia="仿宋_GB2312"/>
          <w:color w:val="auto"/>
          <w:sz w:val="32"/>
          <w:szCs w:val="32"/>
          <w:highlight w:val="none"/>
        </w:rPr>
      </w:pPr>
    </w:p>
    <w:p>
      <w:pPr>
        <w:adjustRightInd w:val="0"/>
        <w:snapToGrid w:val="0"/>
        <w:spacing w:line="600" w:lineRule="auto"/>
        <w:rPr>
          <w:rFonts w:ascii="仿宋_GB2312" w:eastAsia="仿宋_GB2312"/>
          <w:color w:val="auto"/>
          <w:sz w:val="32"/>
          <w:szCs w:val="32"/>
          <w:highlight w:val="none"/>
        </w:rPr>
      </w:pPr>
    </w:p>
    <w:p>
      <w:pPr>
        <w:pStyle w:val="16"/>
        <w:adjustRightInd w:val="0"/>
        <w:snapToGrid w:val="0"/>
        <w:spacing w:line="360" w:lineRule="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甲  方（盖章）：             乙  方（盖章）：</w:t>
      </w:r>
    </w:p>
    <w:p>
      <w:pPr>
        <w:adjustRightInd w:val="0"/>
        <w:snapToGrid w:val="0"/>
        <w:spacing w:line="360" w:lineRule="auto"/>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法定代表人签字：             法定代表人签字：</w:t>
      </w:r>
    </w:p>
    <w:p>
      <w:pPr>
        <w:adjustRightInd w:val="0"/>
        <w:snapToGrid w:val="0"/>
        <w:spacing w:line="360" w:lineRule="auto"/>
        <w:rPr>
          <w:rFonts w:ascii="仿宋_GB2312" w:eastAsia="仿宋_GB2312"/>
          <w:color w:val="auto"/>
          <w:sz w:val="32"/>
          <w:szCs w:val="32"/>
          <w:highlight w:val="none"/>
        </w:rPr>
      </w:pPr>
      <w:r>
        <w:rPr>
          <w:rFonts w:hint="eastAsia" w:ascii="仿宋_GB2312" w:eastAsia="仿宋_GB2312"/>
          <w:color w:val="auto"/>
          <w:spacing w:val="-6"/>
          <w:sz w:val="32"/>
          <w:szCs w:val="32"/>
          <w:highlight w:val="none"/>
        </w:rPr>
        <w:t>（或）授权代表签字：</w:t>
      </w:r>
      <w:r>
        <w:rPr>
          <w:rFonts w:hint="eastAsia" w:ascii="仿宋_GB2312" w:eastAsia="仿宋_GB2312"/>
          <w:color w:val="auto"/>
          <w:sz w:val="32"/>
          <w:szCs w:val="32"/>
          <w:highlight w:val="none"/>
        </w:rPr>
        <w:t xml:space="preserve">         </w:t>
      </w:r>
      <w:r>
        <w:rPr>
          <w:rFonts w:hint="eastAsia" w:ascii="仿宋_GB2312" w:eastAsia="仿宋_GB2312"/>
          <w:color w:val="auto"/>
          <w:spacing w:val="-6"/>
          <w:sz w:val="32"/>
          <w:szCs w:val="32"/>
          <w:highlight w:val="none"/>
        </w:rPr>
        <w:t>（或）授权代表签字：</w:t>
      </w:r>
    </w:p>
    <w:p>
      <w:pPr>
        <w:spacing w:line="560" w:lineRule="exact"/>
        <w:rPr>
          <w:color w:val="auto"/>
          <w:highlight w:val="none"/>
        </w:rPr>
      </w:pPr>
      <w:r>
        <w:rPr>
          <w:rFonts w:hint="eastAsia" w:ascii="仿宋_GB2312" w:eastAsia="仿宋_GB2312"/>
          <w:color w:val="auto"/>
          <w:sz w:val="32"/>
          <w:szCs w:val="32"/>
          <w:highlight w:val="none"/>
        </w:rPr>
        <w:t>签字日期：                   签字日期：</w:t>
      </w:r>
    </w:p>
    <w:p>
      <w:pPr>
        <w:rPr>
          <w:rFonts w:ascii="宋体" w:hAnsi="宋体" w:eastAsia="宋体" w:cs="宋体"/>
          <w:color w:val="auto"/>
          <w:szCs w:val="21"/>
          <w:highlight w:val="none"/>
        </w:rPr>
      </w:pPr>
      <w:r>
        <w:rPr>
          <w:rFonts w:ascii="宋体" w:hAnsi="宋体" w:eastAsia="宋体" w:cs="宋体"/>
          <w:color w:val="auto"/>
          <w:szCs w:val="21"/>
          <w:highlight w:val="none"/>
        </w:rPr>
        <w:br w:type="page"/>
      </w:r>
    </w:p>
    <w:p>
      <w:pPr>
        <w:spacing w:before="156" w:beforeLines="50" w:after="0" w:afterLines="-2147483648" w:line="360" w:lineRule="auto"/>
        <w:ind w:left="482" w:hanging="480" w:hangingChars="200"/>
        <w:outlineLvl w:val="9"/>
        <w:rPr>
          <w:rFonts w:hint="eastAsia" w:ascii="宋体" w:hAnsi="宋体" w:eastAsia="宋体" w:cstheme="minorBidi"/>
          <w:b w:val="0"/>
          <w:bCs/>
          <w:color w:val="auto"/>
          <w:sz w:val="24"/>
          <w:highlight w:val="none"/>
        </w:rPr>
      </w:pPr>
      <w:bookmarkStart w:id="0" w:name="_Toc47694462"/>
      <w:r>
        <w:rPr>
          <w:rFonts w:hint="eastAsia" w:ascii="宋体" w:hAnsi="宋体" w:eastAsia="宋体" w:cstheme="minorBidi"/>
          <w:b w:val="0"/>
          <w:bCs/>
          <w:color w:val="auto"/>
          <w:sz w:val="24"/>
          <w:highlight w:val="none"/>
        </w:rPr>
        <w:t>附件2</w:t>
      </w:r>
    </w:p>
    <w:bookmarkEnd w:id="0"/>
    <w:p>
      <w:pPr>
        <w:jc w:val="center"/>
        <w:rPr>
          <w:rFonts w:ascii="宋体" w:hAnsi="宋体" w:eastAsia="宋体" w:cs="宋体"/>
          <w:color w:val="auto"/>
          <w:sz w:val="44"/>
          <w:highlight w:val="none"/>
        </w:rPr>
      </w:pPr>
      <w:r>
        <w:rPr>
          <w:rFonts w:hint="eastAsia" w:ascii="宋体" w:hAnsi="宋体" w:eastAsia="宋体" w:cs="宋体"/>
          <w:color w:val="auto"/>
          <w:sz w:val="44"/>
          <w:highlight w:val="none"/>
        </w:rPr>
        <w:t xml:space="preserve"> 履约银行保函</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保函编号：</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开立日期：202</w:t>
      </w: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年  月  日</w:t>
      </w:r>
    </w:p>
    <w:p>
      <w:pPr>
        <w:spacing w:line="288" w:lineRule="auto"/>
        <w:ind w:firstLine="480" w:firstLineChars="200"/>
        <w:rPr>
          <w:rFonts w:ascii="宋体" w:hAnsi="宋体" w:eastAsia="宋体" w:cs="宋体"/>
          <w:color w:val="auto"/>
          <w:sz w:val="24"/>
          <w:szCs w:val="20"/>
          <w:highlight w:val="none"/>
        </w:rPr>
      </w:pP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致：  </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地址： </w:t>
      </w:r>
    </w:p>
    <w:p>
      <w:pPr>
        <w:spacing w:line="288" w:lineRule="auto"/>
        <w:ind w:firstLine="480" w:firstLineChars="200"/>
        <w:jc w:val="left"/>
        <w:rPr>
          <w:rFonts w:ascii="宋体" w:hAnsi="宋体" w:eastAsia="宋体" w:cs="宋体"/>
          <w:color w:val="auto"/>
          <w:sz w:val="24"/>
          <w:highlight w:val="none"/>
        </w:rPr>
      </w:pPr>
    </w:p>
    <w:p>
      <w:pPr>
        <w:spacing w:line="288" w:lineRule="auto"/>
        <w:ind w:firstLine="480" w:firstLineChars="200"/>
        <w:jc w:val="left"/>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鉴于  公司，地址：（以下简称“申请人”）已与    （以下简称“业主”）签订</w:t>
      </w:r>
      <w:bookmarkStart w:id="1" w:name="_Hlk107996710"/>
      <w:r>
        <w:rPr>
          <w:rFonts w:hint="eastAsia" w:ascii="宋体" w:hAnsi="宋体" w:eastAsia="宋体" w:cs="宋体"/>
          <w:color w:val="auto"/>
          <w:sz w:val="24"/>
          <w:szCs w:val="20"/>
          <w:highlight w:val="none"/>
        </w:rPr>
        <w:t>了</w:t>
      </w:r>
      <w:bookmarkEnd w:id="1"/>
      <w:r>
        <w:rPr>
          <w:rFonts w:hint="eastAsia" w:ascii="宋体" w:hAnsi="宋体" w:eastAsia="宋体" w:cs="宋体"/>
          <w:color w:val="auto"/>
          <w:sz w:val="24"/>
          <w:szCs w:val="20"/>
          <w:highlight w:val="none"/>
        </w:rPr>
        <w:t xml:space="preserve">   （合同编号：   ）（以下简称“合同”）。为保证申请人全面、及时履行合同规定，（以下简称“我行”），同意出具银行保函为申请人担保，累计担保金额最高为人民币元（小写： ）。</w:t>
      </w:r>
    </w:p>
    <w:p>
      <w:pPr>
        <w:spacing w:line="288" w:lineRule="auto"/>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本保函的义务是：我行在收到业主要求索赔的书面通知后的五个工作日内，在上述担保金额的全额内向业主支付任何数额的款项，无须业主出具证明或陈述理由。</w:t>
      </w:r>
    </w:p>
    <w:p>
      <w:pPr>
        <w:spacing w:line="288" w:lineRule="auto"/>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我行放弃业主应先向申请人索要上述款项再向本行提出要求的权利。我行同意业主直接向我行行使索赔权。</w:t>
      </w:r>
    </w:p>
    <w:p>
      <w:pPr>
        <w:spacing w:line="288" w:lineRule="auto"/>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我行还同意，在业主和申请人签订合同后，其项下的工程或合同文件发生任何变化、补充或修改，我行承担本保函的责任不改变，且上述变化、补充或修改也无须通知我行。</w:t>
      </w:r>
    </w:p>
    <w:p>
      <w:pPr>
        <w:spacing w:line="288" w:lineRule="auto"/>
        <w:ind w:left="425"/>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本保函不可撤销、不可转让，以     为唯一受益人。</w:t>
      </w:r>
    </w:p>
    <w:p>
      <w:pPr>
        <w:spacing w:line="288" w:lineRule="auto"/>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pPr>
        <w:spacing w:line="288" w:lineRule="auto"/>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本保函项下的纠纷，若协商不能解决，应提交合同项目工程所在地人民法院诉讼解决。</w:t>
      </w:r>
    </w:p>
    <w:p>
      <w:pPr>
        <w:spacing w:line="288" w:lineRule="auto"/>
        <w:ind w:firstLine="480" w:firstLineChars="200"/>
        <w:rPr>
          <w:rFonts w:ascii="宋体" w:hAnsi="宋体" w:eastAsia="宋体" w:cs="宋体"/>
          <w:color w:val="auto"/>
          <w:sz w:val="24"/>
          <w:szCs w:val="20"/>
          <w:highlight w:val="none"/>
        </w:rPr>
      </w:pP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担保银行（盖章）：</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担保银行法定代表人或其授权委托代理人（签字或盖章）：</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联系地址：</w:t>
      </w:r>
    </w:p>
    <w:p>
      <w:pPr>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p>
      <w:pPr>
        <w:tabs>
          <w:tab w:val="left" w:pos="360"/>
        </w:tabs>
        <w:spacing w:line="288"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p>
    <w:p>
      <w:pPr>
        <w:jc w:val="left"/>
        <w:rPr>
          <w:rFonts w:ascii="黑体" w:hAnsi="黑体" w:eastAsia="黑体"/>
          <w:color w:val="auto"/>
          <w:sz w:val="36"/>
          <w:szCs w:val="36"/>
          <w:highlight w:val="none"/>
        </w:rPr>
      </w:pPr>
      <w:r>
        <w:rPr>
          <w:rFonts w:hint="eastAsia" w:ascii="黑体" w:hAnsi="黑体" w:eastAsia="黑体"/>
          <w:color w:val="auto"/>
          <w:sz w:val="36"/>
          <w:szCs w:val="36"/>
          <w:highlight w:val="none"/>
        </w:rPr>
        <w:br w:type="page"/>
      </w:r>
    </w:p>
    <w:p>
      <w:pPr>
        <w:spacing w:before="156" w:beforeLines="50" w:after="0" w:afterLines="-2147483648" w:line="360" w:lineRule="auto"/>
        <w:ind w:left="482" w:hanging="480" w:hangingChars="200"/>
        <w:outlineLvl w:val="9"/>
        <w:rPr>
          <w:rFonts w:hint="eastAsia" w:ascii="宋体" w:hAnsi="宋体" w:eastAsia="宋体" w:cstheme="minorBidi"/>
          <w:b w:val="0"/>
          <w:bCs/>
          <w:color w:val="auto"/>
          <w:sz w:val="24"/>
          <w:highlight w:val="none"/>
        </w:rPr>
      </w:pPr>
      <w:r>
        <w:rPr>
          <w:rFonts w:hint="eastAsia" w:ascii="宋体" w:hAnsi="宋体" w:eastAsia="宋体" w:cstheme="minorBidi"/>
          <w:b w:val="0"/>
          <w:bCs/>
          <w:color w:val="auto"/>
          <w:sz w:val="24"/>
          <w:highlight w:val="none"/>
        </w:rPr>
        <w:t>附件3</w:t>
      </w:r>
    </w:p>
    <w:p>
      <w:pPr>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预付款保函模板</w:t>
      </w:r>
    </w:p>
    <w:p>
      <w:pPr>
        <w:rPr>
          <w:color w:val="auto"/>
          <w:highlight w:val="none"/>
        </w:rPr>
      </w:pPr>
    </w:p>
    <w:p>
      <w:pPr>
        <w:rPr>
          <w:rFonts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（受益人）</w:t>
      </w:r>
    </w:p>
    <w:p>
      <w:pPr>
        <w:rPr>
          <w:rFonts w:ascii="仿宋" w:hAnsi="仿宋" w:eastAsia="仿宋"/>
          <w:color w:val="auto"/>
          <w:sz w:val="24"/>
          <w:highlight w:val="none"/>
        </w:rPr>
      </w:pPr>
    </w:p>
    <w:p>
      <w:pPr>
        <w:ind w:firstLine="240" w:firstLineChars="100"/>
        <w:rPr>
          <w:rFonts w:ascii="仿宋" w:hAnsi="仿宋" w:eastAsia="仿宋"/>
          <w:color w:val="auto"/>
          <w:sz w:val="24"/>
          <w:highlight w:val="none"/>
        </w:rPr>
      </w:pPr>
      <w:r>
        <w:rPr>
          <w:rFonts w:hint="eastAsia" w:ascii="仿宋" w:hAnsi="仿宋" w:eastAsia="仿宋"/>
          <w:color w:val="auto"/>
          <w:sz w:val="24"/>
          <w:highlight w:val="none"/>
        </w:rPr>
        <w:t>鉴于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（以下简称“委托人”）与你方于</w:t>
      </w:r>
      <w:r>
        <w:rPr>
          <w:rFonts w:hint="eastAsia" w:ascii="仿宋" w:hAnsi="仿宋" w:eastAsia="仿宋"/>
          <w:color w:val="auto"/>
          <w:sz w:val="24"/>
          <w:highlight w:val="none"/>
          <w:u w:val="single"/>
        </w:rPr>
        <w:t xml:space="preserve">   年  月  日</w:t>
      </w:r>
      <w:r>
        <w:rPr>
          <w:rFonts w:hint="eastAsia" w:ascii="仿宋" w:hAnsi="仿宋" w:eastAsia="仿宋"/>
          <w:color w:val="auto"/>
          <w:sz w:val="24"/>
          <w:highlight w:val="none"/>
        </w:rPr>
        <w:t>签订了</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（以下简称“合同”），你方将按上述基础交易合同约定向委托人支付预付款人民币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元（大写：</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）。我行接受委托人的申请，特此开立以你方为受益人的最高金额为人民币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（大写：</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）（以下称“保函金额”）的保函。</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一、本保函为不可撤销、见索即付的独立保函。</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日内，以上述保函金额为限向你方支付相应款项。</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（一）索赔通知书须写明请求付款的金额，并声明该款项并未由委托人或其代理人直接或间接地支付给你方；</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（二）索赔通知书应由你方法定代表人签字并加盖公章；</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（三）索赔通知书必须于本保函有效期截止日前送达我行。</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三、合同的任何修改、变更、解释或不可执行都不能削弱或免除我行按本保函应承担的义务。</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本保函金额将随我行已向你方支付的金额而自动作相应递减。</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四、本保函未经我行书面同意不得转让。</w:t>
      </w:r>
    </w:p>
    <w:p>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五、本保函自签发之日起生效，有效期至</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color w:val="auto"/>
          <w:sz w:val="24"/>
          <w:highlight w:val="none"/>
        </w:rPr>
      </w:pPr>
      <w:r>
        <w:rPr>
          <w:rFonts w:ascii="宋体" w:hAnsi="宋体"/>
          <w:color w:val="auto"/>
          <w:sz w:val="24"/>
          <w:highlight w:val="none"/>
        </w:rPr>
        <w:t xml:space="preserve"> </w:t>
      </w:r>
    </w:p>
    <w:p>
      <w:pPr>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备注：</w:t>
      </w:r>
      <w:r>
        <w:rPr>
          <w:rFonts w:hint="eastAsia" w:ascii="宋体" w:hAnsi="宋体"/>
          <w:color w:val="auto"/>
          <w:sz w:val="24"/>
          <w:highlight w:val="none"/>
        </w:rPr>
        <w:t>本预付款担保格式必须采用经发包人认可的银行保函格式，但相关内容不得违背合同文件约定的实质性内容。</w:t>
      </w:r>
    </w:p>
    <w:p>
      <w:pPr>
        <w:pStyle w:val="11"/>
        <w:rPr>
          <w:color w:val="auto"/>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color w:val="auto"/>
          <w:highlight w:val="none"/>
        </w:rPr>
      </w:pPr>
      <w:r>
        <w:rPr>
          <w:color w:val="auto"/>
          <w:highlight w:val="none"/>
        </w:rPr>
        <w:br w:type="page"/>
      </w:r>
    </w:p>
    <w:p>
      <w:pPr>
        <w:spacing w:before="156" w:beforeLines="50" w:line="360" w:lineRule="auto"/>
        <w:ind w:left="482" w:hanging="480" w:hangingChars="200"/>
        <w:rPr>
          <w:rFonts w:hint="eastAsia" w:ascii="宋体" w:hAnsi="宋体" w:eastAsia="宋体" w:cstheme="minorBidi"/>
          <w:bCs/>
          <w:color w:val="auto"/>
          <w:sz w:val="24"/>
          <w:highlight w:val="none"/>
        </w:rPr>
      </w:pPr>
      <w:r>
        <w:rPr>
          <w:rFonts w:hint="eastAsia" w:ascii="宋体" w:hAnsi="宋体" w:eastAsia="宋体" w:cstheme="minorBidi"/>
          <w:bCs/>
          <w:color w:val="auto"/>
          <w:spacing w:val="0"/>
          <w:sz w:val="24"/>
          <w:highlight w:val="none"/>
        </w:rPr>
        <w:t>附件4</w:t>
      </w:r>
    </w:p>
    <w:p>
      <w:pPr>
        <w:jc w:val="center"/>
        <w:rPr>
          <w:rFonts w:ascii="微软雅黑" w:eastAsia="微软雅黑"/>
          <w:color w:val="auto"/>
          <w:sz w:val="44"/>
          <w:szCs w:val="44"/>
          <w:highlight w:val="none"/>
        </w:rPr>
      </w:pPr>
    </w:p>
    <w:p>
      <w:pPr>
        <w:jc w:val="center"/>
        <w:rPr>
          <w:rFonts w:ascii="微软雅黑" w:eastAsia="微软雅黑"/>
          <w:color w:val="auto"/>
          <w:sz w:val="52"/>
          <w:szCs w:val="52"/>
          <w:highlight w:val="none"/>
        </w:rPr>
      </w:pPr>
      <w:r>
        <w:rPr>
          <w:rFonts w:hint="eastAsia" w:ascii="微软雅黑" w:eastAsia="微软雅黑"/>
          <w:color w:val="auto"/>
          <w:sz w:val="52"/>
          <w:szCs w:val="52"/>
          <w:highlight w:val="none"/>
        </w:rPr>
        <w:t>安全生产管理协议</w:t>
      </w:r>
    </w:p>
    <w:p>
      <w:pPr>
        <w:spacing w:line="500" w:lineRule="exact"/>
        <w:rPr>
          <w:bCs/>
          <w:color w:val="auto"/>
          <w:sz w:val="28"/>
          <w:highlight w:val="none"/>
        </w:rPr>
      </w:pPr>
    </w:p>
    <w:p>
      <w:pPr>
        <w:spacing w:line="500" w:lineRule="exact"/>
        <w:rPr>
          <w:bCs/>
          <w:color w:val="auto"/>
          <w:sz w:val="28"/>
          <w:highlight w:val="none"/>
        </w:rPr>
      </w:pPr>
    </w:p>
    <w:p>
      <w:pPr>
        <w:spacing w:line="500" w:lineRule="exact"/>
        <w:rPr>
          <w:bCs/>
          <w:color w:val="auto"/>
          <w:sz w:val="28"/>
          <w:highlight w:val="none"/>
        </w:rPr>
      </w:pPr>
    </w:p>
    <w:p>
      <w:pPr>
        <w:spacing w:line="500" w:lineRule="exact"/>
        <w:rPr>
          <w:bCs/>
          <w:color w:val="auto"/>
          <w:sz w:val="28"/>
          <w:highlight w:val="none"/>
        </w:rPr>
      </w:pPr>
    </w:p>
    <w:p>
      <w:pPr>
        <w:spacing w:line="500" w:lineRule="exact"/>
        <w:rPr>
          <w:bCs/>
          <w:color w:val="auto"/>
          <w:sz w:val="28"/>
          <w:highlight w:val="none"/>
        </w:rPr>
      </w:pPr>
    </w:p>
    <w:p>
      <w:pPr>
        <w:spacing w:line="500" w:lineRule="exact"/>
        <w:rPr>
          <w:bCs/>
          <w:color w:val="auto"/>
          <w:sz w:val="28"/>
          <w:highlight w:val="none"/>
        </w:rPr>
      </w:pPr>
    </w:p>
    <w:p>
      <w:pPr>
        <w:spacing w:line="500" w:lineRule="exact"/>
        <w:ind w:firstLine="280" w:firstLineChars="100"/>
        <w:rPr>
          <w:bCs/>
          <w:color w:val="auto"/>
          <w:sz w:val="28"/>
          <w:highlight w:val="none"/>
          <w:u w:val="single"/>
        </w:rPr>
      </w:pPr>
      <w:r>
        <w:rPr>
          <w:rFonts w:hint="eastAsia"/>
          <w:bCs/>
          <w:color w:val="auto"/>
          <w:sz w:val="28"/>
          <w:highlight w:val="none"/>
        </w:rPr>
        <w:t>发包方（甲方）：</w:t>
      </w:r>
      <w:r>
        <w:rPr>
          <w:rFonts w:hint="eastAsia"/>
          <w:bCs/>
          <w:color w:val="auto"/>
          <w:sz w:val="28"/>
          <w:highlight w:val="none"/>
          <w:u w:val="single"/>
        </w:rPr>
        <w:t xml:space="preserve">                                      </w:t>
      </w:r>
    </w:p>
    <w:p>
      <w:pPr>
        <w:spacing w:line="500" w:lineRule="exact"/>
        <w:rPr>
          <w:bCs/>
          <w:color w:val="auto"/>
          <w:sz w:val="28"/>
          <w:highlight w:val="none"/>
        </w:rPr>
      </w:pPr>
    </w:p>
    <w:p>
      <w:pPr>
        <w:spacing w:line="500" w:lineRule="exact"/>
        <w:ind w:firstLine="280" w:firstLineChars="100"/>
        <w:rPr>
          <w:bCs/>
          <w:color w:val="auto"/>
          <w:sz w:val="28"/>
          <w:highlight w:val="none"/>
          <w:u w:val="single"/>
        </w:rPr>
      </w:pPr>
      <w:r>
        <w:rPr>
          <w:rFonts w:hint="eastAsia"/>
          <w:bCs/>
          <w:color w:val="auto"/>
          <w:sz w:val="28"/>
          <w:highlight w:val="none"/>
        </w:rPr>
        <w:t>承包方（乙方）：</w:t>
      </w:r>
      <w:r>
        <w:rPr>
          <w:rFonts w:hint="eastAsia"/>
          <w:bCs/>
          <w:color w:val="auto"/>
          <w:sz w:val="28"/>
          <w:highlight w:val="none"/>
          <w:u w:val="single"/>
        </w:rPr>
        <w:t xml:space="preserve">                                   </w:t>
      </w:r>
    </w:p>
    <w:p>
      <w:pPr>
        <w:spacing w:line="500" w:lineRule="exact"/>
        <w:ind w:left="210" w:leftChars="100" w:firstLine="280" w:firstLineChars="100"/>
        <w:rPr>
          <w:bCs/>
          <w:color w:val="auto"/>
          <w:sz w:val="28"/>
          <w:highlight w:val="none"/>
        </w:rPr>
      </w:pPr>
      <w:r>
        <w:rPr>
          <w:rFonts w:hint="eastAsia"/>
          <w:bCs/>
          <w:color w:val="auto"/>
          <w:sz w:val="28"/>
          <w:highlight w:val="none"/>
        </w:rPr>
        <w:t xml:space="preserve"> </w:t>
      </w:r>
    </w:p>
    <w:p>
      <w:pPr>
        <w:spacing w:line="500" w:lineRule="exact"/>
        <w:ind w:left="210" w:leftChars="100" w:firstLine="280" w:firstLineChars="100"/>
        <w:rPr>
          <w:bCs/>
          <w:color w:val="auto"/>
          <w:sz w:val="28"/>
          <w:highlight w:val="none"/>
        </w:rPr>
      </w:pPr>
    </w:p>
    <w:p>
      <w:pPr>
        <w:spacing w:line="500" w:lineRule="exact"/>
        <w:ind w:firstLine="560" w:firstLineChars="200"/>
        <w:rPr>
          <w:bCs/>
          <w:color w:val="auto"/>
          <w:sz w:val="28"/>
          <w:highlight w:val="none"/>
        </w:rPr>
      </w:pPr>
    </w:p>
    <w:p>
      <w:pPr>
        <w:spacing w:line="500" w:lineRule="exact"/>
        <w:ind w:firstLine="560" w:firstLineChars="200"/>
        <w:rPr>
          <w:bCs/>
          <w:color w:val="auto"/>
          <w:sz w:val="28"/>
          <w:highlight w:val="none"/>
        </w:rPr>
      </w:pPr>
    </w:p>
    <w:p>
      <w:pPr>
        <w:spacing w:line="500" w:lineRule="exact"/>
        <w:ind w:firstLine="560" w:firstLineChars="200"/>
        <w:rPr>
          <w:bCs/>
          <w:color w:val="auto"/>
          <w:sz w:val="28"/>
          <w:highlight w:val="none"/>
        </w:rPr>
      </w:pPr>
    </w:p>
    <w:p>
      <w:pPr>
        <w:spacing w:line="500" w:lineRule="exact"/>
        <w:rPr>
          <w:bCs/>
          <w:color w:val="auto"/>
          <w:sz w:val="28"/>
          <w:highlight w:val="none"/>
        </w:rPr>
      </w:pPr>
    </w:p>
    <w:p>
      <w:pPr>
        <w:spacing w:line="500" w:lineRule="exact"/>
        <w:ind w:firstLine="560" w:firstLineChars="200"/>
        <w:rPr>
          <w:bCs/>
          <w:color w:val="auto"/>
          <w:sz w:val="28"/>
          <w:highlight w:val="none"/>
        </w:rPr>
      </w:pPr>
      <w:r>
        <w:rPr>
          <w:rFonts w:hint="eastAsia"/>
          <w:bCs/>
          <w:color w:val="auto"/>
          <w:sz w:val="28"/>
          <w:highlight w:val="none"/>
        </w:rPr>
        <w:br w:type="page"/>
      </w:r>
      <w:r>
        <w:rPr>
          <w:rFonts w:hint="eastAsia"/>
          <w:bCs/>
          <w:color w:val="auto"/>
          <w:sz w:val="28"/>
          <w:highlight w:val="none"/>
        </w:rPr>
        <w:t>为贯彻“安全第一、预防为主、综合治理”的安全生产方针，切实做好粮食集团及下属单位的工程项目、特种设备维保、消防、空调设施维保、劳务外包和物业出租等项目的安全生产管理工作，做到“各司其职，各负其责”。经双方协商签订本协议。</w:t>
      </w:r>
    </w:p>
    <w:p>
      <w:pPr>
        <w:spacing w:line="500" w:lineRule="exact"/>
        <w:ind w:firstLine="562" w:firstLineChars="200"/>
        <w:rPr>
          <w:rFonts w:ascii="宋体" w:hAnsi="宋体"/>
          <w:bCs/>
          <w:color w:val="auto"/>
          <w:sz w:val="28"/>
          <w:highlight w:val="none"/>
        </w:rPr>
      </w:pPr>
      <w:bookmarkStart w:id="2" w:name="_Toc7864"/>
      <w:bookmarkStart w:id="3" w:name="_Toc26969"/>
      <w:r>
        <w:rPr>
          <w:rFonts w:hint="eastAsia" w:ascii="黑体" w:hAnsi="黑体" w:eastAsia="黑体"/>
          <w:b/>
          <w:bCs/>
          <w:color w:val="auto"/>
          <w:sz w:val="28"/>
          <w:highlight w:val="none"/>
        </w:rPr>
        <w:t xml:space="preserve">第一条 </w:t>
      </w:r>
      <w:r>
        <w:rPr>
          <w:rFonts w:hint="eastAsia" w:ascii="宋体" w:hAnsi="宋体"/>
          <w:bCs/>
          <w:color w:val="auto"/>
          <w:sz w:val="28"/>
          <w:highlight w:val="none"/>
        </w:rPr>
        <w:t>本合同为           项目合同及附件。</w:t>
      </w:r>
      <w:bookmarkEnd w:id="2"/>
      <w:bookmarkEnd w:id="3"/>
    </w:p>
    <w:p>
      <w:pPr>
        <w:spacing w:line="500" w:lineRule="exact"/>
        <w:ind w:firstLine="562" w:firstLineChars="200"/>
        <w:rPr>
          <w:rFonts w:ascii="宋体" w:hAnsi="宋体"/>
          <w:bCs/>
          <w:color w:val="auto"/>
          <w:sz w:val="28"/>
          <w:highlight w:val="none"/>
        </w:rPr>
      </w:pPr>
      <w:r>
        <w:rPr>
          <w:rFonts w:hint="eastAsia" w:ascii="黑体" w:hAnsi="黑体" w:eastAsia="黑体"/>
          <w:b/>
          <w:bCs/>
          <w:color w:val="auto"/>
          <w:sz w:val="28"/>
          <w:highlight w:val="none"/>
        </w:rPr>
        <w:t>第二条</w:t>
      </w:r>
      <w:r>
        <w:rPr>
          <w:rFonts w:hint="eastAsia" w:ascii="宋体" w:hAnsi="宋体"/>
          <w:bCs/>
          <w:color w:val="auto"/>
          <w:sz w:val="28"/>
          <w:highlight w:val="none"/>
        </w:rPr>
        <w:t xml:space="preserve"> 甲、乙双方分别作为独立法人单位，必须遵守安全生产法律法规、标准和规范要求，建立健全本单位安全生产管理体系，切实加强安全生产管理工作。</w:t>
      </w:r>
    </w:p>
    <w:p>
      <w:pPr>
        <w:spacing w:line="500" w:lineRule="exact"/>
        <w:ind w:firstLine="562" w:firstLineChars="200"/>
        <w:rPr>
          <w:bCs/>
          <w:color w:val="auto"/>
          <w:sz w:val="28"/>
          <w:highlight w:val="none"/>
        </w:rPr>
      </w:pPr>
      <w:bookmarkStart w:id="4" w:name="_Toc9659"/>
      <w:bookmarkStart w:id="5" w:name="_Toc315"/>
      <w:r>
        <w:rPr>
          <w:rFonts w:hint="eastAsia" w:ascii="黑体" w:hAnsi="黑体" w:eastAsia="黑体"/>
          <w:b/>
          <w:bCs/>
          <w:color w:val="auto"/>
          <w:sz w:val="28"/>
          <w:highlight w:val="none"/>
        </w:rPr>
        <w:t xml:space="preserve">第三条 </w:t>
      </w:r>
      <w:r>
        <w:rPr>
          <w:rFonts w:hint="eastAsia"/>
          <w:bCs/>
          <w:color w:val="auto"/>
          <w:sz w:val="28"/>
          <w:highlight w:val="none"/>
        </w:rPr>
        <w:t>甲方安全责任</w:t>
      </w:r>
      <w:bookmarkEnd w:id="4"/>
      <w:bookmarkEnd w:id="5"/>
    </w:p>
    <w:p>
      <w:pPr>
        <w:widowControl/>
        <w:numPr>
          <w:ilvl w:val="0"/>
          <w:numId w:val="5"/>
        </w:numPr>
        <w:spacing w:line="500" w:lineRule="exact"/>
        <w:ind w:firstLine="560" w:firstLineChars="200"/>
        <w:jc w:val="left"/>
        <w:rPr>
          <w:bCs/>
          <w:color w:val="auto"/>
          <w:sz w:val="28"/>
          <w:highlight w:val="none"/>
        </w:rPr>
      </w:pPr>
      <w:r>
        <w:rPr>
          <w:rFonts w:hint="eastAsia"/>
          <w:bCs/>
          <w:color w:val="auto"/>
          <w:sz w:val="28"/>
          <w:highlight w:val="none"/>
        </w:rPr>
        <w:t>进场施工作业前对乙方人员（包括但不限于项目负责人、安全管理人员和作业人员）进行安全交底，其内容是：广州市粮食集团及下属企业有关安全生产的规章制度和操作规程；作业项目涉及的风险因素和应采取的安全防范措施；并应有完备的交底资料记录。</w:t>
      </w:r>
    </w:p>
    <w:p>
      <w:pPr>
        <w:widowControl/>
        <w:numPr>
          <w:ilvl w:val="0"/>
          <w:numId w:val="6"/>
        </w:numPr>
        <w:spacing w:line="500" w:lineRule="exact"/>
        <w:ind w:firstLine="560" w:firstLineChars="200"/>
        <w:jc w:val="left"/>
        <w:rPr>
          <w:bCs/>
          <w:color w:val="auto"/>
          <w:sz w:val="28"/>
          <w:highlight w:val="none"/>
        </w:rPr>
      </w:pPr>
      <w:r>
        <w:rPr>
          <w:rFonts w:hint="eastAsia"/>
          <w:bCs/>
          <w:color w:val="auto"/>
          <w:sz w:val="28"/>
          <w:highlight w:val="none"/>
        </w:rPr>
        <w:t>对乙方开展的危险作业（如在禁烟火的区域进行动火作业、高处作业、有限空间作业、临时用电作业等）进行审批许可，并协助监督乙方作业人员落实相应的安全防护措施和监护措施。</w:t>
      </w:r>
    </w:p>
    <w:p>
      <w:pPr>
        <w:widowControl/>
        <w:numPr>
          <w:ilvl w:val="0"/>
          <w:numId w:val="7"/>
        </w:numPr>
        <w:spacing w:line="500" w:lineRule="exact"/>
        <w:ind w:firstLine="560" w:firstLineChars="200"/>
        <w:jc w:val="left"/>
        <w:rPr>
          <w:bCs/>
          <w:color w:val="auto"/>
          <w:sz w:val="28"/>
          <w:highlight w:val="none"/>
        </w:rPr>
      </w:pPr>
      <w:r>
        <w:rPr>
          <w:rFonts w:hint="eastAsia"/>
          <w:bCs/>
          <w:color w:val="auto"/>
          <w:sz w:val="28"/>
          <w:highlight w:val="none"/>
        </w:rPr>
        <w:t>在有毒有害、易燃易爆、临边洞口、带电运行、机械运转的危险区域或设备设置安全警示标志。</w:t>
      </w:r>
    </w:p>
    <w:p>
      <w:pPr>
        <w:widowControl/>
        <w:numPr>
          <w:ilvl w:val="0"/>
          <w:numId w:val="8"/>
        </w:numPr>
        <w:spacing w:line="500" w:lineRule="exact"/>
        <w:ind w:firstLine="560" w:firstLineChars="200"/>
        <w:jc w:val="left"/>
        <w:rPr>
          <w:bCs/>
          <w:color w:val="auto"/>
          <w:sz w:val="28"/>
          <w:highlight w:val="none"/>
        </w:rPr>
      </w:pPr>
      <w:r>
        <w:rPr>
          <w:rFonts w:hint="eastAsia"/>
          <w:bCs/>
          <w:color w:val="auto"/>
          <w:sz w:val="28"/>
          <w:highlight w:val="none"/>
        </w:rPr>
        <w:t>监督检查乙方的安全施工作业情况，有权对违章作业人员进行制止和纠正，有权停止其施工作业至整改验收合格为止，并对不满足甲方安全管理要求的乙方人员提出更换。</w:t>
      </w:r>
    </w:p>
    <w:p>
      <w:pPr>
        <w:spacing w:line="500" w:lineRule="exact"/>
        <w:ind w:firstLine="560" w:firstLineChars="200"/>
        <w:rPr>
          <w:bCs/>
          <w:color w:val="auto"/>
          <w:sz w:val="28"/>
          <w:highlight w:val="none"/>
        </w:rPr>
      </w:pPr>
      <w:r>
        <w:rPr>
          <w:rFonts w:hint="eastAsia"/>
          <w:bCs/>
          <w:color w:val="auto"/>
          <w:sz w:val="28"/>
          <w:highlight w:val="none"/>
        </w:rPr>
        <w:t>（五）对乙方违反安全生产法律法规、标准、规范和甲方制度规程造成的甲方人员伤亡或财产损失时，有权按照有关法律法规提出索赔要求。</w:t>
      </w:r>
    </w:p>
    <w:p>
      <w:pPr>
        <w:spacing w:line="500" w:lineRule="exact"/>
        <w:ind w:firstLine="562" w:firstLineChars="200"/>
        <w:rPr>
          <w:bCs/>
          <w:color w:val="auto"/>
          <w:sz w:val="28"/>
          <w:highlight w:val="none"/>
        </w:rPr>
      </w:pPr>
      <w:bookmarkStart w:id="6" w:name="_Toc22836"/>
      <w:bookmarkStart w:id="7" w:name="_Toc32345"/>
      <w:r>
        <w:rPr>
          <w:rFonts w:hint="eastAsia"/>
          <w:b/>
          <w:color w:val="auto"/>
          <w:sz w:val="28"/>
          <w:highlight w:val="none"/>
        </w:rPr>
        <w:t>第四条</w:t>
      </w:r>
      <w:r>
        <w:rPr>
          <w:rFonts w:hint="eastAsia"/>
          <w:bCs/>
          <w:color w:val="auto"/>
          <w:sz w:val="28"/>
          <w:highlight w:val="none"/>
        </w:rPr>
        <w:t xml:space="preserve"> 乙方安全责任</w:t>
      </w:r>
      <w:bookmarkEnd w:id="6"/>
      <w:bookmarkEnd w:id="7"/>
    </w:p>
    <w:p>
      <w:pPr>
        <w:widowControl/>
        <w:numPr>
          <w:ilvl w:val="0"/>
          <w:numId w:val="9"/>
        </w:numPr>
        <w:spacing w:line="500" w:lineRule="exact"/>
        <w:ind w:firstLine="640" w:firstLineChars="200"/>
        <w:jc w:val="left"/>
        <w:rPr>
          <w:bCs/>
          <w:color w:val="auto"/>
          <w:sz w:val="32"/>
          <w:szCs w:val="32"/>
          <w:highlight w:val="none"/>
        </w:rPr>
      </w:pPr>
      <w:r>
        <w:rPr>
          <w:rFonts w:hint="eastAsia"/>
          <w:bCs/>
          <w:color w:val="auto"/>
          <w:sz w:val="32"/>
          <w:szCs w:val="32"/>
          <w:highlight w:val="none"/>
        </w:rPr>
        <w:t>安全负责人、安全管理人员、特种作业人员经过培训，持有效证件上岗。</w:t>
      </w:r>
    </w:p>
    <w:p>
      <w:pPr>
        <w:widowControl/>
        <w:numPr>
          <w:ilvl w:val="0"/>
          <w:numId w:val="10"/>
        </w:numPr>
        <w:spacing w:line="500" w:lineRule="exact"/>
        <w:ind w:firstLine="560" w:firstLineChars="200"/>
        <w:jc w:val="left"/>
        <w:rPr>
          <w:bCs/>
          <w:color w:val="auto"/>
          <w:sz w:val="28"/>
          <w:highlight w:val="none"/>
        </w:rPr>
      </w:pPr>
      <w:r>
        <w:rPr>
          <w:rFonts w:hint="eastAsia"/>
          <w:bCs/>
          <w:color w:val="auto"/>
          <w:sz w:val="28"/>
          <w:highlight w:val="none"/>
        </w:rPr>
        <w:t>指定</w:t>
      </w:r>
      <w:r>
        <w:rPr>
          <w:bCs/>
          <w:color w:val="auto"/>
          <w:sz w:val="28"/>
          <w:highlight w:val="none"/>
          <w:u w:val="single"/>
        </w:rPr>
        <w:t xml:space="preserve"> </w:t>
      </w:r>
      <w:r>
        <w:rPr>
          <w:rFonts w:hint="eastAsia"/>
          <w:bCs/>
          <w:color w:val="auto"/>
          <w:sz w:val="28"/>
          <w:highlight w:val="none"/>
          <w:u w:val="single"/>
        </w:rPr>
        <w:t xml:space="preserve">     </w:t>
      </w:r>
      <w:r>
        <w:rPr>
          <w:bCs/>
          <w:color w:val="auto"/>
          <w:sz w:val="28"/>
          <w:highlight w:val="none"/>
          <w:u w:val="single"/>
        </w:rPr>
        <w:t xml:space="preserve"> </w:t>
      </w:r>
      <w:r>
        <w:rPr>
          <w:rFonts w:hint="eastAsia"/>
          <w:bCs/>
          <w:color w:val="auto"/>
          <w:sz w:val="28"/>
          <w:highlight w:val="none"/>
        </w:rPr>
        <w:t>为该项目现场安全生产责任人，负责该项目的安全管理工作。</w:t>
      </w:r>
    </w:p>
    <w:p>
      <w:pPr>
        <w:widowControl/>
        <w:numPr>
          <w:ilvl w:val="0"/>
          <w:numId w:val="11"/>
        </w:numPr>
        <w:spacing w:line="500" w:lineRule="exact"/>
        <w:ind w:firstLine="560" w:firstLineChars="200"/>
        <w:jc w:val="left"/>
        <w:rPr>
          <w:bCs/>
          <w:color w:val="auto"/>
          <w:sz w:val="28"/>
          <w:highlight w:val="none"/>
        </w:rPr>
      </w:pPr>
      <w:r>
        <w:rPr>
          <w:rFonts w:hint="eastAsia"/>
          <w:bCs/>
          <w:color w:val="auto"/>
          <w:sz w:val="28"/>
          <w:highlight w:val="none"/>
        </w:rPr>
        <w:t>为本方作业人员签订合法的劳动合同，依法为作业人员办理工伤社会保险，作业过程中如有人员调整，必须书面通知甲方。</w:t>
      </w:r>
    </w:p>
    <w:p>
      <w:pPr>
        <w:widowControl/>
        <w:numPr>
          <w:ilvl w:val="0"/>
          <w:numId w:val="12"/>
        </w:numPr>
        <w:spacing w:line="500" w:lineRule="exact"/>
        <w:ind w:firstLine="560" w:firstLineChars="200"/>
        <w:jc w:val="left"/>
        <w:rPr>
          <w:bCs/>
          <w:color w:val="auto"/>
          <w:sz w:val="28"/>
          <w:highlight w:val="none"/>
        </w:rPr>
      </w:pPr>
      <w:r>
        <w:rPr>
          <w:rFonts w:hint="eastAsia"/>
          <w:bCs/>
          <w:color w:val="auto"/>
          <w:sz w:val="28"/>
          <w:highlight w:val="none"/>
        </w:rPr>
        <w:t>作业前将所有作业人员名单、特种作业人员名单和操作证复印件向甲方安全管理部门备案。</w:t>
      </w:r>
    </w:p>
    <w:p>
      <w:pPr>
        <w:widowControl/>
        <w:numPr>
          <w:ilvl w:val="0"/>
          <w:numId w:val="13"/>
        </w:numPr>
        <w:spacing w:line="500" w:lineRule="exact"/>
        <w:ind w:firstLine="560" w:firstLineChars="200"/>
        <w:jc w:val="left"/>
        <w:rPr>
          <w:bCs/>
          <w:color w:val="auto"/>
          <w:sz w:val="28"/>
          <w:highlight w:val="none"/>
        </w:rPr>
      </w:pPr>
      <w:r>
        <w:rPr>
          <w:rFonts w:hint="eastAsia"/>
          <w:bCs/>
          <w:color w:val="auto"/>
          <w:sz w:val="28"/>
          <w:highlight w:val="none"/>
        </w:rPr>
        <w:t>必须对本方人员进行安全教育培训，内容包括但不限于该项目存在的安全风险和防范措施，安全注意事项等，所有参与该项目的人员必须接受甲方的安全交底，不得安排未经安全教育和安全交底的人员进行作业。</w:t>
      </w:r>
    </w:p>
    <w:p>
      <w:pPr>
        <w:widowControl/>
        <w:numPr>
          <w:ilvl w:val="0"/>
          <w:numId w:val="14"/>
        </w:numPr>
        <w:spacing w:line="500" w:lineRule="exact"/>
        <w:ind w:firstLine="560" w:firstLineChars="200"/>
        <w:jc w:val="left"/>
        <w:rPr>
          <w:bCs/>
          <w:color w:val="auto"/>
          <w:sz w:val="28"/>
          <w:highlight w:val="none"/>
        </w:rPr>
      </w:pPr>
      <w:r>
        <w:rPr>
          <w:rFonts w:hint="eastAsia"/>
          <w:bCs/>
          <w:color w:val="auto"/>
          <w:sz w:val="28"/>
          <w:highlight w:val="none"/>
        </w:rPr>
        <w:t>严格遵守安全生产规章制度，自觉接受甲方单位的安全监督、管理和指导及纠违执罚，做好安全、文明施工作业。</w:t>
      </w:r>
    </w:p>
    <w:p>
      <w:pPr>
        <w:widowControl/>
        <w:numPr>
          <w:ilvl w:val="0"/>
          <w:numId w:val="15"/>
        </w:numPr>
        <w:spacing w:line="500" w:lineRule="exact"/>
        <w:ind w:firstLine="560" w:firstLineChars="200"/>
        <w:jc w:val="left"/>
        <w:rPr>
          <w:bCs/>
          <w:color w:val="auto"/>
          <w:sz w:val="28"/>
          <w:highlight w:val="none"/>
        </w:rPr>
      </w:pPr>
      <w:r>
        <w:rPr>
          <w:rFonts w:hint="eastAsia"/>
          <w:bCs/>
          <w:color w:val="auto"/>
          <w:sz w:val="28"/>
          <w:highlight w:val="none"/>
        </w:rPr>
        <w:t>对复杂和危险性较大的工程项目，应制订单独的安全技术方案和措施，经上级监管部门审批同意后方可作业。</w:t>
      </w:r>
    </w:p>
    <w:p>
      <w:pPr>
        <w:widowControl/>
        <w:numPr>
          <w:ilvl w:val="0"/>
          <w:numId w:val="16"/>
        </w:numPr>
        <w:spacing w:line="500" w:lineRule="exact"/>
        <w:ind w:firstLine="560" w:firstLineChars="200"/>
        <w:jc w:val="left"/>
        <w:rPr>
          <w:bCs/>
          <w:color w:val="auto"/>
          <w:sz w:val="28"/>
          <w:highlight w:val="none"/>
        </w:rPr>
      </w:pPr>
      <w:r>
        <w:rPr>
          <w:rFonts w:hint="eastAsia"/>
          <w:bCs/>
          <w:color w:val="auto"/>
          <w:sz w:val="28"/>
          <w:highlight w:val="none"/>
        </w:rPr>
        <w:t>如需使用甲方的机械、电器等设备、设施，必须经甲方同意，由熟悉该设备和具备相应操作资格证的人员进行操作，并对其安全防护措施负责和承担安全责任。</w:t>
      </w:r>
    </w:p>
    <w:p>
      <w:pPr>
        <w:widowControl/>
        <w:numPr>
          <w:ilvl w:val="0"/>
          <w:numId w:val="17"/>
        </w:numPr>
        <w:spacing w:line="500" w:lineRule="exact"/>
        <w:ind w:firstLine="560" w:firstLineChars="200"/>
        <w:jc w:val="left"/>
        <w:rPr>
          <w:bCs/>
          <w:color w:val="auto"/>
          <w:sz w:val="28"/>
          <w:highlight w:val="none"/>
        </w:rPr>
      </w:pPr>
      <w:r>
        <w:rPr>
          <w:rFonts w:hint="eastAsia"/>
          <w:bCs/>
          <w:color w:val="auto"/>
          <w:sz w:val="28"/>
          <w:highlight w:val="none"/>
        </w:rPr>
        <w:t>教育和监管本方人员在未经甲方允许，不得随意进入与该项目无关的区域或场所，不得触摸、启动机械、电器、开关等，否则因此而引起的事故或损失由乙方负全部责任。</w:t>
      </w:r>
    </w:p>
    <w:p>
      <w:pPr>
        <w:widowControl/>
        <w:numPr>
          <w:ilvl w:val="0"/>
          <w:numId w:val="18"/>
        </w:numPr>
        <w:spacing w:line="500" w:lineRule="exact"/>
        <w:ind w:firstLine="560" w:firstLineChars="200"/>
        <w:jc w:val="left"/>
        <w:rPr>
          <w:bCs/>
          <w:color w:val="auto"/>
          <w:sz w:val="28"/>
          <w:highlight w:val="none"/>
        </w:rPr>
      </w:pPr>
      <w:r>
        <w:rPr>
          <w:rFonts w:hint="eastAsia"/>
          <w:bCs/>
          <w:color w:val="auto"/>
          <w:sz w:val="28"/>
          <w:highlight w:val="none"/>
        </w:rPr>
        <w:t>不安排未经有关部门培训、考核的无证人员从事特殊工种作业。</w:t>
      </w:r>
    </w:p>
    <w:p>
      <w:pPr>
        <w:spacing w:line="500" w:lineRule="exact"/>
        <w:ind w:firstLine="560" w:firstLineChars="200"/>
        <w:rPr>
          <w:bCs/>
          <w:color w:val="auto"/>
          <w:sz w:val="28"/>
          <w:highlight w:val="none"/>
        </w:rPr>
      </w:pPr>
      <w:r>
        <w:rPr>
          <w:rFonts w:hint="eastAsia"/>
          <w:bCs/>
          <w:color w:val="auto"/>
          <w:sz w:val="28"/>
          <w:highlight w:val="none"/>
        </w:rPr>
        <w:t>（十一）对该项目的安全施工作业以及对参与该工程作业的本单位所使用的全部人员的安全负责，对由于本方安全责任不落实引发的生产安全责任事故负全部责任。</w:t>
      </w:r>
    </w:p>
    <w:p>
      <w:pPr>
        <w:spacing w:line="500" w:lineRule="exact"/>
        <w:ind w:firstLine="560" w:firstLineChars="200"/>
        <w:rPr>
          <w:bCs/>
          <w:color w:val="auto"/>
          <w:sz w:val="28"/>
          <w:highlight w:val="none"/>
        </w:rPr>
      </w:pPr>
      <w:r>
        <w:rPr>
          <w:rFonts w:hint="eastAsia" w:eastAsia="黑体"/>
          <w:bCs/>
          <w:color w:val="auto"/>
          <w:sz w:val="28"/>
          <w:highlight w:val="none"/>
        </w:rPr>
        <w:t xml:space="preserve">第五条 </w:t>
      </w:r>
      <w:r>
        <w:rPr>
          <w:rFonts w:hint="eastAsia"/>
          <w:bCs/>
          <w:color w:val="auto"/>
          <w:sz w:val="28"/>
          <w:highlight w:val="none"/>
        </w:rPr>
        <w:t>甲乙双方严格遵守本合同条款，履行各自的安全职责，确保安全、文明施工作业。</w:t>
      </w:r>
    </w:p>
    <w:p>
      <w:pPr>
        <w:spacing w:line="500" w:lineRule="exact"/>
        <w:ind w:firstLine="562" w:firstLineChars="200"/>
        <w:rPr>
          <w:b/>
          <w:color w:val="auto"/>
          <w:sz w:val="28"/>
          <w:highlight w:val="none"/>
        </w:rPr>
      </w:pPr>
      <w:bookmarkStart w:id="8" w:name="_Toc17887"/>
      <w:bookmarkStart w:id="9" w:name="_Toc31998"/>
      <w:r>
        <w:rPr>
          <w:rFonts w:hint="eastAsia"/>
          <w:b/>
          <w:color w:val="auto"/>
          <w:sz w:val="28"/>
          <w:highlight w:val="none"/>
        </w:rPr>
        <w:t xml:space="preserve">第六条 </w:t>
      </w:r>
      <w:r>
        <w:rPr>
          <w:rFonts w:hint="eastAsia"/>
          <w:bCs/>
          <w:color w:val="auto"/>
          <w:sz w:val="28"/>
          <w:highlight w:val="none"/>
        </w:rPr>
        <w:t>其他补充条款</w:t>
      </w:r>
      <w:bookmarkEnd w:id="8"/>
      <w:bookmarkEnd w:id="9"/>
    </w:p>
    <w:p>
      <w:pPr>
        <w:spacing w:line="500" w:lineRule="exact"/>
        <w:rPr>
          <w:bCs/>
          <w:color w:val="auto"/>
          <w:sz w:val="28"/>
          <w:highlight w:val="none"/>
          <w:u w:val="single"/>
        </w:rPr>
      </w:pPr>
      <w:r>
        <w:rPr>
          <w:rFonts w:hint="eastAsia"/>
          <w:bCs/>
          <w:color w:val="auto"/>
          <w:sz w:val="28"/>
          <w:highlight w:val="none"/>
          <w:u w:val="single"/>
        </w:rPr>
        <w:t xml:space="preserve">                                                             </w:t>
      </w:r>
    </w:p>
    <w:p>
      <w:pPr>
        <w:spacing w:line="500" w:lineRule="exact"/>
        <w:rPr>
          <w:bCs/>
          <w:color w:val="auto"/>
          <w:sz w:val="28"/>
          <w:highlight w:val="none"/>
          <w:u w:val="single"/>
        </w:rPr>
      </w:pPr>
      <w:r>
        <w:rPr>
          <w:rFonts w:hint="eastAsia"/>
          <w:bCs/>
          <w:color w:val="auto"/>
          <w:sz w:val="28"/>
          <w:highlight w:val="none"/>
          <w:u w:val="single"/>
        </w:rPr>
        <w:t xml:space="preserve">                                                             </w:t>
      </w:r>
    </w:p>
    <w:p>
      <w:pPr>
        <w:spacing w:line="500" w:lineRule="exact"/>
        <w:rPr>
          <w:bCs/>
          <w:color w:val="auto"/>
          <w:sz w:val="28"/>
          <w:highlight w:val="none"/>
          <w:u w:val="single"/>
        </w:rPr>
      </w:pPr>
      <w:r>
        <w:rPr>
          <w:rFonts w:hint="eastAsia"/>
          <w:bCs/>
          <w:color w:val="auto"/>
          <w:sz w:val="28"/>
          <w:highlight w:val="none"/>
          <w:u w:val="single"/>
        </w:rPr>
        <w:t xml:space="preserve">                                                             </w:t>
      </w:r>
    </w:p>
    <w:p>
      <w:pPr>
        <w:spacing w:line="500" w:lineRule="exact"/>
        <w:rPr>
          <w:bCs/>
          <w:color w:val="auto"/>
          <w:sz w:val="28"/>
          <w:highlight w:val="none"/>
          <w:u w:val="single"/>
        </w:rPr>
      </w:pPr>
      <w:r>
        <w:rPr>
          <w:rFonts w:hint="eastAsia"/>
          <w:bCs/>
          <w:color w:val="auto"/>
          <w:sz w:val="28"/>
          <w:highlight w:val="none"/>
          <w:u w:val="single"/>
        </w:rPr>
        <w:t xml:space="preserve">                                                             </w:t>
      </w:r>
    </w:p>
    <w:p>
      <w:pPr>
        <w:spacing w:line="500" w:lineRule="exact"/>
        <w:ind w:firstLine="560" w:firstLineChars="200"/>
        <w:rPr>
          <w:bCs/>
          <w:color w:val="auto"/>
          <w:sz w:val="28"/>
          <w:highlight w:val="none"/>
        </w:rPr>
      </w:pPr>
      <w:r>
        <w:rPr>
          <w:rFonts w:hint="eastAsia" w:eastAsia="黑体"/>
          <w:bCs/>
          <w:color w:val="auto"/>
          <w:sz w:val="28"/>
          <w:highlight w:val="none"/>
        </w:rPr>
        <w:t xml:space="preserve">第七条 </w:t>
      </w:r>
      <w:r>
        <w:rPr>
          <w:rFonts w:hint="eastAsia"/>
          <w:bCs/>
          <w:color w:val="auto"/>
          <w:sz w:val="28"/>
          <w:highlight w:val="none"/>
        </w:rPr>
        <w:t>本协议由甲、乙双方安全负责人签字，盖公章（或合同章）后生效，有效期至项目结束日期。</w:t>
      </w:r>
    </w:p>
    <w:p>
      <w:pPr>
        <w:spacing w:line="500" w:lineRule="exact"/>
        <w:rPr>
          <w:bCs/>
          <w:color w:val="auto"/>
          <w:sz w:val="28"/>
          <w:highlight w:val="none"/>
        </w:rPr>
      </w:pPr>
    </w:p>
    <w:p>
      <w:pPr>
        <w:spacing w:line="500" w:lineRule="exact"/>
        <w:rPr>
          <w:bCs/>
          <w:color w:val="auto"/>
          <w:sz w:val="28"/>
          <w:highlight w:val="none"/>
        </w:rPr>
      </w:pPr>
    </w:p>
    <w:p>
      <w:pPr>
        <w:spacing w:line="500" w:lineRule="exact"/>
        <w:rPr>
          <w:bCs/>
          <w:color w:val="auto"/>
          <w:sz w:val="28"/>
          <w:highlight w:val="none"/>
        </w:rPr>
      </w:pPr>
      <w:r>
        <w:rPr>
          <w:rFonts w:hint="eastAsia"/>
          <w:bCs/>
          <w:color w:val="auto"/>
          <w:sz w:val="28"/>
          <w:highlight w:val="none"/>
        </w:rPr>
        <w:t>甲方（盖章）：                   乙方（盖章）：</w:t>
      </w:r>
    </w:p>
    <w:p>
      <w:pPr>
        <w:spacing w:line="500" w:lineRule="exact"/>
        <w:rPr>
          <w:bCs/>
          <w:color w:val="auto"/>
          <w:sz w:val="28"/>
          <w:highlight w:val="none"/>
        </w:rPr>
      </w:pPr>
      <w:r>
        <w:rPr>
          <w:rFonts w:hint="eastAsia"/>
          <w:bCs/>
          <w:color w:val="auto"/>
          <w:sz w:val="28"/>
          <w:highlight w:val="none"/>
        </w:rPr>
        <w:t>安全负责人：                    安全负责人：</w:t>
      </w:r>
    </w:p>
    <w:p>
      <w:pPr>
        <w:spacing w:line="500" w:lineRule="exact"/>
        <w:rPr>
          <w:bCs/>
          <w:color w:val="auto"/>
          <w:sz w:val="28"/>
          <w:highlight w:val="none"/>
        </w:rPr>
      </w:pPr>
    </w:p>
    <w:p>
      <w:pPr>
        <w:spacing w:line="360" w:lineRule="auto"/>
        <w:rPr>
          <w:bCs/>
          <w:color w:val="auto"/>
          <w:sz w:val="28"/>
          <w:highlight w:val="none"/>
        </w:rPr>
      </w:pPr>
      <w:r>
        <w:rPr>
          <w:rFonts w:hint="eastAsia"/>
          <w:bCs/>
          <w:color w:val="auto"/>
          <w:sz w:val="28"/>
          <w:highlight w:val="none"/>
        </w:rPr>
        <w:t>年  月  日                          年  月  日</w:t>
      </w:r>
    </w:p>
    <w:p>
      <w:pPr>
        <w:rPr>
          <w:color w:val="auto"/>
          <w:highlight w:val="none"/>
        </w:rPr>
      </w:pP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FF3B9"/>
    <w:multiLevelType w:val="singleLevel"/>
    <w:tmpl w:val="95BFF3B9"/>
    <w:lvl w:ilvl="0" w:tentative="0">
      <w:start w:val="1"/>
      <w:numFmt w:val="decimal"/>
      <w:suff w:val="nothing"/>
      <w:lvlText w:val="%1、"/>
      <w:lvlJc w:val="left"/>
    </w:lvl>
  </w:abstractNum>
  <w:abstractNum w:abstractNumId="1">
    <w:nsid w:val="AED02383"/>
    <w:multiLevelType w:val="singleLevel"/>
    <w:tmpl w:val="AED02383"/>
    <w:lvl w:ilvl="0" w:tentative="0">
      <w:start w:val="1"/>
      <w:numFmt w:val="decimal"/>
      <w:suff w:val="nothing"/>
      <w:lvlText w:val="（%1）"/>
      <w:lvlJc w:val="left"/>
    </w:lvl>
  </w:abstractNum>
  <w:abstractNum w:abstractNumId="2">
    <w:nsid w:val="B835B9A3"/>
    <w:multiLevelType w:val="singleLevel"/>
    <w:tmpl w:val="B835B9A3"/>
    <w:lvl w:ilvl="0" w:tentative="0">
      <w:start w:val="10"/>
      <w:numFmt w:val="chineseCounting"/>
      <w:suff w:val="nothing"/>
      <w:lvlText w:val="%1、"/>
      <w:lvlJc w:val="left"/>
      <w:rPr>
        <w:rFonts w:hint="eastAsia"/>
      </w:rPr>
    </w:lvl>
  </w:abstractNum>
  <w:abstractNum w:abstractNumId="3">
    <w:nsid w:val="BB6679DA"/>
    <w:multiLevelType w:val="singleLevel"/>
    <w:tmpl w:val="BB6679DA"/>
    <w:lvl w:ilvl="0" w:tentative="0">
      <w:start w:val="8"/>
      <w:numFmt w:val="chineseCounting"/>
      <w:suff w:val="nothing"/>
      <w:lvlText w:val="（%1）"/>
      <w:lvlJc w:val="left"/>
      <w:rPr>
        <w:rFonts w:hint="eastAsia"/>
      </w:rPr>
    </w:lvl>
  </w:abstractNum>
  <w:abstractNum w:abstractNumId="4">
    <w:nsid w:val="BB87D4CD"/>
    <w:multiLevelType w:val="singleLevel"/>
    <w:tmpl w:val="BB87D4CD"/>
    <w:lvl w:ilvl="0" w:tentative="0">
      <w:start w:val="4"/>
      <w:numFmt w:val="chineseCounting"/>
      <w:suff w:val="nothing"/>
      <w:lvlText w:val="（%1）"/>
      <w:lvlJc w:val="left"/>
      <w:rPr>
        <w:rFonts w:hint="eastAsia"/>
      </w:rPr>
    </w:lvl>
  </w:abstractNum>
  <w:abstractNum w:abstractNumId="5">
    <w:nsid w:val="C057CBE7"/>
    <w:multiLevelType w:val="singleLevel"/>
    <w:tmpl w:val="C057CBE7"/>
    <w:lvl w:ilvl="0" w:tentative="0">
      <w:start w:val="6"/>
      <w:numFmt w:val="chineseCounting"/>
      <w:suff w:val="nothing"/>
      <w:lvlText w:val="（%1）"/>
      <w:lvlJc w:val="left"/>
      <w:rPr>
        <w:rFonts w:hint="eastAsia"/>
      </w:rPr>
    </w:lvl>
  </w:abstractNum>
  <w:abstractNum w:abstractNumId="6">
    <w:nsid w:val="CA794EAD"/>
    <w:multiLevelType w:val="singleLevel"/>
    <w:tmpl w:val="CA794EAD"/>
    <w:lvl w:ilvl="0" w:tentative="0">
      <w:start w:val="5"/>
      <w:numFmt w:val="chineseCounting"/>
      <w:suff w:val="nothing"/>
      <w:lvlText w:val="（%1）"/>
      <w:lvlJc w:val="left"/>
      <w:rPr>
        <w:rFonts w:hint="eastAsia"/>
      </w:rPr>
    </w:lvl>
  </w:abstractNum>
  <w:abstractNum w:abstractNumId="7">
    <w:nsid w:val="CDD3752D"/>
    <w:multiLevelType w:val="singleLevel"/>
    <w:tmpl w:val="CDD3752D"/>
    <w:lvl w:ilvl="0" w:tentative="0">
      <w:start w:val="1"/>
      <w:numFmt w:val="chineseCounting"/>
      <w:suff w:val="nothing"/>
      <w:lvlText w:val="（%1）"/>
      <w:lvlJc w:val="left"/>
      <w:rPr>
        <w:rFonts w:hint="eastAsia"/>
      </w:rPr>
    </w:lvl>
  </w:abstractNum>
  <w:abstractNum w:abstractNumId="8">
    <w:nsid w:val="D0B655E7"/>
    <w:multiLevelType w:val="singleLevel"/>
    <w:tmpl w:val="D0B655E7"/>
    <w:lvl w:ilvl="0" w:tentative="0">
      <w:start w:val="9"/>
      <w:numFmt w:val="chineseCounting"/>
      <w:suff w:val="nothing"/>
      <w:lvlText w:val="（%1）"/>
      <w:lvlJc w:val="left"/>
      <w:rPr>
        <w:rFonts w:hint="eastAsia"/>
      </w:rPr>
    </w:lvl>
  </w:abstractNum>
  <w:abstractNum w:abstractNumId="9">
    <w:nsid w:val="E8C5D1A8"/>
    <w:multiLevelType w:val="singleLevel"/>
    <w:tmpl w:val="E8C5D1A8"/>
    <w:lvl w:ilvl="0" w:tentative="0">
      <w:start w:val="4"/>
      <w:numFmt w:val="decimal"/>
      <w:suff w:val="nothing"/>
      <w:lvlText w:val="%1、"/>
      <w:lvlJc w:val="left"/>
    </w:lvl>
  </w:abstractNum>
  <w:abstractNum w:abstractNumId="10">
    <w:nsid w:val="372CACDB"/>
    <w:multiLevelType w:val="singleLevel"/>
    <w:tmpl w:val="372CACDB"/>
    <w:lvl w:ilvl="0" w:tentative="0">
      <w:start w:val="3"/>
      <w:numFmt w:val="chineseCounting"/>
      <w:suff w:val="nothing"/>
      <w:lvlText w:val="（%1）"/>
      <w:lvlJc w:val="left"/>
      <w:rPr>
        <w:rFonts w:hint="eastAsia"/>
      </w:rPr>
    </w:lvl>
  </w:abstractNum>
  <w:abstractNum w:abstractNumId="11">
    <w:nsid w:val="4BED0845"/>
    <w:multiLevelType w:val="singleLevel"/>
    <w:tmpl w:val="4BED0845"/>
    <w:lvl w:ilvl="0" w:tentative="0">
      <w:start w:val="2"/>
      <w:numFmt w:val="chineseCounting"/>
      <w:suff w:val="nothing"/>
      <w:lvlText w:val="（%1）"/>
      <w:lvlJc w:val="left"/>
      <w:rPr>
        <w:rFonts w:hint="eastAsia"/>
      </w:rPr>
    </w:lvl>
  </w:abstractNum>
  <w:abstractNum w:abstractNumId="12">
    <w:nsid w:val="4D807D1B"/>
    <w:multiLevelType w:val="singleLevel"/>
    <w:tmpl w:val="4D807D1B"/>
    <w:lvl w:ilvl="0" w:tentative="0">
      <w:start w:val="1"/>
      <w:numFmt w:val="chineseCounting"/>
      <w:suff w:val="nothing"/>
      <w:lvlText w:val="（%1）"/>
      <w:lvlJc w:val="left"/>
      <w:rPr>
        <w:rFonts w:hint="eastAsia"/>
      </w:rPr>
    </w:lvl>
  </w:abstractNum>
  <w:abstractNum w:abstractNumId="13">
    <w:nsid w:val="568E0FED"/>
    <w:multiLevelType w:val="singleLevel"/>
    <w:tmpl w:val="568E0FED"/>
    <w:lvl w:ilvl="0" w:tentative="0">
      <w:start w:val="7"/>
      <w:numFmt w:val="chineseCounting"/>
      <w:suff w:val="nothing"/>
      <w:lvlText w:val="（%1）"/>
      <w:lvlJc w:val="left"/>
      <w:rPr>
        <w:rFonts w:hint="eastAsia"/>
      </w:rPr>
    </w:lvl>
  </w:abstractNum>
  <w:abstractNum w:abstractNumId="14">
    <w:nsid w:val="5F9F6778"/>
    <w:multiLevelType w:val="singleLevel"/>
    <w:tmpl w:val="5F9F6778"/>
    <w:lvl w:ilvl="0" w:tentative="0">
      <w:start w:val="10"/>
      <w:numFmt w:val="chineseCounting"/>
      <w:suff w:val="nothing"/>
      <w:lvlText w:val="（%1）"/>
      <w:lvlJc w:val="left"/>
      <w:rPr>
        <w:rFonts w:hint="eastAsia"/>
      </w:rPr>
    </w:lvl>
  </w:abstractNum>
  <w:abstractNum w:abstractNumId="15">
    <w:nsid w:val="61D5740A"/>
    <w:multiLevelType w:val="singleLevel"/>
    <w:tmpl w:val="61D5740A"/>
    <w:lvl w:ilvl="0" w:tentative="0">
      <w:start w:val="2"/>
      <w:numFmt w:val="chineseCounting"/>
      <w:suff w:val="nothing"/>
      <w:lvlText w:val="（%1）"/>
      <w:lvlJc w:val="left"/>
      <w:rPr>
        <w:rFonts w:hint="eastAsia"/>
      </w:rPr>
    </w:lvl>
  </w:abstractNum>
  <w:abstractNum w:abstractNumId="16">
    <w:nsid w:val="7B9577BD"/>
    <w:multiLevelType w:val="singleLevel"/>
    <w:tmpl w:val="7B9577BD"/>
    <w:lvl w:ilvl="0" w:tentative="0">
      <w:start w:val="4"/>
      <w:numFmt w:val="chineseCounting"/>
      <w:suff w:val="nothing"/>
      <w:lvlText w:val="（%1）"/>
      <w:lvlJc w:val="left"/>
      <w:rPr>
        <w:rFonts w:hint="eastAsia"/>
      </w:rPr>
    </w:lvl>
  </w:abstractNum>
  <w:abstractNum w:abstractNumId="17">
    <w:nsid w:val="7EAC8F23"/>
    <w:multiLevelType w:val="singleLevel"/>
    <w:tmpl w:val="7EAC8F23"/>
    <w:lvl w:ilvl="0" w:tentative="0">
      <w:start w:val="3"/>
      <w:numFmt w:val="chineseCounting"/>
      <w:suff w:val="nothing"/>
      <w:lvlText w:val="（%1）"/>
      <w:lvlJc w:val="left"/>
      <w:rPr>
        <w:rFonts w:hint="eastAsia"/>
      </w:rPr>
    </w:lvl>
  </w:abstractNum>
  <w:num w:numId="1">
    <w:abstractNumId w:val="9"/>
  </w:num>
  <w:num w:numId="2">
    <w:abstractNumId w:val="1"/>
  </w:num>
  <w:num w:numId="3">
    <w:abstractNumId w:val="0"/>
  </w:num>
  <w:num w:numId="4">
    <w:abstractNumId w:val="2"/>
  </w:num>
  <w:num w:numId="5">
    <w:abstractNumId w:val="7"/>
  </w:num>
  <w:num w:numId="6">
    <w:abstractNumId w:val="11"/>
  </w:num>
  <w:num w:numId="7">
    <w:abstractNumId w:val="10"/>
  </w:num>
  <w:num w:numId="8">
    <w:abstractNumId w:val="4"/>
  </w:num>
  <w:num w:numId="9">
    <w:abstractNumId w:val="12"/>
  </w:num>
  <w:num w:numId="10">
    <w:abstractNumId w:val="15"/>
  </w:num>
  <w:num w:numId="11">
    <w:abstractNumId w:val="17"/>
  </w:num>
  <w:num w:numId="12">
    <w:abstractNumId w:val="16"/>
  </w:num>
  <w:num w:numId="13">
    <w:abstractNumId w:val="6"/>
  </w:num>
  <w:num w:numId="14">
    <w:abstractNumId w:val="5"/>
  </w:num>
  <w:num w:numId="15">
    <w:abstractNumId w:val="13"/>
  </w:num>
  <w:num w:numId="16">
    <w:abstractNumId w:val="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GWebUrl" w:val="http://10.168.30.10:7890/easoa/PositionServlet"/>
  </w:docVars>
  <w:rsids>
    <w:rsidRoot w:val="00000000"/>
    <w:rsid w:val="0C8C6059"/>
    <w:rsid w:val="1ECC420B"/>
    <w:rsid w:val="323E5BA7"/>
    <w:rsid w:val="3B550104"/>
    <w:rsid w:val="5F064676"/>
    <w:rsid w:val="60370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semiHidden/>
    <w:qFormat/>
    <w:uiPriority w:val="0"/>
    <w:rPr>
      <w:rFonts w:ascii="黑体" w:hAnsi="黑体" w:eastAsia="黑体" w:cs="黑体"/>
      <w:sz w:val="29"/>
      <w:szCs w:val="29"/>
      <w:lang w:eastAsia="en-US"/>
    </w:rPr>
  </w:style>
  <w:style w:type="paragraph" w:styleId="5">
    <w:name w:val="Body Text Indent"/>
    <w:basedOn w:val="1"/>
    <w:next w:val="6"/>
    <w:qFormat/>
    <w:uiPriority w:val="0"/>
    <w:pPr>
      <w:spacing w:after="120"/>
      <w:ind w:left="420" w:leftChars="200"/>
    </w:pPr>
    <w:rPr>
      <w:rFonts w:ascii="Times New Roman" w:hAnsi="Times New Roman"/>
      <w:kern w:val="0"/>
      <w:sz w:val="20"/>
    </w:rPr>
  </w:style>
  <w:style w:type="paragraph" w:styleId="6">
    <w:name w:val="Body Text Indent 2"/>
    <w:basedOn w:val="1"/>
    <w:next w:val="7"/>
    <w:qFormat/>
    <w:uiPriority w:val="0"/>
    <w:pPr>
      <w:spacing w:after="120" w:line="480" w:lineRule="auto"/>
      <w:ind w:left="420" w:leftChars="200"/>
    </w:pPr>
    <w:rPr>
      <w:rFonts w:ascii="Times New Roman" w:hAnsi="Times New Roman"/>
      <w:kern w:val="0"/>
      <w:sz w:val="20"/>
    </w:rPr>
  </w:style>
  <w:style w:type="paragraph" w:customStyle="1" w:styleId="7">
    <w:name w:val="目录 71"/>
    <w:basedOn w:val="1"/>
    <w:next w:val="1"/>
    <w:qFormat/>
    <w:uiPriority w:val="0"/>
    <w:pPr>
      <w:ind w:left="2520"/>
    </w:pPr>
    <w:rPr>
      <w:rFonts w:ascii="Calibri" w:hAnsi="宋体" w:cs="宋体"/>
      <w:kern w:val="0"/>
      <w:szCs w:val="20"/>
    </w:rPr>
  </w:style>
  <w:style w:type="paragraph" w:styleId="8">
    <w:name w:val="Plain Text"/>
    <w:basedOn w:val="1"/>
    <w:next w:val="1"/>
    <w:qFormat/>
    <w:uiPriority w:val="99"/>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next w:val="11"/>
    <w:qFormat/>
    <w:uiPriority w:val="0"/>
    <w:pPr>
      <w:ind w:firstLine="420"/>
    </w:pPr>
    <w:rPr>
      <w:rFonts w:eastAsia="楷体_GB2312"/>
      <w:kern w:val="0"/>
      <w:sz w:val="20"/>
      <w:szCs w:val="20"/>
    </w:rPr>
  </w:style>
  <w:style w:type="paragraph" w:styleId="11">
    <w:name w:val="Body Text First Indent 2"/>
    <w:basedOn w:val="5"/>
    <w:qFormat/>
    <w:uiPriority w:val="0"/>
    <w:pPr>
      <w:adjustRightInd w:val="0"/>
      <w:spacing w:line="360" w:lineRule="auto"/>
      <w:ind w:left="0" w:leftChars="0" w:firstLine="420"/>
      <w:textAlignment w:val="baseline"/>
    </w:pPr>
    <w:rPr>
      <w:rFonts w:eastAsia="等线"/>
      <w:color w:val="000000"/>
    </w:rPr>
  </w:style>
  <w:style w:type="paragraph" w:customStyle="1" w:styleId="14">
    <w:name w:val="Table Text"/>
    <w:basedOn w:val="1"/>
    <w:semiHidden/>
    <w:qFormat/>
    <w:uiPriority w:val="0"/>
    <w:rPr>
      <w:rFonts w:ascii="宋体" w:hAnsi="宋体" w:eastAsia="宋体" w:cs="宋体"/>
      <w:szCs w:val="21"/>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basedOn w:val="1"/>
    <w:qFormat/>
    <w:uiPriority w:val="34"/>
    <w:pPr>
      <w:widowControl/>
      <w:ind w:left="720"/>
      <w:contextualSpacing/>
      <w:jc w:val="left"/>
    </w:pPr>
    <w:rPr>
      <w:rFonts w:ascii="Times New Roman" w:hAnsi="Times New Roman" w:eastAsia="宋体" w:cs="Times New Roman"/>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14474</Words>
  <Characters>14896</Characters>
  <Lines>0</Lines>
  <Paragraphs>0</Paragraphs>
  <TotalTime>0</TotalTime>
  <ScaleCrop>false</ScaleCrop>
  <LinksUpToDate>false</LinksUpToDate>
  <CharactersWithSpaces>15962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dcterms:modified xsi:type="dcterms:W3CDTF">2025-08-05T07:49:45Z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eyJoZGlkIjoiZTA5NjRkMWViNDMxY2MzZGJiMjgyM2Q3MGIyNGQzYmYiLCJ1c2VySWQiOiIzMTAyNjE4NzMifQ==</vt:lpwstr>
  </property>
  <property fmtid="{D5CDD505-2E9C-101B-9397-08002B2CF9AE}" pid="4" name="ICV">
    <vt:lpwstr>371C134AFE8B44D38769F86C1220070F_13</vt:lpwstr>
  </property>
</Properties>
</file>