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2BE7A">
      <w:pPr>
        <w:pStyle w:val="3"/>
        <w:spacing w:line="360" w:lineRule="auto"/>
        <w:jc w:val="center"/>
        <w:rPr>
          <w:rFonts w:hint="eastAsia" w:hAnsi="宋体"/>
          <w:b/>
          <w:color w:val="auto"/>
          <w:sz w:val="44"/>
          <w:szCs w:val="44"/>
        </w:rPr>
      </w:pPr>
      <w:bookmarkStart w:id="2" w:name="_GoBack"/>
      <w:bookmarkEnd w:id="2"/>
    </w:p>
    <w:p w14:paraId="0AAB790A">
      <w:pPr>
        <w:pStyle w:val="3"/>
        <w:spacing w:line="360" w:lineRule="auto"/>
        <w:jc w:val="center"/>
        <w:rPr>
          <w:rFonts w:hint="eastAsia" w:hAnsi="宋体"/>
          <w:b/>
          <w:color w:val="auto"/>
          <w:sz w:val="44"/>
          <w:szCs w:val="44"/>
        </w:rPr>
      </w:pPr>
    </w:p>
    <w:p w14:paraId="4E23B9F0">
      <w:pPr>
        <w:pStyle w:val="3"/>
        <w:spacing w:line="360" w:lineRule="auto"/>
        <w:jc w:val="center"/>
        <w:rPr>
          <w:rFonts w:hint="eastAsia" w:hAnsi="宋体"/>
          <w:b/>
          <w:bCs/>
          <w:color w:val="auto"/>
          <w:sz w:val="72"/>
          <w:szCs w:val="24"/>
        </w:rPr>
      </w:pPr>
      <w:r>
        <w:rPr>
          <w:rFonts w:hint="eastAsia" w:hAnsi="宋体"/>
          <w:b/>
          <w:bCs/>
          <w:color w:val="auto"/>
          <w:sz w:val="72"/>
          <w:szCs w:val="24"/>
        </w:rPr>
        <w:t>建设工程勘察设计合同</w:t>
      </w:r>
    </w:p>
    <w:p w14:paraId="2B0FC7CC">
      <w:pPr>
        <w:pStyle w:val="3"/>
        <w:spacing w:line="360" w:lineRule="auto"/>
        <w:jc w:val="center"/>
        <w:rPr>
          <w:rFonts w:hAnsi="宋体"/>
          <w:color w:val="auto"/>
          <w:sz w:val="28"/>
          <w:szCs w:val="28"/>
        </w:rPr>
      </w:pPr>
    </w:p>
    <w:p w14:paraId="7EAD4614">
      <w:pPr>
        <w:pStyle w:val="3"/>
        <w:spacing w:line="360" w:lineRule="auto"/>
        <w:ind w:left="559" w:leftChars="266"/>
        <w:rPr>
          <w:rFonts w:hint="eastAsia" w:hAnsi="宋体"/>
          <w:color w:val="auto"/>
          <w:sz w:val="32"/>
          <w:szCs w:val="32"/>
        </w:rPr>
      </w:pPr>
    </w:p>
    <w:p w14:paraId="3949FF3A">
      <w:pPr>
        <w:pStyle w:val="3"/>
        <w:spacing w:line="520" w:lineRule="exact"/>
        <w:rPr>
          <w:rFonts w:hint="eastAsia" w:hAnsi="宋体"/>
          <w:color w:val="auto"/>
          <w:sz w:val="32"/>
          <w:szCs w:val="32"/>
        </w:rPr>
      </w:pPr>
    </w:p>
    <w:p w14:paraId="7B55C120">
      <w:pPr>
        <w:pStyle w:val="3"/>
        <w:spacing w:line="520" w:lineRule="exact"/>
        <w:ind w:left="559" w:leftChars="266"/>
        <w:rPr>
          <w:rFonts w:hint="eastAsia" w:hAnsi="宋体"/>
          <w:color w:val="auto"/>
          <w:sz w:val="32"/>
          <w:szCs w:val="32"/>
        </w:rPr>
      </w:pPr>
    </w:p>
    <w:p w14:paraId="7209AD84">
      <w:pPr>
        <w:pStyle w:val="3"/>
        <w:spacing w:line="600" w:lineRule="exact"/>
        <w:ind w:left="3155" w:leftChars="305" w:hanging="2515" w:hangingChars="786"/>
        <w:rPr>
          <w:rFonts w:hint="eastAsia" w:hAnsi="宋体"/>
          <w:bCs/>
          <w:color w:val="auto"/>
          <w:sz w:val="32"/>
          <w:szCs w:val="32"/>
          <w:u w:val="single"/>
        </w:rPr>
      </w:pPr>
      <w:r>
        <w:rPr>
          <w:rFonts w:hint="eastAsia" w:hAnsi="宋体"/>
          <w:color w:val="auto"/>
          <w:sz w:val="32"/>
          <w:szCs w:val="32"/>
        </w:rPr>
        <w:t>工  程  名  称：</w:t>
      </w:r>
      <w:r>
        <w:rPr>
          <w:rFonts w:hint="eastAsia" w:ascii="宋体" w:hAnsi="宋体" w:eastAsia="宋体" w:cs="Times New Roman"/>
          <w:color w:val="auto"/>
          <w:sz w:val="32"/>
          <w:szCs w:val="32"/>
          <w:u w:val="single"/>
          <w:lang w:val="en-US" w:eastAsia="zh-CN"/>
        </w:rPr>
        <w:t>番禺区迎星中路（新光快速至番禺大道）改造工程</w:t>
      </w:r>
    </w:p>
    <w:p w14:paraId="53F55950">
      <w:pPr>
        <w:pStyle w:val="3"/>
        <w:spacing w:line="600" w:lineRule="exact"/>
        <w:ind w:firstLine="640" w:firstLineChars="200"/>
        <w:rPr>
          <w:rFonts w:hint="eastAsia" w:hAnsi="宋体"/>
          <w:color w:val="auto"/>
          <w:sz w:val="32"/>
          <w:szCs w:val="32"/>
          <w:u w:val="single"/>
        </w:rPr>
      </w:pPr>
      <w:r>
        <w:rPr>
          <w:rFonts w:hint="eastAsia" w:hAnsi="宋体"/>
          <w:color w:val="auto"/>
          <w:sz w:val="32"/>
          <w:szCs w:val="32"/>
        </w:rPr>
        <w:t>工  程  地  点：</w:t>
      </w:r>
      <w:r>
        <w:rPr>
          <w:rFonts w:hint="eastAsia" w:hAnsi="宋体"/>
          <w:color w:val="auto"/>
          <w:sz w:val="32"/>
          <w:szCs w:val="32"/>
          <w:u w:val="single"/>
        </w:rPr>
        <w:t>广州市番禺区</w:t>
      </w:r>
    </w:p>
    <w:p w14:paraId="3CF94C01">
      <w:pPr>
        <w:pStyle w:val="3"/>
        <w:spacing w:line="600" w:lineRule="exact"/>
        <w:ind w:left="638" w:leftChars="304"/>
        <w:rPr>
          <w:rFonts w:hint="eastAsia" w:hAnsi="宋体"/>
          <w:color w:val="auto"/>
          <w:sz w:val="32"/>
          <w:szCs w:val="32"/>
          <w:u w:val="single"/>
        </w:rPr>
      </w:pPr>
      <w:r>
        <w:rPr>
          <w:rFonts w:hint="eastAsia" w:hAnsi="宋体"/>
          <w:color w:val="auto"/>
          <w:sz w:val="32"/>
          <w:szCs w:val="32"/>
        </w:rPr>
        <w:t>合  同  编  号：</w:t>
      </w:r>
      <w:r>
        <w:rPr>
          <w:rFonts w:hint="eastAsia" w:hAnsi="宋体"/>
          <w:color w:val="auto"/>
          <w:sz w:val="32"/>
          <w:szCs w:val="32"/>
          <w:u w:val="single"/>
        </w:rPr>
        <w:t xml:space="preserve">                                    </w:t>
      </w:r>
      <w:r>
        <w:rPr>
          <w:rFonts w:hint="eastAsia" w:hAnsi="宋体"/>
          <w:color w:val="auto"/>
          <w:sz w:val="32"/>
          <w:szCs w:val="32"/>
        </w:rPr>
        <w:cr/>
      </w:r>
      <w:r>
        <w:rPr>
          <w:rFonts w:hint="eastAsia" w:hAnsi="宋体"/>
          <w:color w:val="auto"/>
          <w:spacing w:val="26"/>
          <w:sz w:val="32"/>
          <w:szCs w:val="32"/>
        </w:rPr>
        <w:t>设计证书等级</w:t>
      </w:r>
      <w:r>
        <w:rPr>
          <w:rFonts w:hint="eastAsia" w:hAnsi="宋体"/>
          <w:color w:val="auto"/>
          <w:sz w:val="32"/>
          <w:szCs w:val="32"/>
        </w:rPr>
        <w:t>：</w:t>
      </w:r>
      <w:r>
        <w:rPr>
          <w:rFonts w:hint="eastAsia" w:hAnsi="宋体"/>
          <w:color w:val="auto"/>
          <w:sz w:val="32"/>
          <w:szCs w:val="32"/>
          <w:u w:val="single"/>
        </w:rPr>
        <w:t xml:space="preserve">                                    </w:t>
      </w:r>
      <w:r>
        <w:rPr>
          <w:rFonts w:hint="eastAsia" w:hAnsi="宋体"/>
          <w:color w:val="auto"/>
          <w:sz w:val="32"/>
          <w:szCs w:val="32"/>
        </w:rPr>
        <w:cr/>
      </w:r>
      <w:r>
        <w:rPr>
          <w:rFonts w:hint="eastAsia" w:hAnsi="宋体"/>
          <w:color w:val="auto"/>
          <w:sz w:val="32"/>
          <w:szCs w:val="32"/>
        </w:rPr>
        <w:t>发    包    人：</w:t>
      </w:r>
      <w:r>
        <w:rPr>
          <w:rFonts w:hint="eastAsia" w:hAnsi="宋体"/>
          <w:bCs/>
          <w:color w:val="auto"/>
          <w:sz w:val="32"/>
          <w:szCs w:val="32"/>
          <w:u w:val="single"/>
        </w:rPr>
        <w:t xml:space="preserve">广州市番禺区基本建设投资管理中心  </w:t>
      </w:r>
    </w:p>
    <w:p w14:paraId="437F7519">
      <w:pPr>
        <w:pStyle w:val="3"/>
        <w:spacing w:line="600" w:lineRule="exact"/>
        <w:ind w:firstLine="640" w:firstLineChars="200"/>
        <w:rPr>
          <w:rFonts w:hint="eastAsia" w:hAnsi="宋体"/>
          <w:color w:val="auto"/>
          <w:sz w:val="32"/>
          <w:szCs w:val="32"/>
          <w:u w:val="single"/>
        </w:rPr>
      </w:pPr>
      <w:r>
        <w:rPr>
          <w:rFonts w:hint="eastAsia" w:hAnsi="宋体"/>
          <w:color w:val="auto"/>
          <w:sz w:val="32"/>
          <w:szCs w:val="32"/>
        </w:rPr>
        <w:t>承    包    人：</w:t>
      </w:r>
      <w:r>
        <w:rPr>
          <w:rFonts w:hint="eastAsia" w:ascii="微软雅黑" w:hAnsi="微软雅黑" w:cs="Helvetica"/>
          <w:color w:val="auto"/>
          <w:sz w:val="32"/>
          <w:szCs w:val="32"/>
          <w:u w:val="single"/>
        </w:rPr>
        <w:t xml:space="preserve"> </w:t>
      </w:r>
      <w:r>
        <w:rPr>
          <w:rFonts w:hint="eastAsia" w:ascii="微软雅黑" w:hAnsi="微软雅黑" w:cs="Helvetica"/>
          <w:color w:val="auto"/>
          <w:sz w:val="32"/>
          <w:szCs w:val="32"/>
          <w:u w:val="single"/>
          <w:lang w:val="en-US" w:eastAsia="zh-CN"/>
        </w:rPr>
        <w:t xml:space="preserve"> </w:t>
      </w:r>
      <w:r>
        <w:rPr>
          <w:rFonts w:hint="eastAsia" w:ascii="微软雅黑" w:hAnsi="微软雅黑" w:cs="Helvetica"/>
          <w:color w:val="auto"/>
          <w:sz w:val="32"/>
          <w:szCs w:val="32"/>
          <w:u w:val="single"/>
        </w:rPr>
        <w:t xml:space="preserve"> </w:t>
      </w:r>
    </w:p>
    <w:p w14:paraId="62129BA1">
      <w:pPr>
        <w:pStyle w:val="3"/>
        <w:spacing w:line="600" w:lineRule="exact"/>
        <w:ind w:left="638" w:leftChars="304"/>
        <w:rPr>
          <w:rFonts w:hint="eastAsia" w:hAnsi="宋体"/>
          <w:color w:val="auto"/>
          <w:spacing w:val="26"/>
          <w:sz w:val="32"/>
          <w:szCs w:val="32"/>
        </w:rPr>
      </w:pPr>
      <w:r>
        <w:rPr>
          <w:rFonts w:hint="eastAsia" w:hAnsi="宋体"/>
          <w:color w:val="auto"/>
          <w:spacing w:val="26"/>
          <w:sz w:val="32"/>
          <w:szCs w:val="32"/>
        </w:rPr>
        <w:t>合同订立地点：</w:t>
      </w:r>
      <w:r>
        <w:rPr>
          <w:rFonts w:hint="eastAsia" w:hAnsi="宋体"/>
          <w:bCs/>
          <w:color w:val="auto"/>
          <w:sz w:val="32"/>
          <w:szCs w:val="32"/>
          <w:u w:val="single"/>
        </w:rPr>
        <w:t xml:space="preserve">广州市番禺区  </w:t>
      </w:r>
      <w:r>
        <w:rPr>
          <w:rFonts w:hint="eastAsia" w:hAnsi="宋体"/>
          <w:color w:val="auto"/>
          <w:spacing w:val="26"/>
          <w:sz w:val="32"/>
          <w:szCs w:val="32"/>
        </w:rPr>
        <w:t xml:space="preserve">                      </w:t>
      </w:r>
    </w:p>
    <w:p w14:paraId="4591ADDA">
      <w:pPr>
        <w:pStyle w:val="3"/>
        <w:spacing w:line="600" w:lineRule="exact"/>
        <w:ind w:left="638" w:leftChars="304"/>
        <w:rPr>
          <w:rFonts w:hint="eastAsia" w:hAnsi="宋体"/>
          <w:color w:val="auto"/>
          <w:sz w:val="28"/>
          <w:szCs w:val="28"/>
        </w:rPr>
      </w:pPr>
      <w:r>
        <w:rPr>
          <w:rFonts w:hint="eastAsia" w:hAnsi="宋体"/>
          <w:color w:val="auto"/>
          <w:spacing w:val="26"/>
          <w:sz w:val="32"/>
          <w:szCs w:val="32"/>
        </w:rPr>
        <w:t>合同订立时间：</w:t>
      </w:r>
      <w:r>
        <w:rPr>
          <w:rFonts w:hint="eastAsia" w:hAnsi="宋体"/>
          <w:color w:val="auto"/>
          <w:sz w:val="32"/>
          <w:szCs w:val="32"/>
          <w:u w:val="single"/>
        </w:rPr>
        <w:t>202</w:t>
      </w:r>
      <w:r>
        <w:rPr>
          <w:rFonts w:hint="eastAsia" w:hAnsi="宋体"/>
          <w:color w:val="auto"/>
          <w:sz w:val="32"/>
          <w:szCs w:val="32"/>
          <w:u w:val="single"/>
          <w:lang w:val="en-US" w:eastAsia="zh-CN"/>
        </w:rPr>
        <w:t>5</w:t>
      </w:r>
      <w:r>
        <w:rPr>
          <w:rFonts w:hint="eastAsia" w:hAnsi="宋体"/>
          <w:color w:val="auto"/>
          <w:sz w:val="32"/>
          <w:szCs w:val="32"/>
          <w:u w:val="single"/>
        </w:rPr>
        <w:t>年</w:t>
      </w:r>
      <w:r>
        <w:rPr>
          <w:rFonts w:hint="eastAsia" w:hAnsi="宋体"/>
          <w:color w:val="auto"/>
          <w:sz w:val="32"/>
          <w:szCs w:val="32"/>
          <w:u w:val="single"/>
          <w:lang w:val="en-US" w:eastAsia="zh-CN"/>
        </w:rPr>
        <w:t xml:space="preserve"> </w:t>
      </w:r>
      <w:r>
        <w:rPr>
          <w:rFonts w:hint="eastAsia" w:hAnsi="宋体"/>
          <w:color w:val="auto"/>
          <w:sz w:val="32"/>
          <w:szCs w:val="32"/>
          <w:u w:val="single"/>
        </w:rPr>
        <w:t xml:space="preserve"> 月</w:t>
      </w:r>
      <w:r>
        <w:rPr>
          <w:rFonts w:hint="eastAsia" w:hAnsi="宋体"/>
          <w:color w:val="auto"/>
          <w:sz w:val="32"/>
          <w:szCs w:val="32"/>
          <w:u w:val="single"/>
          <w:lang w:val="en-US" w:eastAsia="zh-CN"/>
        </w:rPr>
        <w:t xml:space="preserve">  </w:t>
      </w:r>
      <w:r>
        <w:rPr>
          <w:rFonts w:hint="eastAsia" w:hAnsi="宋体"/>
          <w:color w:val="auto"/>
          <w:sz w:val="32"/>
          <w:szCs w:val="32"/>
          <w:u w:val="single"/>
        </w:rPr>
        <w:t xml:space="preserve">日  </w:t>
      </w:r>
    </w:p>
    <w:p w14:paraId="3F808E9D">
      <w:pPr>
        <w:pStyle w:val="3"/>
        <w:spacing w:line="520" w:lineRule="exact"/>
        <w:ind w:left="559" w:leftChars="266"/>
        <w:jc w:val="center"/>
        <w:rPr>
          <w:rFonts w:hint="eastAsia" w:hAnsi="宋体"/>
          <w:color w:val="auto"/>
          <w:sz w:val="28"/>
          <w:szCs w:val="28"/>
        </w:rPr>
      </w:pPr>
      <w:r>
        <w:rPr>
          <w:rFonts w:hAnsi="宋体"/>
          <w:color w:val="auto"/>
          <w:sz w:val="28"/>
          <w:szCs w:val="28"/>
          <w:u w:val="single"/>
        </w:rPr>
        <w:br w:type="page"/>
      </w:r>
      <w:r>
        <w:rPr>
          <w:rFonts w:hint="eastAsia" w:ascii="仿宋_GB2312" w:hAnsi="宋体" w:eastAsia="仿宋_GB2312"/>
          <w:b/>
          <w:color w:val="auto"/>
          <w:sz w:val="32"/>
          <w:szCs w:val="32"/>
        </w:rPr>
        <w:t>第一部分  合同协议书</w:t>
      </w:r>
    </w:p>
    <w:p w14:paraId="5696333B">
      <w:pPr>
        <w:pStyle w:val="3"/>
        <w:ind w:firstLine="560"/>
        <w:rPr>
          <w:rFonts w:hint="eastAsia" w:hAnsi="宋体"/>
          <w:color w:val="auto"/>
          <w:sz w:val="28"/>
          <w:szCs w:val="28"/>
        </w:rPr>
      </w:pPr>
    </w:p>
    <w:p w14:paraId="214EC525">
      <w:pPr>
        <w:pStyle w:val="3"/>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发包人：</w:t>
      </w:r>
      <w:r>
        <w:rPr>
          <w:rFonts w:hint="eastAsia" w:ascii="仿宋_GB2312" w:hAnsi="宋体" w:eastAsia="仿宋_GB2312"/>
          <w:b/>
          <w:bCs/>
          <w:color w:val="auto"/>
          <w:sz w:val="32"/>
          <w:szCs w:val="32"/>
          <w:u w:val="single"/>
        </w:rPr>
        <w:t>广州市番禺区基本建设投资管理中心</w:t>
      </w:r>
    </w:p>
    <w:p w14:paraId="381AA2B0">
      <w:pPr>
        <w:pStyle w:val="3"/>
        <w:ind w:firstLine="640" w:firstLineChars="200"/>
        <w:jc w:val="left"/>
        <w:rPr>
          <w:rFonts w:hint="default" w:ascii="仿宋_GB2312" w:hAnsi="宋体" w:eastAsia="仿宋_GB2312"/>
          <w:b/>
          <w:color w:val="auto"/>
          <w:sz w:val="32"/>
          <w:szCs w:val="32"/>
          <w:u w:val="single"/>
          <w:lang w:val="en-US" w:eastAsia="zh-CN"/>
        </w:rPr>
      </w:pPr>
      <w:r>
        <w:rPr>
          <w:rFonts w:hint="eastAsia" w:ascii="仿宋_GB2312" w:hAnsi="宋体" w:eastAsia="仿宋_GB2312"/>
          <w:color w:val="auto"/>
          <w:sz w:val="32"/>
          <w:szCs w:val="32"/>
        </w:rPr>
        <w:t>承包人：</w:t>
      </w:r>
      <w:r>
        <w:rPr>
          <w:rFonts w:hint="eastAsia" w:ascii="仿宋_GB2312" w:hAnsi="宋体" w:eastAsia="仿宋_GB2312" w:cs="Times New Roman"/>
          <w:b/>
          <w:bCs/>
          <w:color w:val="auto"/>
          <w:sz w:val="32"/>
          <w:szCs w:val="32"/>
          <w:u w:val="single"/>
          <w:lang w:val="en-US" w:eastAsia="zh-CN"/>
        </w:rPr>
        <w:t xml:space="preserve">              </w:t>
      </w:r>
    </w:p>
    <w:p w14:paraId="1C65C2A9">
      <w:pPr>
        <w:pStyle w:val="3"/>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经公开招标，承包人被评定为中标人。承包人确认对工程地点地貌、环境、工作条件等已熟知及了解。现发包人委托承包人承担</w:t>
      </w:r>
      <w:r>
        <w:rPr>
          <w:rFonts w:hint="eastAsia" w:ascii="仿宋_GB2312" w:hAnsi="宋体" w:eastAsia="仿宋_GB2312" w:cs="Times New Roman"/>
          <w:color w:val="auto"/>
          <w:kern w:val="2"/>
          <w:sz w:val="32"/>
          <w:szCs w:val="32"/>
          <w:u w:val="single"/>
          <w:lang w:val="en-US" w:eastAsia="zh-CN" w:bidi="ar-SA"/>
        </w:rPr>
        <w:t>番禺区迎星中路（新光快速至番禺大道）改造工程勘察设计</w:t>
      </w:r>
      <w:r>
        <w:rPr>
          <w:rFonts w:hint="eastAsia" w:ascii="仿宋_GB2312" w:hAnsi="宋体" w:eastAsia="仿宋_GB2312"/>
          <w:color w:val="auto"/>
          <w:sz w:val="32"/>
          <w:szCs w:val="32"/>
        </w:rPr>
        <w:t>，经双方协商一致，签订本合同。</w:t>
      </w:r>
    </w:p>
    <w:p w14:paraId="144589B7">
      <w:pPr>
        <w:ind w:firstLine="643" w:firstLineChars="200"/>
        <w:rPr>
          <w:rFonts w:hint="eastAsia" w:ascii="仿宋_GB2312" w:hAnsi="宋体" w:eastAsia="仿宋_GB2312"/>
          <w:b/>
          <w:color w:val="auto"/>
          <w:sz w:val="32"/>
          <w:szCs w:val="32"/>
        </w:rPr>
      </w:pPr>
    </w:p>
    <w:p w14:paraId="50DB4B27">
      <w:pPr>
        <w:ind w:firstLine="643" w:firstLineChars="200"/>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第一条　本合同签订依据：</w:t>
      </w:r>
    </w:p>
    <w:p w14:paraId="4966A89F">
      <w:pPr>
        <w:pStyle w:val="3"/>
        <w:rPr>
          <w:rFonts w:hint="eastAsia" w:ascii="仿宋_GB2312" w:hAnsi="宋体" w:eastAsia="仿宋_GB2312"/>
          <w:color w:val="auto"/>
          <w:sz w:val="32"/>
          <w:szCs w:val="32"/>
        </w:rPr>
      </w:pPr>
      <w:r>
        <w:rPr>
          <w:rFonts w:hint="eastAsia" w:ascii="仿宋_GB2312" w:hAnsi="宋体" w:eastAsia="仿宋_GB2312"/>
          <w:color w:val="auto"/>
          <w:sz w:val="32"/>
          <w:szCs w:val="32"/>
        </w:rPr>
        <w:t>　　1.1 《中华人民共和国建筑法》、《中华人民共和国民法典》、《建设工程勘察设计市场管理规定》、《工程勘察设计收费标准（2002年修订本）》。</w:t>
      </w:r>
    </w:p>
    <w:p w14:paraId="156D56B8">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1.2 国家及地方有关建设工程勘察设计管理法规和规章。</w:t>
      </w:r>
    </w:p>
    <w:p w14:paraId="3FD2F154">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1.3 建设工程批准文件。</w:t>
      </w:r>
    </w:p>
    <w:p w14:paraId="00BB8CAA">
      <w:pPr>
        <w:ind w:left="1" w:firstLine="539"/>
        <w:rPr>
          <w:rFonts w:hint="eastAsia" w:ascii="仿宋_GB2312" w:hAnsi="宋体" w:eastAsia="仿宋_GB2312"/>
          <w:b/>
          <w:color w:val="auto"/>
          <w:sz w:val="32"/>
          <w:szCs w:val="32"/>
        </w:rPr>
      </w:pPr>
    </w:p>
    <w:p w14:paraId="4275FC32">
      <w:pPr>
        <w:ind w:left="1" w:firstLine="536" w:firstLineChars="167"/>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第二条 工程概况</w:t>
      </w:r>
    </w:p>
    <w:p w14:paraId="79898D2A">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2.1 工程名称：</w:t>
      </w:r>
      <w:r>
        <w:rPr>
          <w:rFonts w:hint="eastAsia" w:ascii="仿宋_GB2312" w:hAnsi="宋体" w:eastAsia="仿宋_GB2312" w:cs="Times New Roman"/>
          <w:color w:val="auto"/>
          <w:sz w:val="32"/>
          <w:szCs w:val="32"/>
          <w:u w:val="single"/>
          <w:lang w:val="en-US" w:eastAsia="zh-CN"/>
        </w:rPr>
        <w:t>番禺区迎星中路（新光快速至番禺大道）改造工程</w:t>
      </w:r>
      <w:r>
        <w:rPr>
          <w:rFonts w:hint="eastAsia" w:ascii="仿宋_GB2312" w:hAnsi="宋体" w:eastAsia="仿宋_GB2312" w:cs="Times New Roman"/>
          <w:color w:val="auto"/>
          <w:sz w:val="32"/>
          <w:szCs w:val="32"/>
          <w:u w:val="single"/>
        </w:rPr>
        <w:t>；</w:t>
      </w:r>
    </w:p>
    <w:p w14:paraId="5A834131">
      <w:pPr>
        <w:ind w:left="1" w:firstLine="640" w:firstLineChars="200"/>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2.2 工程建设地点：</w:t>
      </w:r>
      <w:r>
        <w:rPr>
          <w:rFonts w:hint="eastAsia" w:ascii="仿宋_GB2312" w:hAnsi="宋体" w:eastAsia="仿宋_GB2312"/>
          <w:color w:val="auto"/>
          <w:sz w:val="32"/>
          <w:szCs w:val="32"/>
          <w:u w:val="single"/>
        </w:rPr>
        <w:t>广州市番禺区</w:t>
      </w:r>
      <w:r>
        <w:rPr>
          <w:rFonts w:hint="eastAsia" w:ascii="仿宋_GB2312" w:hAnsi="宋体" w:eastAsia="仿宋_GB2312"/>
          <w:color w:val="auto"/>
          <w:sz w:val="32"/>
          <w:szCs w:val="32"/>
        </w:rPr>
        <w:t>；</w:t>
      </w:r>
    </w:p>
    <w:p w14:paraId="2D6E9299">
      <w:pPr>
        <w:ind w:left="1" w:firstLine="640"/>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2.3 工程规划、特征：</w:t>
      </w:r>
      <w:r>
        <w:rPr>
          <w:rFonts w:hint="eastAsia" w:ascii="仿宋_GB2312" w:hAnsi="宋体" w:eastAsia="仿宋_GB2312" w:cs="Times New Roman"/>
          <w:color w:val="auto"/>
          <w:sz w:val="32"/>
          <w:szCs w:val="32"/>
          <w:u w:val="single"/>
          <w:lang w:val="en-US" w:eastAsia="zh-CN"/>
        </w:rPr>
        <w:t>项目</w:t>
      </w:r>
      <w:r>
        <w:rPr>
          <w:rFonts w:hint="eastAsia" w:ascii="仿宋_GB2312" w:hAnsi="宋体" w:eastAsia="仿宋_GB2312" w:cs="Times New Roman"/>
          <w:color w:val="auto"/>
          <w:sz w:val="32"/>
          <w:szCs w:val="32"/>
          <w:u w:val="single"/>
        </w:rPr>
        <w:t>位于广州市番禺区市桥新区，西起新光快速，东至番禺大道，从西往东依次与新光快速路、东星路、番禺大道等道路相交，为番禺市桥北部东西向的交通干道，依据相关规划拟建道路总体呈东西走向，规划红线宽度50m，采用城市主干路标准。为强化区域道路网络，提高交通运行效率以及保证区域交通行车安全，根据迎星中路规划、区域交通、征拆及管线迁改等情况制定了迎星中路（新光快速至番禺大道）工程建设方案，拟近期K0+000~K0+280段标准横断面宽度按24m控制，拟近期K0+280~K1+244段标准横断面宽度按35m控制，设计时速为40km/h，双向六车道，全长约1244m，待远期征拆、用地等条件具备后再按50m宽规划红线进行改造。本项目拆除现状乐园桥后，</w:t>
      </w:r>
      <w:r>
        <w:rPr>
          <w:rFonts w:hint="eastAsia" w:ascii="仿宋_GB2312" w:hAnsi="宋体" w:eastAsia="仿宋_GB2312" w:cs="Times New Roman"/>
          <w:color w:val="auto"/>
          <w:sz w:val="32"/>
          <w:szCs w:val="32"/>
          <w:u w:val="single"/>
          <w:lang w:eastAsia="zh-CN"/>
        </w:rPr>
        <w:t>新建</w:t>
      </w:r>
      <w:r>
        <w:rPr>
          <w:rFonts w:hint="eastAsia" w:ascii="仿宋_GB2312" w:hAnsi="宋体" w:eastAsia="仿宋_GB2312" w:cs="Times New Roman"/>
          <w:color w:val="auto"/>
          <w:sz w:val="32"/>
          <w:szCs w:val="32"/>
          <w:u w:val="single"/>
        </w:rPr>
        <w:t>迎星中路跨东沙涌桥跨径组合为25m</w:t>
      </w:r>
      <w:r>
        <w:rPr>
          <w:rFonts w:hint="eastAsia" w:ascii="仿宋_GB2312" w:hAnsi="宋体" w:eastAsia="仿宋_GB2312" w:cs="Times New Roman"/>
          <w:color w:val="auto"/>
          <w:sz w:val="32"/>
          <w:szCs w:val="32"/>
          <w:u w:val="single"/>
          <w:lang w:eastAsia="zh-CN"/>
        </w:rPr>
        <w:t>。</w:t>
      </w:r>
      <w:r>
        <w:rPr>
          <w:rFonts w:hint="eastAsia" w:ascii="仿宋_GB2312" w:hAnsi="宋体" w:eastAsia="仿宋_GB2312" w:cs="Times New Roman"/>
          <w:color w:val="auto"/>
          <w:sz w:val="32"/>
          <w:szCs w:val="32"/>
          <w:u w:val="single"/>
        </w:rPr>
        <w:t>近期建设工程内容包括道路工程、桥梁工程、给水工程、排水工程、交通工程、电力工程、绿化工程、照明工程、拆除重建儿童公园连接桥梁和海绵城市工程等</w:t>
      </w:r>
      <w:r>
        <w:rPr>
          <w:rFonts w:hint="eastAsia" w:ascii="仿宋_GB2312" w:hAnsi="宋体" w:eastAsia="仿宋_GB2312" w:cs="Times New Roman"/>
          <w:color w:val="auto"/>
          <w:sz w:val="32"/>
          <w:szCs w:val="32"/>
          <w:u w:val="single"/>
          <w:lang w:val="en-US" w:eastAsia="zh-CN"/>
        </w:rPr>
        <w:t>。</w:t>
      </w:r>
    </w:p>
    <w:p w14:paraId="390D2224">
      <w:pPr>
        <w:shd w:val="clear" w:color="auto" w:fill="FFFFFF"/>
        <w:spacing w:line="480" w:lineRule="exact"/>
        <w:rPr>
          <w:rFonts w:ascii="仿宋_GB2312" w:hAnsi="宋体" w:eastAsia="仿宋_GB2312"/>
          <w:color w:val="auto"/>
          <w:sz w:val="32"/>
          <w:szCs w:val="32"/>
          <w:u w:val="single"/>
        </w:rPr>
      </w:pPr>
    </w:p>
    <w:p w14:paraId="165740B2">
      <w:pPr>
        <w:shd w:val="clear" w:color="auto" w:fill="FFFFFF"/>
        <w:ind w:firstLine="640" w:firstLineChars="200"/>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2.4资金来源：</w:t>
      </w:r>
      <w:r>
        <w:rPr>
          <w:rFonts w:hint="eastAsia" w:ascii="仿宋_GB2312" w:hAnsi="宋体" w:eastAsia="仿宋_GB2312"/>
          <w:color w:val="auto"/>
          <w:sz w:val="32"/>
          <w:szCs w:val="32"/>
          <w:u w:val="single"/>
        </w:rPr>
        <w:t>财政拨款</w:t>
      </w:r>
    </w:p>
    <w:p w14:paraId="4DC45A59">
      <w:pPr>
        <w:ind w:left="540"/>
        <w:rPr>
          <w:rFonts w:hint="eastAsia" w:ascii="仿宋_GB2312" w:hAnsi="宋体" w:eastAsia="仿宋_GB2312"/>
          <w:b/>
          <w:color w:val="auto"/>
          <w:sz w:val="32"/>
          <w:szCs w:val="32"/>
        </w:rPr>
      </w:pPr>
    </w:p>
    <w:p w14:paraId="6048A16F">
      <w:pPr>
        <w:pStyle w:val="3"/>
        <w:ind w:firstLine="562"/>
        <w:outlineLvl w:val="0"/>
        <w:rPr>
          <w:rFonts w:hint="eastAsia" w:ascii="仿宋_GB2312" w:hAnsi="宋体" w:eastAsia="仿宋_GB2312"/>
          <w:color w:val="auto"/>
          <w:sz w:val="32"/>
          <w:szCs w:val="32"/>
        </w:rPr>
      </w:pPr>
      <w:r>
        <w:rPr>
          <w:rFonts w:hint="eastAsia" w:ascii="仿宋_GB2312" w:hAnsi="宋体" w:eastAsia="仿宋_GB2312"/>
          <w:b/>
          <w:color w:val="auto"/>
          <w:sz w:val="32"/>
          <w:szCs w:val="32"/>
        </w:rPr>
        <w:t>第三条</w:t>
      </w:r>
      <w:r>
        <w:rPr>
          <w:rFonts w:hint="eastAsia" w:ascii="仿宋_GB2312" w:hAnsi="宋体" w:eastAsia="仿宋_GB2312"/>
          <w:color w:val="auto"/>
          <w:sz w:val="32"/>
          <w:szCs w:val="32"/>
        </w:rPr>
        <w:t xml:space="preserve"> </w:t>
      </w:r>
      <w:r>
        <w:rPr>
          <w:rFonts w:hint="eastAsia" w:ascii="仿宋_GB2312" w:hAnsi="宋体" w:eastAsia="仿宋_GB2312"/>
          <w:b/>
          <w:color w:val="auto"/>
          <w:sz w:val="32"/>
          <w:szCs w:val="32"/>
        </w:rPr>
        <w:t>工程承包范围</w:t>
      </w:r>
      <w:r>
        <w:rPr>
          <w:rFonts w:hint="eastAsia" w:ascii="仿宋_GB2312" w:hAnsi="宋体" w:eastAsia="仿宋_GB2312"/>
          <w:color w:val="auto"/>
          <w:sz w:val="32"/>
          <w:szCs w:val="32"/>
        </w:rPr>
        <w:t>：</w:t>
      </w:r>
    </w:p>
    <w:p w14:paraId="4971158E">
      <w:pPr>
        <w:pStyle w:val="3"/>
        <w:ind w:firstLine="560"/>
        <w:rPr>
          <w:rFonts w:hint="eastAsia" w:ascii="仿宋_GB2312" w:hAnsi="宋体" w:eastAsia="仿宋_GB2312"/>
          <w:color w:val="auto"/>
          <w:sz w:val="32"/>
          <w:szCs w:val="32"/>
        </w:rPr>
      </w:pPr>
      <w:r>
        <w:rPr>
          <w:rFonts w:hint="eastAsia" w:ascii="仿宋_GB2312" w:hAnsi="宋体" w:eastAsia="仿宋_GB2312"/>
          <w:color w:val="auto"/>
          <w:sz w:val="32"/>
          <w:szCs w:val="32"/>
        </w:rPr>
        <w:t>见第二、第三部分设计、勘察协议条款。</w:t>
      </w:r>
    </w:p>
    <w:p w14:paraId="6403B316">
      <w:pPr>
        <w:ind w:left="540"/>
        <w:rPr>
          <w:rFonts w:hint="eastAsia" w:ascii="仿宋_GB2312" w:hAnsi="宋体" w:eastAsia="仿宋_GB2312"/>
          <w:b/>
          <w:color w:val="auto"/>
          <w:sz w:val="32"/>
          <w:szCs w:val="32"/>
        </w:rPr>
      </w:pPr>
    </w:p>
    <w:p w14:paraId="67325B75">
      <w:pPr>
        <w:ind w:left="1" w:firstLine="630" w:firstLineChars="196"/>
        <w:outlineLvl w:val="0"/>
        <w:rPr>
          <w:rFonts w:hint="eastAsia" w:ascii="仿宋_GB2312" w:hAnsi="宋体" w:eastAsia="仿宋_GB2312"/>
          <w:b/>
          <w:color w:val="auto"/>
          <w:sz w:val="32"/>
          <w:szCs w:val="32"/>
        </w:rPr>
      </w:pPr>
    </w:p>
    <w:p w14:paraId="285EF2C4">
      <w:pPr>
        <w:ind w:left="1" w:firstLine="630" w:firstLineChars="196"/>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第四条</w:t>
      </w:r>
      <w:r>
        <w:rPr>
          <w:rFonts w:hint="eastAsia" w:ascii="仿宋_GB2312" w:hAnsi="宋体" w:eastAsia="仿宋_GB2312"/>
          <w:color w:val="auto"/>
          <w:sz w:val="32"/>
          <w:szCs w:val="32"/>
        </w:rPr>
        <w:t xml:space="preserve"> </w:t>
      </w:r>
      <w:r>
        <w:rPr>
          <w:rFonts w:hint="eastAsia" w:ascii="仿宋_GB2312" w:hAnsi="宋体" w:eastAsia="仿宋_GB2312"/>
          <w:b/>
          <w:color w:val="auto"/>
          <w:sz w:val="32"/>
          <w:szCs w:val="32"/>
        </w:rPr>
        <w:t>合同价款</w:t>
      </w:r>
    </w:p>
    <w:p w14:paraId="7C3D9B32">
      <w:pPr>
        <w:pStyle w:val="3"/>
        <w:ind w:firstLine="560"/>
        <w:rPr>
          <w:rFonts w:hint="eastAsia" w:ascii="仿宋_GB2312" w:hAnsi="宋体" w:eastAsia="仿宋_GB2312"/>
          <w:color w:val="auto"/>
          <w:sz w:val="32"/>
          <w:szCs w:val="32"/>
          <w:highlight w:val="yellow"/>
        </w:rPr>
      </w:pPr>
      <w:r>
        <w:rPr>
          <w:rFonts w:hint="eastAsia" w:ascii="仿宋_GB2312" w:hAnsi="宋体" w:eastAsia="仿宋_GB2312" w:cs="Times New Roman"/>
          <w:color w:val="auto"/>
          <w:sz w:val="32"/>
          <w:szCs w:val="32"/>
        </w:rPr>
        <w:t>暂定金额（大写</w:t>
      </w:r>
      <w:r>
        <w:rPr>
          <w:rFonts w:hint="eastAsia" w:ascii="仿宋_GB2312" w:hAnsi="宋体" w:eastAsia="仿宋_GB2312" w:cs="Times New Roman"/>
          <w:color w:val="auto"/>
          <w:sz w:val="32"/>
          <w:szCs w:val="32"/>
          <w:u w:val="single"/>
        </w:rPr>
        <w:t>）     </w:t>
      </w:r>
      <w:r>
        <w:rPr>
          <w:rFonts w:hint="eastAsia" w:ascii="仿宋_GB2312" w:hAnsi="宋体" w:eastAsia="仿宋_GB2312" w:cs="Times New Roman"/>
          <w:color w:val="auto"/>
          <w:sz w:val="32"/>
          <w:szCs w:val="32"/>
        </w:rPr>
        <w:t>（人民币）¥</w:t>
      </w:r>
      <w:r>
        <w:rPr>
          <w:rFonts w:hint="eastAsia" w:ascii="仿宋_GB2312" w:hAnsi="宋体" w:eastAsia="仿宋_GB2312" w:cs="Times New Roman"/>
          <w:color w:val="auto"/>
          <w:sz w:val="32"/>
          <w:szCs w:val="32"/>
          <w:u w:val="single"/>
        </w:rPr>
        <w:t>     </w:t>
      </w:r>
      <w:r>
        <w:rPr>
          <w:rFonts w:hint="eastAsia" w:ascii="仿宋_GB2312" w:hAnsi="宋体" w:eastAsia="仿宋_GB2312" w:cs="Times New Roman"/>
          <w:color w:val="auto"/>
          <w:sz w:val="32"/>
          <w:szCs w:val="32"/>
        </w:rPr>
        <w:t>元（其中设计费：¥</w:t>
      </w:r>
      <w:r>
        <w:rPr>
          <w:rFonts w:hint="eastAsia" w:ascii="仿宋_GB2312" w:hAnsi="宋体" w:eastAsia="仿宋_GB2312" w:cs="Times New Roman"/>
          <w:color w:val="auto"/>
          <w:sz w:val="32"/>
          <w:szCs w:val="32"/>
          <w:u w:val="single"/>
        </w:rPr>
        <w:t>   </w:t>
      </w:r>
      <w:r>
        <w:rPr>
          <w:rFonts w:hint="eastAsia" w:ascii="仿宋_GB2312" w:hAnsi="宋体" w:eastAsia="仿宋_GB2312" w:cs="Times New Roman"/>
          <w:color w:val="auto"/>
          <w:sz w:val="32"/>
          <w:szCs w:val="32"/>
        </w:rPr>
        <w:t>元，勘察费：¥</w:t>
      </w:r>
      <w:r>
        <w:rPr>
          <w:rFonts w:hint="eastAsia" w:ascii="仿宋_GB2312" w:hAnsi="宋体" w:eastAsia="仿宋_GB2312" w:cs="Times New Roman"/>
          <w:color w:val="auto"/>
          <w:sz w:val="32"/>
          <w:szCs w:val="32"/>
          <w:u w:val="single"/>
        </w:rPr>
        <w:t>   </w:t>
      </w:r>
      <w:r>
        <w:rPr>
          <w:rFonts w:hint="eastAsia" w:ascii="仿宋_GB2312" w:hAnsi="宋体" w:eastAsia="仿宋_GB2312" w:cs="Times New Roman"/>
          <w:color w:val="auto"/>
          <w:sz w:val="32"/>
          <w:szCs w:val="32"/>
        </w:rPr>
        <w:t>元）。本项目可行性研究报告出具后，将根据可行性研究报告中的项目估算表中的工程建安费为基准价，按招标时的工程设计费最高投标限价计费原则并结合投标下浮率修订设计费合同价；本项目概算评审报告出具后，则以概算评审报告中勘察费并结合投标下浮率修订的勘察费合同价。</w:t>
      </w:r>
    </w:p>
    <w:p w14:paraId="54902D8F">
      <w:pPr>
        <w:ind w:firstLine="614" w:firstLineChars="192"/>
        <w:rPr>
          <w:rFonts w:hint="eastAsia" w:ascii="仿宋_GB2312" w:hAnsi="宋体" w:eastAsia="仿宋_GB2312"/>
          <w:color w:val="auto"/>
          <w:sz w:val="32"/>
          <w:szCs w:val="32"/>
        </w:rPr>
      </w:pPr>
    </w:p>
    <w:p w14:paraId="6AA41696">
      <w:pPr>
        <w:ind w:firstLine="643" w:firstLineChars="200"/>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第五条 合同文件的优先次序</w:t>
      </w:r>
    </w:p>
    <w:p w14:paraId="15753BA4">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构成本合同的文件可视为是能互相说明的，如果合同文件存在歧义或不一致，则根据如下优先次序来判断：</w:t>
      </w:r>
    </w:p>
    <w:p w14:paraId="43B7413B">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5.1 合同协议书</w:t>
      </w:r>
    </w:p>
    <w:p w14:paraId="2E495669">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 中标通知书</w:t>
      </w:r>
    </w:p>
    <w:p w14:paraId="4A7AB31D">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5.3 发包人要求</w:t>
      </w:r>
    </w:p>
    <w:p w14:paraId="1A7E23A7">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5.4 设计协议条款、勘察协议条款</w:t>
      </w:r>
    </w:p>
    <w:p w14:paraId="48FEA866">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5.5招标文件及其附件、投标书及其附件</w:t>
      </w:r>
    </w:p>
    <w:p w14:paraId="11E1D49E">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5.6 技术规范</w:t>
      </w:r>
    </w:p>
    <w:p w14:paraId="2B4186D7">
      <w:pPr>
        <w:ind w:left="1" w:firstLine="697" w:firstLineChars="217"/>
        <w:rPr>
          <w:rFonts w:hint="eastAsia" w:ascii="仿宋_GB2312" w:hAnsi="宋体" w:eastAsia="仿宋_GB2312"/>
          <w:b/>
          <w:color w:val="auto"/>
          <w:sz w:val="32"/>
          <w:szCs w:val="32"/>
        </w:rPr>
      </w:pPr>
    </w:p>
    <w:p w14:paraId="716366FB">
      <w:pPr>
        <w:ind w:left="1" w:firstLine="697" w:firstLineChars="217"/>
        <w:rPr>
          <w:rFonts w:hint="eastAsia" w:ascii="仿宋_GB2312" w:hAnsi="宋体" w:eastAsia="仿宋_GB2312"/>
          <w:b/>
          <w:color w:val="auto"/>
          <w:sz w:val="32"/>
          <w:szCs w:val="32"/>
        </w:rPr>
      </w:pPr>
      <w:r>
        <w:rPr>
          <w:rFonts w:hint="eastAsia" w:ascii="仿宋_GB2312" w:hAnsi="宋体" w:eastAsia="仿宋_GB2312"/>
          <w:b/>
          <w:color w:val="auto"/>
          <w:sz w:val="32"/>
          <w:szCs w:val="32"/>
        </w:rPr>
        <w:t>第六条　保密</w:t>
      </w:r>
    </w:p>
    <w:p w14:paraId="75C66233">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双方均应保护对方的知识产权，未经对方同意，任何一方均不得对对方的资料及文件擅自修改、复制或向第三人转让或用于本合同项目外的项目。如发生以上的情况，泄密方承担一切由此引起的后果并承担赔偿责任。本条的约定不因本合同的无效而免除。</w:t>
      </w:r>
    </w:p>
    <w:p w14:paraId="7682C0A2">
      <w:pPr>
        <w:ind w:right="-120" w:firstLine="626" w:firstLineChars="195"/>
        <w:rPr>
          <w:rFonts w:hint="eastAsia" w:ascii="仿宋_GB2312" w:hAnsi="宋体" w:eastAsia="仿宋_GB2312"/>
          <w:b/>
          <w:color w:val="auto"/>
          <w:sz w:val="32"/>
          <w:szCs w:val="32"/>
        </w:rPr>
      </w:pPr>
    </w:p>
    <w:p w14:paraId="41E860F4">
      <w:pPr>
        <w:ind w:right="-120" w:firstLine="626" w:firstLineChars="195"/>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第七条　仲裁、起诉</w:t>
      </w:r>
    </w:p>
    <w:p w14:paraId="44FB7609">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本合同在履行过程中发生的争议，双方当事人协商解决，协商不成的按下列方式（二）解决：</w:t>
      </w:r>
    </w:p>
    <w:p w14:paraId="3532FD6C">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方式（一）：提交广州仲裁委员会仲裁； </w:t>
      </w:r>
    </w:p>
    <w:p w14:paraId="4D601A84">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方式（二）：依法向人民法院起诉。</w:t>
      </w:r>
    </w:p>
    <w:p w14:paraId="4546A883">
      <w:pPr>
        <w:ind w:right="-120" w:firstLine="626" w:firstLineChars="195"/>
        <w:rPr>
          <w:rFonts w:hint="eastAsia" w:ascii="仿宋_GB2312" w:hAnsi="宋体" w:eastAsia="仿宋_GB2312"/>
          <w:b/>
          <w:color w:val="auto"/>
          <w:sz w:val="32"/>
          <w:szCs w:val="32"/>
        </w:rPr>
      </w:pPr>
    </w:p>
    <w:p w14:paraId="0D55538F">
      <w:pPr>
        <w:ind w:right="-120" w:firstLine="626" w:firstLineChars="195"/>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第八条　其它约定</w:t>
      </w:r>
    </w:p>
    <w:p w14:paraId="7B332B8E">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8.1本合同一式</w:t>
      </w:r>
      <w:r>
        <w:rPr>
          <w:rFonts w:hint="eastAsia" w:ascii="仿宋_GB2312" w:hAnsi="宋体" w:eastAsia="仿宋_GB2312"/>
          <w:color w:val="auto"/>
          <w:sz w:val="32"/>
          <w:szCs w:val="32"/>
          <w:lang w:eastAsia="zh-CN"/>
        </w:rPr>
        <w:t>八</w:t>
      </w:r>
      <w:r>
        <w:rPr>
          <w:rFonts w:hint="eastAsia" w:ascii="仿宋_GB2312" w:hAnsi="宋体" w:eastAsia="仿宋_GB2312"/>
          <w:color w:val="auto"/>
          <w:sz w:val="32"/>
          <w:szCs w:val="32"/>
        </w:rPr>
        <w:t>份，其中正本两份，双方各执一份；副本</w:t>
      </w:r>
      <w:r>
        <w:rPr>
          <w:rFonts w:hint="eastAsia" w:ascii="仿宋_GB2312" w:hAnsi="宋体" w:eastAsia="仿宋_GB2312"/>
          <w:color w:val="auto"/>
          <w:sz w:val="32"/>
          <w:szCs w:val="32"/>
          <w:lang w:eastAsia="zh-CN"/>
        </w:rPr>
        <w:t>六</w:t>
      </w:r>
      <w:r>
        <w:rPr>
          <w:rFonts w:hint="eastAsia" w:ascii="仿宋_GB2312" w:hAnsi="宋体" w:eastAsia="仿宋_GB2312"/>
          <w:color w:val="auto"/>
          <w:sz w:val="32"/>
          <w:szCs w:val="32"/>
        </w:rPr>
        <w:t>份，发包人</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份，承包人三份；合同正、副本具有同等法律效力，当正、副本所表述的内容不一致时，以正本为准。</w:t>
      </w:r>
    </w:p>
    <w:p w14:paraId="76B11937">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8.2本合同生效后，按规定到项目所在地建设行政主管部门规定的审查部门备案。双方认为必要时，到项目所在地工商行政管理部门申请鉴证。双方履行完合同规定的义务后，本合同即行终止。</w:t>
      </w:r>
    </w:p>
    <w:p w14:paraId="2ED9C702">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8.3双方认可的来往电报、传真、会议纪要等，均为本合同组成部分，与本合同具有同等法律效力。</w:t>
      </w:r>
    </w:p>
    <w:p w14:paraId="50DDBF17">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8.4为完成合同各专业设计内容，承包人如无某项专业设计资质的，须由承包人负责委托具有相应资质的设计单位完成该项设计，其成果满足相关部门报审要求，相关费用均包含在本合同总价内。</w:t>
      </w:r>
    </w:p>
    <w:p w14:paraId="65F57F6D">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8.5本合同签订后，承包人须向发包人提交履约保证金（履约保证金为合同价的5%）方可申请第一笔合同款项。</w:t>
      </w:r>
    </w:p>
    <w:p w14:paraId="12EA0335">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8.6未尽事宜，经双方协商一致，签订补充协议，补充协议与本合同具有同等效力。</w:t>
      </w:r>
    </w:p>
    <w:p w14:paraId="69D70672">
      <w:pPr>
        <w:ind w:firstLine="482" w:firstLineChars="150"/>
        <w:rPr>
          <w:rFonts w:hint="eastAsia" w:ascii="仿宋_GB2312" w:hAnsi="宋体" w:eastAsia="仿宋_GB2312"/>
          <w:b/>
          <w:color w:val="auto"/>
          <w:sz w:val="32"/>
          <w:szCs w:val="32"/>
        </w:rPr>
      </w:pPr>
    </w:p>
    <w:p w14:paraId="47C53192">
      <w:pPr>
        <w:numPr>
          <w:ilvl w:val="0"/>
          <w:numId w:val="1"/>
        </w:numPr>
        <w:ind w:firstLine="630" w:firstLineChars="196"/>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 xml:space="preserve"> 合同生效</w:t>
      </w:r>
    </w:p>
    <w:p w14:paraId="697B9E6F">
      <w:pPr>
        <w:ind w:firstLine="627"/>
        <w:outlineLvl w:val="0"/>
        <w:rPr>
          <w:rFonts w:hint="eastAsia" w:ascii="仿宋_GB2312" w:hAnsi="宋体" w:eastAsia="仿宋_GB2312"/>
          <w:b/>
          <w:color w:val="auto"/>
          <w:sz w:val="32"/>
          <w:szCs w:val="32"/>
        </w:rPr>
      </w:pPr>
    </w:p>
    <w:p w14:paraId="4291E6C7">
      <w:pPr>
        <w:spacing w:line="360" w:lineRule="auto"/>
        <w:ind w:firstLine="480" w:firstLineChars="150"/>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合同订立时间：</w:t>
      </w:r>
      <w:r>
        <w:rPr>
          <w:rFonts w:hint="eastAsia" w:ascii="仿宋_GB2312" w:hAnsi="宋体" w:eastAsia="仿宋_GB2312"/>
          <w:color w:val="auto"/>
          <w:sz w:val="32"/>
          <w:szCs w:val="32"/>
          <w:u w:val="single"/>
        </w:rPr>
        <w:t xml:space="preserve"> 202</w:t>
      </w:r>
      <w:r>
        <w:rPr>
          <w:rFonts w:hint="eastAsia" w:ascii="仿宋_GB2312" w:hAnsi="宋体" w:eastAsia="仿宋_GB2312"/>
          <w:color w:val="auto"/>
          <w:sz w:val="32"/>
          <w:szCs w:val="32"/>
          <w:u w:val="single"/>
          <w:lang w:val="en-US" w:eastAsia="zh-CN"/>
        </w:rPr>
        <w:t>5</w:t>
      </w:r>
      <w:r>
        <w:rPr>
          <w:rFonts w:hint="eastAsia" w:ascii="仿宋_GB2312" w:hAnsi="宋体" w:eastAsia="仿宋_GB2312"/>
          <w:color w:val="auto"/>
          <w:sz w:val="32"/>
          <w:szCs w:val="32"/>
        </w:rPr>
        <w:t>年</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月</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rPr>
        <w:t>日</w:t>
      </w:r>
    </w:p>
    <w:p w14:paraId="5A7EB483">
      <w:pPr>
        <w:spacing w:line="360" w:lineRule="auto"/>
        <w:ind w:firstLine="480" w:firstLineChars="150"/>
        <w:rPr>
          <w:rFonts w:hint="eastAsia" w:ascii="仿宋_GB2312" w:hAnsi="宋体" w:eastAsia="仿宋_GB2312"/>
          <w:color w:val="auto"/>
          <w:sz w:val="32"/>
          <w:szCs w:val="32"/>
        </w:rPr>
      </w:pPr>
      <w:r>
        <w:rPr>
          <w:rFonts w:hint="eastAsia" w:ascii="仿宋_GB2312" w:hAnsi="宋体" w:eastAsia="仿宋_GB2312"/>
          <w:color w:val="auto"/>
          <w:sz w:val="32"/>
          <w:szCs w:val="32"/>
        </w:rPr>
        <w:t>合同订立地点：</w:t>
      </w:r>
      <w:r>
        <w:rPr>
          <w:rFonts w:hint="eastAsia" w:ascii="仿宋_GB2312" w:hAnsi="宋体" w:eastAsia="仿宋_GB2312"/>
          <w:color w:val="auto"/>
          <w:sz w:val="32"/>
          <w:szCs w:val="32"/>
          <w:u w:val="single"/>
        </w:rPr>
        <w:t>广州市番禺区</w:t>
      </w:r>
    </w:p>
    <w:p w14:paraId="02C50D05">
      <w:pPr>
        <w:spacing w:line="360" w:lineRule="auto"/>
        <w:ind w:firstLine="480" w:firstLineChars="150"/>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本合同双方约定：</w:t>
      </w:r>
      <w:r>
        <w:rPr>
          <w:rFonts w:hint="eastAsia" w:ascii="仿宋_GB2312" w:hAnsi="宋体" w:eastAsia="仿宋_GB2312"/>
          <w:color w:val="auto"/>
          <w:sz w:val="32"/>
          <w:szCs w:val="32"/>
          <w:u w:val="single"/>
        </w:rPr>
        <w:t>自双方盖章签字后生效。</w:t>
      </w:r>
    </w:p>
    <w:p w14:paraId="7C937BAF">
      <w:pPr>
        <w:spacing w:line="360" w:lineRule="auto"/>
        <w:ind w:firstLine="480" w:firstLineChars="150"/>
        <w:rPr>
          <w:rFonts w:hint="eastAsia" w:ascii="仿宋_GB2312" w:hAnsi="宋体" w:eastAsia="仿宋_GB2312"/>
          <w:color w:val="auto"/>
          <w:sz w:val="32"/>
          <w:szCs w:val="32"/>
          <w:u w:val="single"/>
        </w:rPr>
      </w:pPr>
    </w:p>
    <w:p w14:paraId="09152B96">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（以下无正文）</w:t>
      </w:r>
    </w:p>
    <w:p w14:paraId="2B3A08B0">
      <w:pPr>
        <w:spacing w:line="360" w:lineRule="auto"/>
        <w:ind w:firstLine="480" w:firstLineChars="150"/>
        <w:rPr>
          <w:rFonts w:hint="eastAsia" w:ascii="仿宋_GB2312" w:hAnsi="宋体" w:eastAsia="仿宋_GB2312"/>
          <w:color w:val="auto"/>
          <w:sz w:val="28"/>
          <w:szCs w:val="28"/>
        </w:rPr>
      </w:pPr>
      <w:r>
        <w:rPr>
          <w:rFonts w:hint="eastAsia" w:ascii="仿宋_GB2312" w:hAnsi="宋体" w:eastAsia="仿宋_GB2312"/>
          <w:color w:val="auto"/>
          <w:sz w:val="32"/>
          <w:szCs w:val="32"/>
          <w:u w:val="single"/>
        </w:rPr>
        <w:br w:type="page"/>
      </w:r>
      <w:r>
        <w:rPr>
          <w:rFonts w:hint="eastAsia" w:ascii="仿宋_GB2312" w:hAnsi="宋体" w:eastAsia="仿宋_GB2312"/>
          <w:color w:val="auto"/>
          <w:sz w:val="32"/>
          <w:szCs w:val="32"/>
        </w:rPr>
        <w:t xml:space="preserve"> </w:t>
      </w:r>
      <w:r>
        <w:rPr>
          <w:rFonts w:hint="eastAsia" w:ascii="仿宋_GB2312" w:hAnsi="宋体" w:eastAsia="仿宋_GB2312"/>
          <w:color w:val="auto"/>
          <w:sz w:val="28"/>
          <w:szCs w:val="28"/>
        </w:rPr>
        <w:t xml:space="preserve">发包人：（公章）                 承包人：（公章） </w:t>
      </w:r>
    </w:p>
    <w:p w14:paraId="0ECF5D1E">
      <w:pPr>
        <w:pStyle w:val="8"/>
        <w:spacing w:line="580" w:lineRule="exact"/>
        <w:ind w:left="-359" w:leftChars="-171" w:right="-512" w:rightChars="-244" w:firstLine="1120" w:firstLineChars="400"/>
        <w:rPr>
          <w:rFonts w:hint="eastAsia" w:ascii="仿宋_GB2312" w:hAnsi="宋体" w:eastAsia="仿宋_GB2312" w:cs="Times New Roman"/>
          <w:color w:val="auto"/>
          <w:sz w:val="28"/>
          <w:szCs w:val="28"/>
          <w:u w:val="single"/>
        </w:rPr>
      </w:pPr>
      <w:r>
        <w:rPr>
          <w:rFonts w:hint="eastAsia" w:ascii="仿宋_GB2312" w:eastAsia="仿宋_GB2312"/>
          <w:color w:val="auto"/>
          <w:sz w:val="28"/>
          <w:szCs w:val="28"/>
          <w:u w:val="single"/>
        </w:rPr>
        <w:t xml:space="preserve">广州市番禺区基本建设投资 </w:t>
      </w:r>
      <w:r>
        <w:rPr>
          <w:rFonts w:hint="eastAsia" w:ascii="仿宋_GB2312" w:eastAsia="仿宋_GB2312"/>
          <w:color w:val="auto"/>
          <w:sz w:val="28"/>
          <w:szCs w:val="28"/>
          <w:u w:val="none"/>
        </w:rPr>
        <w:t xml:space="preserve">    </w:t>
      </w:r>
      <w:r>
        <w:rPr>
          <w:rFonts w:hint="eastAsia" w:ascii="仿宋_GB2312" w:hAnsi="宋体" w:eastAsia="仿宋_GB2312" w:cs="Times New Roman"/>
          <w:color w:val="auto"/>
          <w:sz w:val="28"/>
          <w:szCs w:val="28"/>
          <w:u w:val="single"/>
        </w:rPr>
        <w:t xml:space="preserve"> </w:t>
      </w:r>
      <w:r>
        <w:rPr>
          <w:rFonts w:hint="eastAsia" w:ascii="仿宋_GB2312" w:hAnsi="宋体" w:eastAsia="仿宋_GB2312" w:cs="Times New Roman"/>
          <w:color w:val="auto"/>
          <w:sz w:val="28"/>
          <w:szCs w:val="28"/>
          <w:u w:val="single"/>
          <w:lang w:val="en-US" w:eastAsia="zh-CN"/>
        </w:rPr>
        <w:t xml:space="preserve"> </w:t>
      </w:r>
      <w:r>
        <w:rPr>
          <w:rFonts w:hint="eastAsia" w:ascii="仿宋_GB2312" w:hAnsi="宋体" w:eastAsia="仿宋_GB2312" w:cs="Times New Roman"/>
          <w:color w:val="auto"/>
          <w:sz w:val="28"/>
          <w:szCs w:val="28"/>
          <w:u w:val="single"/>
        </w:rPr>
        <w:t xml:space="preserve"> </w:t>
      </w:r>
    </w:p>
    <w:p w14:paraId="510CF60E">
      <w:pPr>
        <w:pStyle w:val="8"/>
        <w:spacing w:line="580" w:lineRule="exact"/>
        <w:ind w:left="-359" w:leftChars="-171" w:right="-512" w:rightChars="-244" w:firstLine="1120" w:firstLineChars="400"/>
        <w:rPr>
          <w:rFonts w:hint="eastAsia" w:ascii="仿宋_GB2312" w:eastAsia="仿宋_GB2312"/>
          <w:color w:val="auto"/>
          <w:sz w:val="28"/>
          <w:szCs w:val="28"/>
          <w:u w:val="single"/>
        </w:rPr>
      </w:pPr>
      <w:r>
        <w:rPr>
          <w:rFonts w:hint="eastAsia" w:ascii="仿宋_GB2312" w:eastAsia="仿宋_GB2312"/>
          <w:color w:val="auto"/>
          <w:sz w:val="28"/>
          <w:szCs w:val="28"/>
          <w:u w:val="single"/>
        </w:rPr>
        <w:t xml:space="preserve">管理中心 </w:t>
      </w:r>
      <w:r>
        <w:rPr>
          <w:rFonts w:hint="eastAsia" w:ascii="仿宋_GB2312" w:eastAsia="仿宋_GB2312"/>
          <w:color w:val="auto"/>
          <w:sz w:val="28"/>
          <w:szCs w:val="28"/>
          <w:u w:val="none"/>
        </w:rPr>
        <w:t xml:space="preserve">                                                </w:t>
      </w:r>
    </w:p>
    <w:p w14:paraId="2B642EF7">
      <w:pPr>
        <w:spacing w:line="580" w:lineRule="exact"/>
        <w:ind w:left="-359" w:leftChars="-171" w:right="-1052" w:rightChars="-501" w:firstLine="1120" w:firstLineChars="4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地址：</w:t>
      </w:r>
      <w:r>
        <w:rPr>
          <w:rFonts w:hint="eastAsia" w:ascii="仿宋_GB2312" w:hAnsi="宋体" w:eastAsia="仿宋_GB2312"/>
          <w:color w:val="auto"/>
          <w:sz w:val="28"/>
          <w:szCs w:val="28"/>
          <w:u w:val="single"/>
        </w:rPr>
        <w:t>广州市番禺区市桥街</w:t>
      </w:r>
      <w:r>
        <w:rPr>
          <w:rFonts w:hint="eastAsia" w:ascii="仿宋_GB2312" w:hAnsi="宋体" w:eastAsia="仿宋_GB2312"/>
          <w:color w:val="auto"/>
          <w:sz w:val="28"/>
          <w:szCs w:val="28"/>
        </w:rPr>
        <w:t xml:space="preserve">        地址：</w:t>
      </w:r>
      <w:r>
        <w:rPr>
          <w:rFonts w:hint="eastAsia" w:ascii="仿宋_GB2312" w:hAnsi="宋体" w:eastAsia="仿宋_GB2312" w:cs="Times New Roman"/>
          <w:color w:val="auto"/>
          <w:kern w:val="0"/>
          <w:sz w:val="28"/>
          <w:szCs w:val="28"/>
          <w:u w:val="single"/>
          <w:lang w:val="en-US" w:eastAsia="zh-CN" w:bidi="ar-SA"/>
        </w:rPr>
        <w:t xml:space="preserve">  </w:t>
      </w:r>
    </w:p>
    <w:p w14:paraId="07A80A53">
      <w:pPr>
        <w:spacing w:line="580" w:lineRule="exact"/>
        <w:ind w:left="-359" w:leftChars="-171" w:right="-1052" w:rightChars="-501" w:firstLine="1120" w:firstLineChars="400"/>
        <w:rPr>
          <w:rFonts w:hint="eastAsia" w:ascii="仿宋_GB2312" w:hAnsi="宋体" w:eastAsia="仿宋_GB2312"/>
          <w:color w:val="auto"/>
          <w:sz w:val="28"/>
          <w:szCs w:val="28"/>
        </w:rPr>
      </w:pPr>
      <w:r>
        <w:rPr>
          <w:rFonts w:hint="eastAsia" w:ascii="仿宋_GB2312" w:hAnsi="宋体" w:eastAsia="仿宋_GB2312"/>
          <w:color w:val="auto"/>
          <w:sz w:val="28"/>
          <w:szCs w:val="28"/>
          <w:u w:val="single"/>
        </w:rPr>
        <w:t>清河东路319号西副楼六楼</w:t>
      </w:r>
      <w:r>
        <w:rPr>
          <w:rFonts w:hint="eastAsia" w:ascii="仿宋_GB2312" w:hAnsi="宋体" w:eastAsia="仿宋_GB2312"/>
          <w:color w:val="auto"/>
          <w:w w:val="90"/>
          <w:sz w:val="28"/>
          <w:szCs w:val="28"/>
        </w:rPr>
        <w:t xml:space="preserve">         </w:t>
      </w:r>
      <w:r>
        <w:rPr>
          <w:rFonts w:hint="eastAsia" w:ascii="仿宋_GB2312" w:hAnsi="宋体" w:eastAsia="仿宋_GB2312"/>
          <w:color w:val="auto"/>
          <w:sz w:val="28"/>
          <w:szCs w:val="28"/>
          <w:u w:val="none"/>
        </w:rPr>
        <w:t xml:space="preserve">                         </w:t>
      </w:r>
    </w:p>
    <w:p w14:paraId="27F462A3">
      <w:pPr>
        <w:spacing w:line="580" w:lineRule="exact"/>
        <w:ind w:left="-359" w:leftChars="-171" w:right="-1052" w:rightChars="-501" w:firstLine="840" w:firstLineChars="400"/>
        <w:rPr>
          <w:rFonts w:hint="eastAsia" w:ascii="宋体" w:hAnsi="宋体" w:cs="宋体"/>
          <w:color w:val="auto"/>
          <w:szCs w:val="21"/>
          <w:lang w:val="en-US" w:eastAsia="zh-CN"/>
        </w:rPr>
      </w:pPr>
    </w:p>
    <w:p w14:paraId="5CC60A29">
      <w:pPr>
        <w:spacing w:line="580" w:lineRule="exact"/>
        <w:ind w:left="-359" w:leftChars="-171" w:right="-1052" w:rightChars="-501" w:firstLine="1120" w:firstLineChars="400"/>
        <w:rPr>
          <w:rFonts w:hint="eastAsia" w:ascii="仿宋_GB2312" w:hAnsi="宋体" w:eastAsia="仿宋_GB2312"/>
          <w:color w:val="auto"/>
          <w:sz w:val="28"/>
          <w:szCs w:val="28"/>
        </w:rPr>
      </w:pPr>
      <w:r>
        <w:rPr>
          <w:rFonts w:hint="eastAsia" w:ascii="仿宋_GB2312" w:hAnsi="宋体" w:eastAsia="仿宋_GB2312"/>
          <w:color w:val="auto"/>
          <w:sz w:val="28"/>
          <w:szCs w:val="28"/>
        </w:rPr>
        <w:t>法定代表人（签字）：</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法定代表人（签字）：</w:t>
      </w:r>
      <w:r>
        <w:rPr>
          <w:rFonts w:hint="eastAsia" w:ascii="仿宋_GB2312" w:hAnsi="宋体" w:eastAsia="仿宋_GB2312"/>
          <w:color w:val="auto"/>
          <w:sz w:val="28"/>
          <w:szCs w:val="28"/>
          <w:u w:val="single"/>
        </w:rPr>
        <w:t xml:space="preserve">       </w:t>
      </w:r>
    </w:p>
    <w:p w14:paraId="157AC6C7">
      <w:pPr>
        <w:pStyle w:val="8"/>
        <w:spacing w:line="580" w:lineRule="exact"/>
        <w:ind w:left="-359" w:leftChars="-171" w:firstLine="1120" w:firstLineChars="400"/>
        <w:rPr>
          <w:rFonts w:hint="eastAsia" w:ascii="仿宋_GB2312" w:eastAsia="仿宋_GB2312"/>
          <w:color w:val="auto"/>
          <w:sz w:val="28"/>
          <w:szCs w:val="28"/>
        </w:rPr>
      </w:pPr>
      <w:r>
        <w:rPr>
          <w:rFonts w:hint="eastAsia" w:ascii="仿宋_GB2312" w:eastAsia="仿宋_GB2312"/>
          <w:color w:val="auto"/>
          <w:sz w:val="28"/>
          <w:szCs w:val="28"/>
        </w:rPr>
        <w:t>委托代理人（签字）：</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 xml:space="preserve">        委托代理人（签字）：</w:t>
      </w:r>
      <w:r>
        <w:rPr>
          <w:rFonts w:hint="eastAsia" w:ascii="仿宋_GB2312" w:eastAsia="仿宋_GB2312"/>
          <w:color w:val="auto"/>
          <w:sz w:val="28"/>
          <w:szCs w:val="28"/>
          <w:u w:val="single"/>
        </w:rPr>
        <w:t xml:space="preserve">      </w:t>
      </w:r>
    </w:p>
    <w:p w14:paraId="42507D4E">
      <w:pPr>
        <w:pStyle w:val="8"/>
        <w:spacing w:line="580" w:lineRule="exact"/>
        <w:ind w:left="-359" w:leftChars="-171" w:firstLine="1120" w:firstLineChars="400"/>
        <w:rPr>
          <w:rFonts w:hint="eastAsia" w:ascii="仿宋_GB2312" w:eastAsia="仿宋_GB2312"/>
          <w:color w:val="auto"/>
          <w:sz w:val="28"/>
          <w:szCs w:val="28"/>
        </w:rPr>
      </w:pPr>
      <w:r>
        <w:rPr>
          <w:rFonts w:hint="eastAsia" w:ascii="仿宋_GB2312" w:eastAsia="仿宋_GB2312"/>
          <w:color w:val="auto"/>
          <w:sz w:val="28"/>
          <w:szCs w:val="28"/>
        </w:rPr>
        <w:t>电话：</w:t>
      </w:r>
      <w:r>
        <w:rPr>
          <w:rFonts w:hint="eastAsia" w:ascii="仿宋_GB2312" w:eastAsia="仿宋_GB2312"/>
          <w:color w:val="auto"/>
          <w:sz w:val="28"/>
          <w:szCs w:val="28"/>
          <w:u w:val="single"/>
        </w:rPr>
        <w:t xml:space="preserve"> 020-84640312   </w:t>
      </w:r>
      <w:r>
        <w:rPr>
          <w:rFonts w:hint="eastAsia" w:ascii="仿宋_GB2312" w:eastAsia="仿宋_GB2312"/>
          <w:color w:val="auto"/>
          <w:sz w:val="28"/>
          <w:szCs w:val="28"/>
        </w:rPr>
        <w:t xml:space="preserve">          电话：</w:t>
      </w:r>
      <w:r>
        <w:rPr>
          <w:rFonts w:hint="eastAsia" w:ascii="仿宋_GB2312" w:hAnsi="宋体" w:eastAsia="仿宋_GB2312" w:cs="Times New Roman"/>
          <w:color w:val="auto"/>
          <w:sz w:val="28"/>
          <w:szCs w:val="28"/>
          <w:u w:val="single"/>
        </w:rPr>
        <w:t xml:space="preserve"> </w:t>
      </w:r>
      <w:r>
        <w:rPr>
          <w:rFonts w:hint="eastAsia" w:ascii="仿宋_GB2312" w:hAnsi="宋体" w:eastAsia="仿宋_GB2312" w:cs="Times New Roman"/>
          <w:color w:val="auto"/>
          <w:sz w:val="28"/>
          <w:szCs w:val="28"/>
          <w:u w:val="single"/>
          <w:lang w:val="en-US" w:eastAsia="zh-CN"/>
        </w:rPr>
        <w:t xml:space="preserve"> </w:t>
      </w:r>
      <w:r>
        <w:rPr>
          <w:rFonts w:hint="eastAsia" w:ascii="仿宋_GB2312" w:hAnsi="宋体" w:eastAsia="仿宋_GB2312" w:cs="Times New Roman"/>
          <w:color w:val="auto"/>
          <w:sz w:val="28"/>
          <w:szCs w:val="28"/>
          <w:u w:val="single"/>
        </w:rPr>
        <w:t xml:space="preserve"> </w:t>
      </w:r>
    </w:p>
    <w:p w14:paraId="108B534D">
      <w:pPr>
        <w:pStyle w:val="8"/>
        <w:spacing w:line="580" w:lineRule="exact"/>
        <w:ind w:left="-359" w:leftChars="-171" w:firstLine="1120" w:firstLineChars="400"/>
        <w:rPr>
          <w:rFonts w:hint="eastAsia" w:ascii="仿宋_GB2312" w:eastAsia="仿宋_GB2312"/>
          <w:color w:val="auto"/>
          <w:sz w:val="28"/>
          <w:szCs w:val="28"/>
          <w:u w:val="single"/>
        </w:rPr>
      </w:pPr>
      <w:r>
        <w:rPr>
          <w:rFonts w:hint="eastAsia" w:ascii="仿宋_GB2312" w:eastAsia="仿宋_GB2312"/>
          <w:color w:val="auto"/>
          <w:sz w:val="28"/>
          <w:szCs w:val="28"/>
        </w:rPr>
        <w:t>传真：</w:t>
      </w:r>
      <w:r>
        <w:rPr>
          <w:rFonts w:hint="eastAsia" w:ascii="仿宋_GB2312" w:eastAsia="仿宋_GB2312"/>
          <w:color w:val="auto"/>
          <w:sz w:val="28"/>
          <w:szCs w:val="28"/>
          <w:u w:val="single"/>
        </w:rPr>
        <w:t xml:space="preserve"> 020-84640312   </w:t>
      </w:r>
      <w:r>
        <w:rPr>
          <w:rFonts w:hint="eastAsia" w:ascii="仿宋_GB2312" w:eastAsia="仿宋_GB2312"/>
          <w:color w:val="auto"/>
          <w:sz w:val="28"/>
          <w:szCs w:val="28"/>
        </w:rPr>
        <w:t xml:space="preserve">          传真：</w:t>
      </w:r>
      <w:r>
        <w:rPr>
          <w:rFonts w:hint="eastAsia" w:ascii="仿宋_GB2312" w:hAnsi="宋体" w:eastAsia="仿宋_GB2312" w:cs="Times New Roman"/>
          <w:color w:val="auto"/>
          <w:sz w:val="28"/>
          <w:szCs w:val="28"/>
          <w:u w:val="single"/>
        </w:rPr>
        <w:t xml:space="preserve"> </w:t>
      </w:r>
      <w:r>
        <w:rPr>
          <w:rFonts w:hint="eastAsia" w:ascii="仿宋_GB2312" w:hAnsi="宋体" w:eastAsia="仿宋_GB2312" w:cs="Times New Roman"/>
          <w:color w:val="auto"/>
          <w:sz w:val="28"/>
          <w:szCs w:val="28"/>
          <w:u w:val="single"/>
          <w:lang w:val="en-US" w:eastAsia="zh-CN"/>
        </w:rPr>
        <w:t xml:space="preserve"> </w:t>
      </w:r>
      <w:r>
        <w:rPr>
          <w:rFonts w:hint="eastAsia" w:ascii="仿宋_GB2312" w:hAnsi="宋体" w:eastAsia="仿宋_GB2312" w:cs="Times New Roman"/>
          <w:color w:val="auto"/>
          <w:sz w:val="28"/>
          <w:szCs w:val="28"/>
          <w:u w:val="single"/>
        </w:rPr>
        <w:t xml:space="preserve"> </w:t>
      </w:r>
    </w:p>
    <w:p w14:paraId="0A101542">
      <w:pPr>
        <w:pStyle w:val="8"/>
        <w:spacing w:line="580" w:lineRule="exact"/>
        <w:ind w:left="6644" w:leftChars="364" w:hanging="5880" w:hangingChars="2100"/>
        <w:rPr>
          <w:rFonts w:hint="eastAsia" w:ascii="仿宋_GB2312" w:eastAsia="仿宋_GB2312"/>
          <w:color w:val="auto"/>
          <w:sz w:val="28"/>
          <w:szCs w:val="28"/>
        </w:rPr>
      </w:pPr>
      <w:r>
        <w:rPr>
          <w:rFonts w:hint="eastAsia" w:ascii="仿宋_GB2312" w:eastAsia="仿宋_GB2312"/>
          <w:color w:val="auto"/>
          <w:sz w:val="28"/>
          <w:szCs w:val="28"/>
        </w:rPr>
        <w:t>开户银行：</w:t>
      </w:r>
      <w:r>
        <w:rPr>
          <w:rFonts w:hint="eastAsia" w:ascii="仿宋_GB2312" w:eastAsia="仿宋_GB2312"/>
          <w:color w:val="auto"/>
          <w:sz w:val="28"/>
          <w:szCs w:val="28"/>
          <w:u w:val="single"/>
        </w:rPr>
        <w:t xml:space="preserve"> </w:t>
      </w:r>
      <w:r>
        <w:rPr>
          <w:rFonts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w:t>
      </w:r>
      <w:r>
        <w:rPr>
          <w:rFonts w:ascii="仿宋_GB2312" w:eastAsia="仿宋_GB2312"/>
          <w:color w:val="auto"/>
          <w:sz w:val="28"/>
          <w:szCs w:val="28"/>
          <w:u w:val="single"/>
        </w:rPr>
        <w:t xml:space="preserve">     </w:t>
      </w:r>
      <w:r>
        <w:rPr>
          <w:rFonts w:hint="eastAsia" w:ascii="仿宋_GB2312" w:eastAsia="仿宋_GB2312"/>
          <w:color w:val="auto"/>
          <w:sz w:val="28"/>
          <w:szCs w:val="28"/>
        </w:rPr>
        <w:t xml:space="preserve">   </w:t>
      </w:r>
      <w:r>
        <w:rPr>
          <w:rFonts w:ascii="仿宋_GB2312" w:eastAsia="仿宋_GB2312"/>
          <w:color w:val="auto"/>
          <w:sz w:val="28"/>
          <w:szCs w:val="28"/>
        </w:rPr>
        <w:t xml:space="preserve">  </w:t>
      </w:r>
      <w:r>
        <w:rPr>
          <w:rFonts w:hint="eastAsia" w:ascii="仿宋_GB2312" w:eastAsia="仿宋_GB2312"/>
          <w:color w:val="auto"/>
          <w:sz w:val="28"/>
          <w:szCs w:val="28"/>
        </w:rPr>
        <w:t xml:space="preserve">      开户银行：</w:t>
      </w:r>
      <w:r>
        <w:rPr>
          <w:rFonts w:hint="eastAsia" w:ascii="仿宋_GB2312" w:hAnsi="宋体" w:eastAsia="仿宋_GB2312" w:cs="Times New Roman"/>
          <w:color w:val="auto"/>
          <w:kern w:val="2"/>
          <w:sz w:val="28"/>
          <w:szCs w:val="28"/>
          <w:u w:val="single"/>
          <w:lang w:val="en-US" w:eastAsia="zh-CN" w:bidi="ar-SA"/>
        </w:rPr>
        <w:t xml:space="preserve">   </w:t>
      </w:r>
      <w:r>
        <w:rPr>
          <w:rFonts w:hint="eastAsia" w:ascii="仿宋_GB2312" w:eastAsia="仿宋_GB2312"/>
          <w:color w:val="auto"/>
          <w:sz w:val="28"/>
          <w:szCs w:val="28"/>
        </w:rPr>
        <w:t xml:space="preserve">         </w:t>
      </w:r>
    </w:p>
    <w:p w14:paraId="5D056E99">
      <w:pPr>
        <w:pStyle w:val="8"/>
        <w:spacing w:line="580" w:lineRule="exact"/>
        <w:ind w:left="764" w:leftChars="364"/>
        <w:rPr>
          <w:rFonts w:hint="eastAsia" w:ascii="仿宋_GB2312" w:eastAsia="仿宋_GB2312"/>
          <w:color w:val="auto"/>
          <w:sz w:val="28"/>
          <w:szCs w:val="28"/>
        </w:rPr>
      </w:pPr>
      <w:r>
        <w:rPr>
          <w:rFonts w:hint="eastAsia" w:ascii="仿宋_GB2312" w:eastAsia="仿宋_GB2312"/>
          <w:color w:val="auto"/>
          <w:sz w:val="28"/>
          <w:szCs w:val="28"/>
        </w:rPr>
        <w:t>账号：</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 xml:space="preserve">        账号：</w:t>
      </w:r>
      <w:r>
        <w:rPr>
          <w:rFonts w:hint="eastAsia" w:ascii="仿宋_GB2312" w:hAnsi="宋体" w:eastAsia="仿宋_GB2312" w:cs="Times New Roman"/>
          <w:color w:val="auto"/>
          <w:sz w:val="28"/>
          <w:szCs w:val="28"/>
          <w:u w:val="single"/>
        </w:rPr>
        <w:t xml:space="preserve"> </w:t>
      </w:r>
      <w:r>
        <w:rPr>
          <w:rFonts w:hint="eastAsia" w:ascii="仿宋_GB2312" w:hAnsi="宋体" w:eastAsia="仿宋_GB2312" w:cs="Times New Roman"/>
          <w:color w:val="auto"/>
          <w:sz w:val="28"/>
          <w:szCs w:val="28"/>
          <w:u w:val="single"/>
          <w:lang w:val="en-US" w:eastAsia="zh-CN"/>
        </w:rPr>
        <w:t xml:space="preserve"> </w:t>
      </w:r>
      <w:r>
        <w:rPr>
          <w:rFonts w:hint="eastAsia" w:ascii="仿宋_GB2312" w:hAnsi="宋体" w:eastAsia="仿宋_GB2312" w:cs="Times New Roman"/>
          <w:color w:val="auto"/>
          <w:sz w:val="28"/>
          <w:szCs w:val="28"/>
          <w:u w:val="single"/>
        </w:rPr>
        <w:t xml:space="preserve">  </w:t>
      </w:r>
    </w:p>
    <w:p w14:paraId="274FB987">
      <w:pPr>
        <w:pStyle w:val="8"/>
        <w:spacing w:line="580" w:lineRule="exact"/>
        <w:ind w:left="835" w:leftChars="370" w:right="-1233" w:rightChars="-587" w:hanging="58" w:hangingChars="21"/>
        <w:rPr>
          <w:rFonts w:hint="eastAsia" w:ascii="仿宋_GB2312" w:eastAsia="仿宋_GB2312"/>
          <w:color w:val="auto"/>
          <w:sz w:val="28"/>
          <w:szCs w:val="28"/>
          <w:u w:val="single"/>
        </w:rPr>
      </w:pPr>
      <w:r>
        <w:rPr>
          <w:rFonts w:hint="eastAsia" w:ascii="仿宋_GB2312" w:eastAsia="仿宋_GB2312"/>
          <w:color w:val="auto"/>
          <w:sz w:val="28"/>
          <w:szCs w:val="28"/>
        </w:rPr>
        <w:t>邮政编码：</w:t>
      </w:r>
      <w:r>
        <w:rPr>
          <w:rFonts w:hint="eastAsia" w:ascii="仿宋_GB2312" w:eastAsia="仿宋_GB2312"/>
          <w:color w:val="auto"/>
          <w:sz w:val="28"/>
          <w:szCs w:val="28"/>
          <w:u w:val="single"/>
        </w:rPr>
        <w:t xml:space="preserve"> 511400 </w:t>
      </w:r>
      <w:r>
        <w:rPr>
          <w:rFonts w:hint="eastAsia" w:ascii="仿宋_GB2312" w:eastAsia="仿宋_GB2312"/>
          <w:color w:val="auto"/>
          <w:sz w:val="28"/>
          <w:szCs w:val="28"/>
        </w:rPr>
        <w:t xml:space="preserve">              邮政编码：</w:t>
      </w:r>
      <w:r>
        <w:rPr>
          <w:rFonts w:hint="eastAsia" w:ascii="仿宋_GB2312" w:hAnsi="宋体" w:eastAsia="仿宋_GB2312" w:cs="Times New Roman"/>
          <w:color w:val="auto"/>
          <w:sz w:val="28"/>
          <w:szCs w:val="28"/>
          <w:u w:val="single"/>
        </w:rPr>
        <w:t xml:space="preserve"> </w:t>
      </w:r>
      <w:r>
        <w:rPr>
          <w:rFonts w:hint="eastAsia" w:ascii="仿宋_GB2312" w:hAnsi="宋体" w:eastAsia="仿宋_GB2312" w:cs="Times New Roman"/>
          <w:color w:val="auto"/>
          <w:sz w:val="28"/>
          <w:szCs w:val="28"/>
          <w:u w:val="single"/>
          <w:lang w:val="en-US" w:eastAsia="zh-CN"/>
        </w:rPr>
        <w:t xml:space="preserve"> </w:t>
      </w:r>
      <w:r>
        <w:rPr>
          <w:rFonts w:hint="eastAsia" w:ascii="仿宋_GB2312" w:hAnsi="宋体" w:eastAsia="仿宋_GB2312" w:cs="Times New Roman"/>
          <w:color w:val="auto"/>
          <w:sz w:val="28"/>
          <w:szCs w:val="28"/>
          <w:u w:val="single"/>
        </w:rPr>
        <w:t xml:space="preserve"> </w:t>
      </w:r>
    </w:p>
    <w:p w14:paraId="1EAB20C8">
      <w:pPr>
        <w:spacing w:line="580" w:lineRule="exact"/>
        <w:ind w:left="-359" w:leftChars="-171"/>
        <w:jc w:val="center"/>
        <w:rPr>
          <w:rFonts w:hint="eastAsia" w:ascii="仿宋_GB2312" w:hAnsi="宋体" w:eastAsia="仿宋_GB2312"/>
          <w:b/>
          <w:color w:val="auto"/>
          <w:sz w:val="32"/>
          <w:szCs w:val="32"/>
        </w:rPr>
      </w:pPr>
      <w:r>
        <w:rPr>
          <w:rFonts w:ascii="宋体" w:hAnsi="宋体"/>
          <w:b/>
          <w:color w:val="auto"/>
          <w:sz w:val="28"/>
          <w:szCs w:val="28"/>
        </w:rPr>
        <w:br w:type="page"/>
      </w:r>
      <w:r>
        <w:rPr>
          <w:rFonts w:hint="eastAsia" w:ascii="仿宋_GB2312" w:hAnsi="宋体" w:eastAsia="仿宋_GB2312"/>
          <w:b/>
          <w:color w:val="auto"/>
          <w:sz w:val="32"/>
          <w:szCs w:val="32"/>
        </w:rPr>
        <w:t>第二部分  设计协议条款</w:t>
      </w:r>
    </w:p>
    <w:p w14:paraId="43CF5480">
      <w:pPr>
        <w:ind w:firstLine="643" w:firstLineChars="200"/>
        <w:rPr>
          <w:rFonts w:hint="eastAsia" w:ascii="仿宋_GB2312" w:hAnsi="宋体" w:eastAsia="仿宋_GB2312"/>
          <w:b/>
          <w:color w:val="auto"/>
          <w:sz w:val="32"/>
          <w:szCs w:val="32"/>
        </w:rPr>
      </w:pPr>
    </w:p>
    <w:p w14:paraId="2BFE4EF6">
      <w:pPr>
        <w:ind w:firstLine="643" w:firstLineChars="200"/>
        <w:rPr>
          <w:rFonts w:hint="eastAsia" w:ascii="仿宋_GB2312" w:hAnsi="宋体" w:eastAsia="仿宋_GB2312"/>
          <w:b/>
          <w:color w:val="auto"/>
          <w:sz w:val="32"/>
          <w:szCs w:val="32"/>
        </w:rPr>
      </w:pPr>
      <w:r>
        <w:rPr>
          <w:rFonts w:hint="eastAsia" w:ascii="仿宋_GB2312" w:hAnsi="宋体" w:eastAsia="仿宋_GB2312"/>
          <w:b/>
          <w:color w:val="auto"/>
          <w:sz w:val="32"/>
          <w:szCs w:val="32"/>
        </w:rPr>
        <w:t>第一条　设计依据</w:t>
      </w:r>
    </w:p>
    <w:p w14:paraId="686ECE8F">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1.1设计中标文件。</w:t>
      </w:r>
    </w:p>
    <w:p w14:paraId="264E61E9">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1.2 发包人提交的基础资料。</w:t>
      </w:r>
    </w:p>
    <w:p w14:paraId="4AA27FC2">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1.3 承包人采用的主要技术标准是：国家相关的法律、法规及其它最新法规、设计规范。</w:t>
      </w:r>
    </w:p>
    <w:p w14:paraId="7A26E3CA">
      <w:pPr>
        <w:ind w:firstLine="617" w:firstLineChars="192"/>
        <w:rPr>
          <w:rFonts w:hint="eastAsia" w:ascii="仿宋_GB2312" w:hAnsi="宋体" w:eastAsia="仿宋_GB2312"/>
          <w:b/>
          <w:bCs/>
          <w:color w:val="auto"/>
          <w:sz w:val="32"/>
          <w:szCs w:val="32"/>
        </w:rPr>
      </w:pPr>
    </w:p>
    <w:p w14:paraId="23150925">
      <w:pPr>
        <w:ind w:firstLine="630" w:firstLineChars="196"/>
        <w:rPr>
          <w:rFonts w:hint="eastAsia" w:ascii="仿宋_GB2312" w:hAnsi="宋体" w:eastAsia="仿宋_GB2312"/>
          <w:b/>
          <w:color w:val="auto"/>
          <w:sz w:val="32"/>
          <w:szCs w:val="32"/>
        </w:rPr>
      </w:pPr>
      <w:r>
        <w:rPr>
          <w:rFonts w:hint="eastAsia" w:ascii="仿宋_GB2312" w:hAnsi="宋体" w:eastAsia="仿宋_GB2312"/>
          <w:b/>
          <w:bCs/>
          <w:color w:val="auto"/>
          <w:sz w:val="32"/>
          <w:szCs w:val="32"/>
        </w:rPr>
        <w:t xml:space="preserve">第二条 </w:t>
      </w:r>
      <w:r>
        <w:rPr>
          <w:rFonts w:hint="eastAsia" w:ascii="仿宋_GB2312" w:hAnsi="宋体" w:eastAsia="仿宋_GB2312"/>
          <w:color w:val="auto"/>
          <w:sz w:val="32"/>
          <w:szCs w:val="32"/>
        </w:rPr>
        <w:t xml:space="preserve"> </w:t>
      </w:r>
      <w:r>
        <w:rPr>
          <w:rFonts w:hint="eastAsia" w:ascii="仿宋_GB2312" w:hAnsi="宋体" w:eastAsia="仿宋_GB2312"/>
          <w:b/>
          <w:color w:val="auto"/>
          <w:sz w:val="32"/>
          <w:szCs w:val="32"/>
        </w:rPr>
        <w:t>工程范围及内容</w:t>
      </w:r>
    </w:p>
    <w:p w14:paraId="42D1B98B">
      <w:pPr>
        <w:ind w:firstLine="636" w:firstLineChars="199"/>
        <w:rPr>
          <w:rFonts w:hint="eastAsia" w:ascii="仿宋_GB2312" w:hAnsi="宋体" w:eastAsia="仿宋_GB2312"/>
          <w:color w:val="auto"/>
          <w:sz w:val="32"/>
          <w:szCs w:val="32"/>
        </w:rPr>
      </w:pPr>
      <w:r>
        <w:rPr>
          <w:rFonts w:hint="eastAsia" w:ascii="仿宋_GB2312" w:hAnsi="宋体" w:eastAsia="仿宋_GB2312"/>
          <w:color w:val="auto"/>
          <w:sz w:val="32"/>
          <w:szCs w:val="32"/>
        </w:rPr>
        <w:t>2.1 本工程建安费用暂定为</w:t>
      </w:r>
      <w:r>
        <w:rPr>
          <w:rFonts w:hint="eastAsia" w:ascii="仿宋_GB2312" w:hAnsi="宋体" w:eastAsia="仿宋_GB2312" w:cs="Times New Roman"/>
          <w:color w:val="auto"/>
          <w:sz w:val="32"/>
          <w:szCs w:val="32"/>
          <w:u w:val="single"/>
          <w:lang w:val="en-US" w:eastAsia="zh-CN"/>
        </w:rPr>
        <w:t>10428.45万</w:t>
      </w:r>
      <w:r>
        <w:rPr>
          <w:rFonts w:hint="eastAsia" w:ascii="仿宋_GB2312" w:hAnsi="宋体" w:eastAsia="仿宋_GB2312" w:cs="Times New Roman"/>
          <w:color w:val="auto"/>
          <w:sz w:val="32"/>
          <w:szCs w:val="32"/>
          <w:u w:val="single"/>
        </w:rPr>
        <w:t>元</w:t>
      </w:r>
      <w:r>
        <w:rPr>
          <w:rFonts w:hint="eastAsia" w:ascii="仿宋_GB2312" w:hAnsi="宋体" w:eastAsia="仿宋_GB2312"/>
          <w:color w:val="auto"/>
          <w:sz w:val="32"/>
          <w:szCs w:val="32"/>
        </w:rPr>
        <w:t>，设计合同价暂按该建安费为基础计算。施工图设计以初步设计评审的设计概算来进行限额设计。</w:t>
      </w:r>
    </w:p>
    <w:p w14:paraId="78E4219E">
      <w:pPr>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2.2 合同范围及内容：</w:t>
      </w:r>
    </w:p>
    <w:p w14:paraId="3F36756A">
      <w:pPr>
        <w:ind w:firstLine="709"/>
        <w:rPr>
          <w:rFonts w:hint="eastAsia" w:ascii="仿宋_GB2312" w:hAnsi="宋体" w:eastAsia="仿宋_GB2312" w:cs="Times New Roman"/>
          <w:color w:val="auto"/>
          <w:sz w:val="32"/>
          <w:szCs w:val="32"/>
          <w:u w:val="single"/>
        </w:rPr>
      </w:pPr>
      <w:r>
        <w:rPr>
          <w:rFonts w:hint="eastAsia" w:ascii="仿宋_GB2312" w:hAnsi="宋体" w:eastAsia="仿宋_GB2312" w:cs="Times New Roman"/>
          <w:color w:val="auto"/>
          <w:sz w:val="32"/>
          <w:szCs w:val="32"/>
          <w:u w:val="single"/>
          <w:lang w:val="en-US" w:eastAsia="zh-CN"/>
        </w:rPr>
        <w:t>开展本项目</w:t>
      </w:r>
      <w:r>
        <w:rPr>
          <w:rFonts w:hint="eastAsia" w:ascii="仿宋_GB2312" w:hAnsi="宋体" w:eastAsia="仿宋_GB2312" w:cs="Times New Roman"/>
          <w:color w:val="auto"/>
          <w:sz w:val="32"/>
          <w:szCs w:val="32"/>
          <w:u w:val="single"/>
        </w:rPr>
        <w:t>道路工程、桥梁工程、给水工程、排水工程、交通工程、电力工程、绿化工程、照明工程、拆除重建儿童公园连接桥梁和海绵城市</w:t>
      </w:r>
      <w:r>
        <w:rPr>
          <w:rFonts w:hint="eastAsia" w:ascii="仿宋_GB2312" w:hAnsi="宋体" w:eastAsia="仿宋_GB2312" w:cs="Times New Roman"/>
          <w:color w:val="auto"/>
          <w:sz w:val="32"/>
          <w:szCs w:val="32"/>
          <w:u w:val="single"/>
          <w:lang w:eastAsia="zh-CN"/>
        </w:rPr>
        <w:t>等</w:t>
      </w:r>
      <w:r>
        <w:rPr>
          <w:rFonts w:hint="eastAsia" w:ascii="仿宋_GB2312" w:hAnsi="宋体" w:eastAsia="仿宋_GB2312" w:cs="Times New Roman"/>
          <w:color w:val="auto"/>
          <w:sz w:val="32"/>
          <w:szCs w:val="32"/>
          <w:u w:val="single"/>
        </w:rPr>
        <w:t>工程</w:t>
      </w:r>
      <w:r>
        <w:rPr>
          <w:rFonts w:hint="eastAsia" w:ascii="仿宋_GB2312" w:hAnsi="宋体" w:eastAsia="仿宋_GB2312" w:cs="Times New Roman"/>
          <w:color w:val="auto"/>
          <w:sz w:val="32"/>
          <w:szCs w:val="32"/>
          <w:u w:val="single"/>
          <w:lang w:val="en-US" w:eastAsia="zh-CN"/>
        </w:rPr>
        <w:t>方案设计（含管线迁改图）、初步设计及概算、施工图设计；提供广州2000坐标，城建高程的测量图；配合设计报建报批及施工图审查；配合环评水保等咨询工作；配合施工招标；施工阶段的现场指导与监督等。</w:t>
      </w:r>
      <w:r>
        <w:rPr>
          <w:rFonts w:hint="eastAsia" w:ascii="仿宋_GB2312" w:hAnsi="宋体" w:eastAsia="仿宋_GB2312" w:cs="Times New Roman"/>
          <w:color w:val="auto"/>
          <w:sz w:val="32"/>
          <w:szCs w:val="32"/>
          <w:u w:val="single"/>
        </w:rPr>
        <w:t>工程勘察包括工程测量、工程地质勘察、工程物探；工程测量的内容包括控制测量，地形测量（修测）、线路工程测量和地下管线探测等；工程地质勘察包括地质调查、测绘、勘探、测试、室内试验等各项工作。</w:t>
      </w:r>
    </w:p>
    <w:p w14:paraId="7F5A9D19">
      <w:pPr>
        <w:ind w:firstLine="709"/>
        <w:rPr>
          <w:rFonts w:hint="eastAsia" w:ascii="仿宋_GB2312" w:hAnsi="宋体" w:eastAsia="仿宋_GB2312"/>
          <w:color w:val="auto"/>
          <w:sz w:val="32"/>
          <w:szCs w:val="32"/>
          <w:u w:val="single"/>
        </w:rPr>
      </w:pPr>
      <w:r>
        <w:rPr>
          <w:rFonts w:hint="eastAsia" w:ascii="仿宋_GB2312" w:hAnsi="宋体" w:eastAsia="仿宋_GB2312"/>
          <w:color w:val="auto"/>
          <w:sz w:val="32"/>
          <w:szCs w:val="32"/>
          <w:u w:val="single"/>
        </w:rPr>
        <w:t>注：由承包人（联合体主办方）负责与地铁公司、交通、水务、国规、建设等各行业部门的协调工作，并委派专人负责该项目的所有报建工作，发包人配合报建资料盖章工作。承包人（联合体主办方）负责该项目报建所需的论证、评估、评价、第三方技术审查等工作及承担相关的费用。</w:t>
      </w:r>
      <w:r>
        <w:rPr>
          <w:rFonts w:hint="eastAsia" w:ascii="仿宋_GB2312" w:hAnsi="宋体" w:eastAsia="仿宋_GB2312"/>
          <w:color w:val="auto"/>
          <w:sz w:val="32"/>
          <w:szCs w:val="32"/>
          <w:u w:val="single"/>
        </w:rPr>
        <w:cr/>
      </w:r>
      <w:r>
        <w:rPr>
          <w:rFonts w:hint="eastAsia" w:ascii="仿宋_GB2312" w:hAnsi="宋体" w:eastAsia="仿宋_GB2312"/>
          <w:color w:val="auto"/>
          <w:sz w:val="32"/>
          <w:szCs w:val="32"/>
          <w:u w:val="single"/>
        </w:rPr>
        <w:t>本工程以一个标段进行招标，招标范围包括但不限于如下内容：</w:t>
      </w:r>
    </w:p>
    <w:p w14:paraId="26964247">
      <w:pPr>
        <w:ind w:firstLine="709"/>
        <w:rPr>
          <w:rFonts w:hint="eastAsia" w:ascii="仿宋_GB2312" w:hAnsi="宋体" w:eastAsia="仿宋_GB2312"/>
          <w:color w:val="auto"/>
          <w:sz w:val="32"/>
          <w:szCs w:val="32"/>
          <w:u w:val="single"/>
        </w:rPr>
      </w:pPr>
      <w:r>
        <w:rPr>
          <w:rFonts w:hint="eastAsia" w:ascii="仿宋_GB2312" w:hAnsi="宋体" w:eastAsia="仿宋_GB2312"/>
          <w:color w:val="auto"/>
          <w:sz w:val="32"/>
          <w:szCs w:val="32"/>
          <w:u w:val="single"/>
        </w:rPr>
        <w:t>1.对下列工程进行方案设计、初步设计、施工图设计及施工配合及验收：</w:t>
      </w:r>
    </w:p>
    <w:p w14:paraId="7BB3E235">
      <w:pPr>
        <w:ind w:firstLine="709"/>
        <w:rPr>
          <w:rFonts w:hint="eastAsia" w:ascii="仿宋_GB2312" w:hAnsi="宋体" w:eastAsia="仿宋_GB2312"/>
          <w:color w:val="auto"/>
          <w:sz w:val="32"/>
          <w:szCs w:val="32"/>
          <w:u w:val="single"/>
        </w:rPr>
      </w:pPr>
      <w:r>
        <w:rPr>
          <w:rFonts w:hint="eastAsia" w:ascii="仿宋_GB2312" w:hAnsi="宋体" w:eastAsia="仿宋_GB2312"/>
          <w:color w:val="auto"/>
          <w:sz w:val="32"/>
          <w:szCs w:val="32"/>
          <w:u w:val="single"/>
        </w:rPr>
        <w:t>(1)项目红线范围内所有勘察工作</w:t>
      </w:r>
    </w:p>
    <w:p w14:paraId="05C87242">
      <w:pPr>
        <w:ind w:firstLine="709"/>
        <w:rPr>
          <w:rFonts w:hint="eastAsia" w:ascii="仿宋_GB2312" w:hAnsi="宋体" w:eastAsia="仿宋_GB2312"/>
          <w:color w:val="auto"/>
          <w:sz w:val="32"/>
          <w:szCs w:val="32"/>
          <w:u w:val="single"/>
        </w:rPr>
      </w:pPr>
      <w:r>
        <w:rPr>
          <w:rFonts w:hint="eastAsia" w:ascii="仿宋_GB2312" w:hAnsi="宋体" w:eastAsia="仿宋_GB2312"/>
          <w:color w:val="auto"/>
          <w:sz w:val="32"/>
          <w:szCs w:val="32"/>
          <w:u w:val="single"/>
        </w:rPr>
        <w:t>(2)项目用地范围内的方案设计、初步设计、施工图设计及施工配合</w:t>
      </w:r>
    </w:p>
    <w:p w14:paraId="2CBE7FC3">
      <w:pPr>
        <w:ind w:firstLine="709"/>
        <w:rPr>
          <w:rFonts w:hint="eastAsia" w:ascii="仿宋_GB2312" w:hAnsi="宋体" w:eastAsia="仿宋_GB2312"/>
          <w:color w:val="auto"/>
          <w:sz w:val="32"/>
          <w:szCs w:val="32"/>
          <w:u w:val="single"/>
        </w:rPr>
      </w:pPr>
      <w:r>
        <w:rPr>
          <w:rFonts w:hint="eastAsia" w:ascii="仿宋_GB2312" w:hAnsi="宋体" w:eastAsia="仿宋_GB2312"/>
          <w:color w:val="auto"/>
          <w:sz w:val="32"/>
          <w:szCs w:val="32"/>
          <w:u w:val="single"/>
        </w:rPr>
        <w:t>(3)配合业主开展工程报批报建</w:t>
      </w:r>
    </w:p>
    <w:p w14:paraId="14633764">
      <w:pPr>
        <w:ind w:firstLine="709"/>
        <w:rPr>
          <w:rFonts w:hint="eastAsia" w:ascii="仿宋_GB2312" w:hAnsi="宋体" w:eastAsia="仿宋_GB2312"/>
          <w:color w:val="auto"/>
          <w:sz w:val="32"/>
          <w:szCs w:val="32"/>
          <w:u w:val="single"/>
        </w:rPr>
      </w:pPr>
      <w:r>
        <w:rPr>
          <w:rFonts w:hint="eastAsia" w:ascii="仿宋_GB2312" w:hAnsi="宋体" w:eastAsia="仿宋_GB2312"/>
          <w:color w:val="auto"/>
          <w:sz w:val="32"/>
          <w:szCs w:val="32"/>
          <w:u w:val="single"/>
        </w:rPr>
        <w:t>(4)开展项目初步设计概算编制，并结合发包人要求开展限额设计</w:t>
      </w:r>
    </w:p>
    <w:p w14:paraId="2B1C7004">
      <w:pPr>
        <w:ind w:firstLine="709"/>
        <w:rPr>
          <w:rFonts w:hint="eastAsia" w:ascii="仿宋_GB2312" w:hAnsi="宋体" w:eastAsia="仿宋_GB2312"/>
          <w:color w:val="auto"/>
          <w:sz w:val="32"/>
          <w:szCs w:val="32"/>
          <w:u w:val="single"/>
        </w:rPr>
      </w:pPr>
      <w:r>
        <w:rPr>
          <w:rFonts w:hint="eastAsia" w:ascii="仿宋_GB2312" w:hAnsi="宋体" w:eastAsia="仿宋_GB2312"/>
          <w:color w:val="auto"/>
          <w:sz w:val="32"/>
          <w:szCs w:val="32"/>
          <w:u w:val="single"/>
        </w:rPr>
        <w:t>2.勘察设计总承包管理和配合服务的工作：</w:t>
      </w:r>
    </w:p>
    <w:p w14:paraId="7658133D">
      <w:pPr>
        <w:ind w:firstLine="709"/>
        <w:rPr>
          <w:rFonts w:hint="eastAsia" w:ascii="仿宋_GB2312" w:hAnsi="宋体" w:eastAsia="仿宋_GB2312"/>
          <w:color w:val="auto"/>
          <w:sz w:val="32"/>
          <w:szCs w:val="32"/>
        </w:rPr>
      </w:pPr>
      <w:r>
        <w:rPr>
          <w:rFonts w:hint="eastAsia" w:ascii="仿宋_GB2312" w:hAnsi="宋体" w:eastAsia="仿宋_GB2312"/>
          <w:color w:val="auto"/>
          <w:sz w:val="32"/>
          <w:szCs w:val="32"/>
          <w:u w:val="single"/>
        </w:rPr>
        <w:t>总承包单位做好质量、进度、安全方面的工作。总体协调管理做好与各专业单位的设计和实施界面和接口协调。</w:t>
      </w:r>
    </w:p>
    <w:p w14:paraId="770B8A0C">
      <w:pPr>
        <w:ind w:firstLine="636" w:firstLineChars="199"/>
        <w:rPr>
          <w:rFonts w:hint="eastAsia" w:ascii="仿宋_GB2312" w:hAnsi="宋体" w:eastAsia="仿宋_GB2312"/>
          <w:color w:val="auto"/>
          <w:sz w:val="32"/>
          <w:szCs w:val="32"/>
        </w:rPr>
      </w:pPr>
      <w:r>
        <w:rPr>
          <w:rFonts w:hint="eastAsia" w:ascii="仿宋_GB2312" w:hAnsi="宋体" w:eastAsia="仿宋_GB2312"/>
          <w:color w:val="auto"/>
          <w:sz w:val="32"/>
          <w:szCs w:val="32"/>
        </w:rPr>
        <w:t>2.3申请人需派1名具有市政路桥相关专业工程师职称人员负责跟踪处理本项目的设计问题。工作费用及办公设备由中标人承担，办公场地由招标人提供。该人员的工作至工程施工招标结束为止，服从发包人工作安排。</w:t>
      </w:r>
    </w:p>
    <w:p w14:paraId="64B0DAD6">
      <w:pPr>
        <w:ind w:firstLine="636" w:firstLineChars="199"/>
        <w:rPr>
          <w:rFonts w:hint="eastAsia" w:ascii="仿宋_GB2312" w:hAnsi="宋体" w:eastAsia="仿宋_GB2312"/>
          <w:color w:val="auto"/>
          <w:sz w:val="32"/>
          <w:szCs w:val="32"/>
        </w:rPr>
      </w:pPr>
      <w:r>
        <w:rPr>
          <w:rFonts w:hint="eastAsia" w:ascii="仿宋_GB2312" w:hAnsi="宋体" w:eastAsia="仿宋_GB2312"/>
          <w:color w:val="auto"/>
          <w:sz w:val="32"/>
          <w:szCs w:val="32"/>
        </w:rPr>
        <w:t>2.4承包人需委派的现场指导与监督人员要求：设计代表总负责人1名，要求为本项目专业负责人之一；各专业指定设计代表1名，要求相关专业，中级或以上职称。现场指导与监督人员必须是拟投入的主要勘察设计人员中的相应人员。设计代表总负责人必须按要求出席建设单位或总监主持的重要会议（如工地例会）。</w:t>
      </w:r>
    </w:p>
    <w:p w14:paraId="19893891">
      <w:pPr>
        <w:ind w:firstLine="636" w:firstLineChars="199"/>
        <w:rPr>
          <w:rFonts w:ascii="仿宋_GB2312" w:hAnsi="宋体" w:eastAsia="仿宋_GB2312"/>
          <w:color w:val="auto"/>
          <w:sz w:val="32"/>
          <w:szCs w:val="32"/>
        </w:rPr>
      </w:pPr>
      <w:r>
        <w:rPr>
          <w:rFonts w:hint="eastAsia" w:ascii="仿宋_GB2312" w:hAnsi="宋体" w:eastAsia="仿宋_GB2312"/>
          <w:color w:val="auto"/>
          <w:sz w:val="32"/>
          <w:szCs w:val="32"/>
        </w:rPr>
        <w:t>2.5承包人需提供用广州坐标做方案设计、初步设计、施工图设计图；同时提供用广州2000坐标做方案设计图（含总平面图）、初步设计、施工图设计相应各环节报建图用于用地、规划报建。</w:t>
      </w:r>
    </w:p>
    <w:p w14:paraId="7E771813">
      <w:pPr>
        <w:spacing w:line="540" w:lineRule="exact"/>
        <w:ind w:firstLine="630" w:firstLineChars="196"/>
        <w:rPr>
          <w:rFonts w:hint="eastAsia" w:ascii="仿宋_GB2312" w:hAnsi="宋体" w:eastAsia="仿宋_GB2312"/>
          <w:color w:val="auto"/>
          <w:sz w:val="32"/>
          <w:szCs w:val="32"/>
        </w:rPr>
      </w:pPr>
      <w:r>
        <w:rPr>
          <w:rFonts w:hint="eastAsia" w:ascii="仿宋_GB2312" w:hAnsi="宋体" w:eastAsia="仿宋_GB2312"/>
          <w:b/>
          <w:bCs/>
          <w:color w:val="auto"/>
          <w:sz w:val="32"/>
          <w:szCs w:val="32"/>
        </w:rPr>
        <w:t xml:space="preserve">第三条 </w:t>
      </w:r>
      <w:r>
        <w:rPr>
          <w:rFonts w:hint="eastAsia" w:ascii="仿宋_GB2312" w:hAnsi="宋体" w:eastAsia="仿宋_GB2312"/>
          <w:b/>
          <w:color w:val="auto"/>
          <w:sz w:val="32"/>
          <w:szCs w:val="32"/>
        </w:rPr>
        <w:t>发包人向承包人提交的有关资料、文件</w:t>
      </w:r>
      <w:r>
        <w:rPr>
          <w:rFonts w:hint="eastAsia" w:ascii="仿宋_GB2312" w:hAnsi="宋体" w:eastAsia="仿宋_GB2312"/>
          <w:color w:val="auto"/>
          <w:sz w:val="32"/>
          <w:szCs w:val="32"/>
        </w:rPr>
        <w:t>　</w:t>
      </w:r>
    </w:p>
    <w:p w14:paraId="3FB572E2">
      <w:pPr>
        <w:spacing w:line="54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3.1中标通知书；</w:t>
      </w:r>
    </w:p>
    <w:p w14:paraId="46F8442D">
      <w:pPr>
        <w:spacing w:line="54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3.2项目投资批文、有关规划用地批文、本工程批准文件（复印件）；</w:t>
      </w:r>
    </w:p>
    <w:p w14:paraId="68DCF306">
      <w:pPr>
        <w:spacing w:line="54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3.3工程勘察、设计技术要求及勘察设计工作范围内已有的技术资料，但不免除乙方自行收集相关技术资料的责任；</w:t>
      </w:r>
    </w:p>
    <w:p w14:paraId="67D7159B">
      <w:pPr>
        <w:spacing w:line="540" w:lineRule="exact"/>
        <w:ind w:firstLine="640" w:firstLineChars="200"/>
        <w:rPr>
          <w:rFonts w:hint="eastAsia" w:ascii="仿宋_GB2312" w:hAnsi="宋体" w:eastAsia="仿宋_GB2312"/>
          <w:color w:val="auto"/>
          <w:sz w:val="32"/>
          <w:szCs w:val="32"/>
        </w:rPr>
      </w:pPr>
    </w:p>
    <w:p w14:paraId="7722A0D5">
      <w:pPr>
        <w:pStyle w:val="3"/>
        <w:numPr>
          <w:ilvl w:val="0"/>
          <w:numId w:val="2"/>
        </w:numPr>
        <w:spacing w:line="540" w:lineRule="exact"/>
        <w:ind w:firstLine="630" w:firstLineChars="196"/>
        <w:rPr>
          <w:rFonts w:hint="eastAsia" w:ascii="仿宋_GB2312" w:hAnsi="宋体" w:eastAsia="仿宋_GB2312"/>
          <w:b/>
          <w:color w:val="auto"/>
          <w:sz w:val="32"/>
          <w:szCs w:val="32"/>
        </w:rPr>
      </w:pPr>
      <w:r>
        <w:rPr>
          <w:rFonts w:hint="eastAsia" w:ascii="仿宋_GB2312" w:hAnsi="宋体" w:eastAsia="仿宋_GB2312"/>
          <w:b/>
          <w:color w:val="auto"/>
          <w:sz w:val="32"/>
          <w:szCs w:val="32"/>
        </w:rPr>
        <w:t>承包人应向发包人交付的设计资料及文件：</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59"/>
        <w:gridCol w:w="2884"/>
        <w:gridCol w:w="833"/>
        <w:gridCol w:w="3667"/>
        <w:gridCol w:w="1964"/>
      </w:tblGrid>
      <w:tr w14:paraId="376E1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859" w:type="dxa"/>
            <w:noWrap w:val="0"/>
            <w:vAlign w:val="center"/>
          </w:tcPr>
          <w:p w14:paraId="3A48579A">
            <w:pPr>
              <w:pStyle w:val="3"/>
              <w:spacing w:line="540" w:lineRule="exact"/>
              <w:jc w:val="left"/>
              <w:rPr>
                <w:rFonts w:hint="eastAsia" w:ascii="仿宋_GB2312" w:hAnsi="宋体" w:eastAsia="仿宋_GB2312"/>
                <w:color w:val="auto"/>
                <w:sz w:val="28"/>
                <w:szCs w:val="28"/>
              </w:rPr>
            </w:pPr>
            <w:r>
              <w:rPr>
                <w:rFonts w:hint="eastAsia" w:ascii="仿宋_GB2312" w:hAnsi="宋体" w:eastAsia="仿宋_GB2312"/>
                <w:b/>
                <w:color w:val="auto"/>
                <w:sz w:val="32"/>
                <w:szCs w:val="32"/>
              </w:rPr>
              <w:t xml:space="preserve"> </w:t>
            </w:r>
            <w:r>
              <w:rPr>
                <w:rFonts w:hint="eastAsia" w:ascii="仿宋_GB2312" w:hAnsi="宋体" w:eastAsia="仿宋_GB2312"/>
                <w:color w:val="auto"/>
                <w:sz w:val="28"/>
                <w:szCs w:val="28"/>
              </w:rPr>
              <w:t>序号</w:t>
            </w:r>
          </w:p>
        </w:tc>
        <w:tc>
          <w:tcPr>
            <w:tcW w:w="2884" w:type="dxa"/>
            <w:noWrap w:val="0"/>
            <w:vAlign w:val="center"/>
          </w:tcPr>
          <w:p w14:paraId="38734068">
            <w:pPr>
              <w:pStyle w:val="3"/>
              <w:spacing w:line="54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资料及文件名称</w:t>
            </w:r>
          </w:p>
        </w:tc>
        <w:tc>
          <w:tcPr>
            <w:tcW w:w="833" w:type="dxa"/>
            <w:noWrap w:val="0"/>
            <w:vAlign w:val="center"/>
          </w:tcPr>
          <w:p w14:paraId="1AAA94D6">
            <w:pPr>
              <w:pStyle w:val="3"/>
              <w:spacing w:line="54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份数</w:t>
            </w:r>
          </w:p>
        </w:tc>
        <w:tc>
          <w:tcPr>
            <w:tcW w:w="3667" w:type="dxa"/>
            <w:noWrap w:val="0"/>
            <w:vAlign w:val="center"/>
          </w:tcPr>
          <w:p w14:paraId="4AC8B92E">
            <w:pPr>
              <w:pStyle w:val="3"/>
              <w:spacing w:line="54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提交日期</w:t>
            </w:r>
          </w:p>
        </w:tc>
        <w:tc>
          <w:tcPr>
            <w:tcW w:w="1964" w:type="dxa"/>
            <w:noWrap w:val="0"/>
            <w:vAlign w:val="center"/>
          </w:tcPr>
          <w:p w14:paraId="63608DB5">
            <w:pPr>
              <w:pStyle w:val="3"/>
              <w:spacing w:line="540" w:lineRule="exact"/>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有关事宜</w:t>
            </w:r>
          </w:p>
        </w:tc>
      </w:tr>
      <w:tr w14:paraId="4CF10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2" w:hRule="atLeast"/>
          <w:jc w:val="center"/>
        </w:trPr>
        <w:tc>
          <w:tcPr>
            <w:tcW w:w="859" w:type="dxa"/>
            <w:noWrap w:val="0"/>
            <w:vAlign w:val="center"/>
          </w:tcPr>
          <w:p w14:paraId="7129A5CC">
            <w:pPr>
              <w:pStyle w:val="3"/>
              <w:spacing w:line="540" w:lineRule="exact"/>
              <w:jc w:val="center"/>
              <w:rPr>
                <w:rFonts w:hint="eastAsia" w:ascii="仿宋_GB2312" w:hAnsi="宋体" w:eastAsia="仿宋_GB2312"/>
                <w:b/>
                <w:color w:val="auto"/>
                <w:sz w:val="32"/>
                <w:szCs w:val="32"/>
              </w:rPr>
            </w:pPr>
            <w:r>
              <w:rPr>
                <w:rFonts w:hint="eastAsia" w:hAnsi="宋体" w:cs="宋体"/>
                <w:color w:val="auto"/>
                <w:sz w:val="28"/>
                <w:szCs w:val="28"/>
              </w:rPr>
              <w:t>1</w:t>
            </w:r>
          </w:p>
        </w:tc>
        <w:tc>
          <w:tcPr>
            <w:tcW w:w="2884" w:type="dxa"/>
            <w:noWrap w:val="0"/>
            <w:vAlign w:val="center"/>
          </w:tcPr>
          <w:p w14:paraId="4C2F028C">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报建及初步设计</w:t>
            </w:r>
          </w:p>
        </w:tc>
        <w:tc>
          <w:tcPr>
            <w:tcW w:w="833" w:type="dxa"/>
            <w:noWrap w:val="0"/>
            <w:vAlign w:val="center"/>
          </w:tcPr>
          <w:p w14:paraId="1160870F">
            <w:pPr>
              <w:jc w:val="center"/>
              <w:rPr>
                <w:rFonts w:ascii="仿宋_GB2312" w:hAnsi="宋体" w:eastAsia="仿宋_GB2312"/>
                <w:color w:val="auto"/>
                <w:sz w:val="24"/>
              </w:rPr>
            </w:pPr>
            <w:r>
              <w:rPr>
                <w:rFonts w:hint="eastAsia" w:ascii="仿宋_GB2312" w:hAnsi="宋体" w:eastAsia="仿宋_GB2312"/>
                <w:color w:val="auto"/>
                <w:sz w:val="28"/>
                <w:szCs w:val="28"/>
              </w:rPr>
              <w:t>30</w:t>
            </w:r>
          </w:p>
        </w:tc>
        <w:tc>
          <w:tcPr>
            <w:tcW w:w="3667" w:type="dxa"/>
            <w:noWrap w:val="0"/>
            <w:vAlign w:val="center"/>
          </w:tcPr>
          <w:p w14:paraId="1C911B44">
            <w:pPr>
              <w:spacing w:line="300" w:lineRule="exact"/>
              <w:rPr>
                <w:rFonts w:hint="eastAsia" w:ascii="仿宋_GB2312" w:hAnsi="宋体" w:eastAsia="仿宋_GB2312"/>
                <w:color w:val="auto"/>
                <w:sz w:val="28"/>
                <w:szCs w:val="28"/>
              </w:rPr>
            </w:pPr>
            <w:r>
              <w:rPr>
                <w:rFonts w:hint="eastAsia" w:ascii="仿宋_GB2312" w:hAnsi="宋体" w:eastAsia="仿宋_GB2312"/>
                <w:color w:val="auto"/>
                <w:sz w:val="28"/>
                <w:szCs w:val="28"/>
              </w:rPr>
              <w:t>发包人提供经规划审查通过的方案给中标人</w:t>
            </w:r>
            <w:r>
              <w:rPr>
                <w:rFonts w:hint="eastAsia" w:ascii="仿宋_GB2312" w:hAnsi="宋体" w:eastAsia="仿宋_GB2312"/>
                <w:color w:val="auto"/>
                <w:sz w:val="28"/>
                <w:szCs w:val="28"/>
                <w:lang w:val="en-US" w:eastAsia="zh-CN"/>
              </w:rPr>
              <w:t>20</w:t>
            </w:r>
            <w:r>
              <w:rPr>
                <w:rFonts w:hint="eastAsia" w:ascii="仿宋_GB2312" w:hAnsi="宋体" w:eastAsia="仿宋_GB2312"/>
                <w:color w:val="auto"/>
                <w:sz w:val="28"/>
                <w:szCs w:val="28"/>
              </w:rPr>
              <w:t>日内提交初步设计成果，经发包人评审后5日内提供修编（含概算），并配合概算送审，达不到要求的3日内补充完整</w:t>
            </w:r>
          </w:p>
        </w:tc>
        <w:tc>
          <w:tcPr>
            <w:tcW w:w="1964" w:type="dxa"/>
            <w:vMerge w:val="restart"/>
            <w:noWrap w:val="0"/>
            <w:vAlign w:val="center"/>
          </w:tcPr>
          <w:p w14:paraId="227F4E62">
            <w:pPr>
              <w:spacing w:line="300" w:lineRule="exact"/>
              <w:rPr>
                <w:rFonts w:hint="eastAsia" w:ascii="仿宋_GB2312" w:hAnsi="宋体" w:eastAsia="仿宋_GB2312"/>
                <w:color w:val="auto"/>
                <w:sz w:val="28"/>
                <w:szCs w:val="28"/>
              </w:rPr>
            </w:pPr>
            <w:r>
              <w:rPr>
                <w:rFonts w:hint="eastAsia" w:ascii="仿宋_GB2312" w:hAnsi="宋体" w:eastAsia="仿宋_GB2312"/>
                <w:color w:val="auto"/>
                <w:sz w:val="28"/>
                <w:szCs w:val="28"/>
              </w:rPr>
              <w:t>图纸内容及相关资料符合政府有关部门报审的要求。初步设计图、施工图经审查后提交2套图纸归档（折叠成A4规格）。归档资料按照发包人档案室要求提供。所有报批图纸均需折叠成A4规格。</w:t>
            </w:r>
          </w:p>
        </w:tc>
      </w:tr>
      <w:tr w14:paraId="2C0EA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71" w:hRule="atLeast"/>
          <w:jc w:val="center"/>
        </w:trPr>
        <w:tc>
          <w:tcPr>
            <w:tcW w:w="859" w:type="dxa"/>
            <w:tcBorders>
              <w:top w:val="single" w:color="auto" w:sz="4" w:space="0"/>
              <w:bottom w:val="single" w:color="auto" w:sz="4" w:space="0"/>
            </w:tcBorders>
            <w:noWrap w:val="0"/>
            <w:vAlign w:val="center"/>
          </w:tcPr>
          <w:p w14:paraId="155A5C1C">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2</w:t>
            </w:r>
          </w:p>
        </w:tc>
        <w:tc>
          <w:tcPr>
            <w:tcW w:w="2884" w:type="dxa"/>
            <w:tcBorders>
              <w:top w:val="single" w:color="auto" w:sz="4" w:space="0"/>
              <w:bottom w:val="single" w:color="auto" w:sz="4" w:space="0"/>
            </w:tcBorders>
            <w:noWrap w:val="0"/>
            <w:vAlign w:val="center"/>
          </w:tcPr>
          <w:p w14:paraId="26ADFD97">
            <w:pPr>
              <w:jc w:val="center"/>
              <w:rPr>
                <w:rFonts w:ascii="仿宋_GB2312" w:hAnsi="宋体" w:eastAsia="仿宋_GB2312"/>
                <w:color w:val="auto"/>
                <w:sz w:val="28"/>
                <w:szCs w:val="28"/>
              </w:rPr>
            </w:pPr>
            <w:r>
              <w:rPr>
                <w:rFonts w:hint="eastAsia" w:ascii="仿宋_GB2312" w:hAnsi="宋体" w:eastAsia="仿宋_GB2312"/>
                <w:color w:val="auto"/>
                <w:sz w:val="28"/>
                <w:szCs w:val="28"/>
              </w:rPr>
              <w:t>招标施工图</w:t>
            </w:r>
          </w:p>
          <w:p w14:paraId="01F9B358">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（含</w:t>
            </w:r>
            <w:r>
              <w:rPr>
                <w:rFonts w:ascii="仿宋_GB2312" w:hAnsi="宋体" w:eastAsia="仿宋_GB2312"/>
                <w:color w:val="auto"/>
                <w:sz w:val="28"/>
                <w:szCs w:val="28"/>
              </w:rPr>
              <w:t>电子文件）</w:t>
            </w:r>
          </w:p>
        </w:tc>
        <w:tc>
          <w:tcPr>
            <w:tcW w:w="833" w:type="dxa"/>
            <w:tcBorders>
              <w:top w:val="single" w:color="auto" w:sz="4" w:space="0"/>
              <w:bottom w:val="single" w:color="auto" w:sz="4" w:space="0"/>
            </w:tcBorders>
            <w:noWrap w:val="0"/>
            <w:vAlign w:val="center"/>
          </w:tcPr>
          <w:p w14:paraId="6EBC6EDE">
            <w:pPr>
              <w:jc w:val="center"/>
              <w:rPr>
                <w:rFonts w:ascii="仿宋_GB2312" w:hAnsi="宋体" w:eastAsia="仿宋_GB2312"/>
                <w:color w:val="auto"/>
                <w:sz w:val="28"/>
                <w:szCs w:val="28"/>
              </w:rPr>
            </w:pPr>
            <w:r>
              <w:rPr>
                <w:rFonts w:hint="eastAsia" w:ascii="仿宋_GB2312" w:hAnsi="宋体" w:eastAsia="仿宋_GB2312"/>
                <w:color w:val="auto"/>
                <w:sz w:val="28"/>
                <w:szCs w:val="28"/>
              </w:rPr>
              <w:t>30</w:t>
            </w:r>
          </w:p>
        </w:tc>
        <w:tc>
          <w:tcPr>
            <w:tcW w:w="3667" w:type="dxa"/>
            <w:tcBorders>
              <w:top w:val="single" w:color="auto" w:sz="4" w:space="0"/>
              <w:bottom w:val="single" w:color="auto" w:sz="4" w:space="0"/>
            </w:tcBorders>
            <w:noWrap w:val="0"/>
            <w:vAlign w:val="center"/>
          </w:tcPr>
          <w:p w14:paraId="399F51C2">
            <w:pPr>
              <w:spacing w:line="300" w:lineRule="exact"/>
              <w:rPr>
                <w:rFonts w:hint="eastAsia" w:ascii="仿宋_GB2312" w:hAnsi="宋体" w:eastAsia="仿宋_GB2312"/>
                <w:color w:val="auto"/>
                <w:sz w:val="28"/>
                <w:szCs w:val="28"/>
              </w:rPr>
            </w:pPr>
            <w:r>
              <w:rPr>
                <w:rFonts w:hint="eastAsia" w:ascii="仿宋_GB2312" w:hAnsi="宋体" w:eastAsia="仿宋_GB2312"/>
                <w:color w:val="auto"/>
                <w:sz w:val="28"/>
                <w:szCs w:val="28"/>
              </w:rPr>
              <w:t>概算经发包人确认后</w:t>
            </w:r>
            <w:r>
              <w:rPr>
                <w:rFonts w:hint="eastAsia" w:ascii="仿宋_GB2312" w:hAnsi="宋体" w:eastAsia="仿宋_GB2312"/>
                <w:color w:val="auto"/>
                <w:sz w:val="28"/>
                <w:szCs w:val="28"/>
                <w:lang w:val="en-US" w:eastAsia="zh-CN"/>
              </w:rPr>
              <w:t>20</w:t>
            </w:r>
            <w:r>
              <w:rPr>
                <w:rFonts w:hint="eastAsia" w:ascii="仿宋_GB2312" w:hAnsi="宋体" w:eastAsia="仿宋_GB2312"/>
                <w:color w:val="auto"/>
                <w:sz w:val="28"/>
                <w:szCs w:val="28"/>
              </w:rPr>
              <w:t>日内完成施工图征询意见稿，征询意见收齐后5日完成施工图审查稿，施工图审查意见后5日完成修改并提供招标施工图设计成果（含材料表）</w:t>
            </w:r>
          </w:p>
        </w:tc>
        <w:tc>
          <w:tcPr>
            <w:tcW w:w="1964" w:type="dxa"/>
            <w:vMerge w:val="continue"/>
            <w:noWrap w:val="0"/>
            <w:vAlign w:val="center"/>
          </w:tcPr>
          <w:p w14:paraId="64A88233">
            <w:pPr>
              <w:spacing w:line="300" w:lineRule="exact"/>
              <w:rPr>
                <w:rFonts w:hint="eastAsia" w:ascii="仿宋_GB2312" w:hAnsi="宋体" w:eastAsia="仿宋_GB2312"/>
                <w:color w:val="auto"/>
                <w:sz w:val="28"/>
                <w:szCs w:val="28"/>
              </w:rPr>
            </w:pPr>
          </w:p>
        </w:tc>
      </w:tr>
      <w:tr w14:paraId="733C9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69" w:hRule="atLeast"/>
          <w:jc w:val="center"/>
        </w:trPr>
        <w:tc>
          <w:tcPr>
            <w:tcW w:w="859" w:type="dxa"/>
            <w:tcBorders>
              <w:top w:val="single" w:color="auto" w:sz="4" w:space="0"/>
              <w:bottom w:val="single" w:color="auto" w:sz="4" w:space="0"/>
            </w:tcBorders>
            <w:noWrap w:val="0"/>
            <w:vAlign w:val="center"/>
          </w:tcPr>
          <w:p w14:paraId="59DE1F6F">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3</w:t>
            </w:r>
          </w:p>
        </w:tc>
        <w:tc>
          <w:tcPr>
            <w:tcW w:w="2884" w:type="dxa"/>
            <w:tcBorders>
              <w:top w:val="single" w:color="auto" w:sz="4" w:space="0"/>
              <w:bottom w:val="single" w:color="auto" w:sz="4" w:space="0"/>
            </w:tcBorders>
            <w:noWrap w:val="0"/>
            <w:vAlign w:val="center"/>
          </w:tcPr>
          <w:p w14:paraId="23C22150">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施工报建图</w:t>
            </w:r>
          </w:p>
        </w:tc>
        <w:tc>
          <w:tcPr>
            <w:tcW w:w="833" w:type="dxa"/>
            <w:tcBorders>
              <w:top w:val="single" w:color="auto" w:sz="4" w:space="0"/>
              <w:bottom w:val="single" w:color="auto" w:sz="4" w:space="0"/>
            </w:tcBorders>
            <w:noWrap w:val="0"/>
            <w:vAlign w:val="center"/>
          </w:tcPr>
          <w:p w14:paraId="5D4DAE3C">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10</w:t>
            </w:r>
          </w:p>
        </w:tc>
        <w:tc>
          <w:tcPr>
            <w:tcW w:w="3667" w:type="dxa"/>
            <w:tcBorders>
              <w:top w:val="single" w:color="auto" w:sz="4" w:space="0"/>
              <w:bottom w:val="single" w:color="auto" w:sz="4" w:space="0"/>
            </w:tcBorders>
            <w:noWrap w:val="0"/>
            <w:vAlign w:val="center"/>
          </w:tcPr>
          <w:p w14:paraId="497D4053">
            <w:pPr>
              <w:spacing w:line="300" w:lineRule="exact"/>
              <w:rPr>
                <w:rFonts w:hint="eastAsia" w:ascii="仿宋_GB2312" w:hAnsi="宋体" w:eastAsia="仿宋_GB2312"/>
                <w:color w:val="auto"/>
                <w:sz w:val="28"/>
                <w:szCs w:val="28"/>
              </w:rPr>
            </w:pPr>
            <w:r>
              <w:rPr>
                <w:rFonts w:hint="eastAsia" w:ascii="仿宋_GB2312" w:hAnsi="宋体" w:eastAsia="仿宋_GB2312"/>
                <w:color w:val="auto"/>
                <w:sz w:val="28"/>
                <w:szCs w:val="28"/>
              </w:rPr>
              <w:t>随各阶段图提交</w:t>
            </w:r>
          </w:p>
        </w:tc>
        <w:tc>
          <w:tcPr>
            <w:tcW w:w="1964" w:type="dxa"/>
            <w:vMerge w:val="continue"/>
            <w:noWrap w:val="0"/>
            <w:vAlign w:val="center"/>
          </w:tcPr>
          <w:p w14:paraId="33C474E4">
            <w:pPr>
              <w:rPr>
                <w:rFonts w:hint="eastAsia" w:ascii="仿宋_GB2312" w:hAnsi="宋体" w:eastAsia="仿宋_GB2312"/>
                <w:color w:val="auto"/>
                <w:sz w:val="28"/>
                <w:szCs w:val="28"/>
              </w:rPr>
            </w:pPr>
          </w:p>
        </w:tc>
      </w:tr>
      <w:tr w14:paraId="092D7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40" w:hRule="atLeast"/>
          <w:jc w:val="center"/>
        </w:trPr>
        <w:tc>
          <w:tcPr>
            <w:tcW w:w="859" w:type="dxa"/>
            <w:tcBorders>
              <w:top w:val="single" w:color="auto" w:sz="4" w:space="0"/>
            </w:tcBorders>
            <w:noWrap w:val="0"/>
            <w:vAlign w:val="center"/>
          </w:tcPr>
          <w:p w14:paraId="011D6A7D">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4</w:t>
            </w:r>
          </w:p>
        </w:tc>
        <w:tc>
          <w:tcPr>
            <w:tcW w:w="2884" w:type="dxa"/>
            <w:tcBorders>
              <w:top w:val="single" w:color="auto" w:sz="4" w:space="0"/>
            </w:tcBorders>
            <w:noWrap w:val="0"/>
            <w:vAlign w:val="center"/>
          </w:tcPr>
          <w:p w14:paraId="2357615B">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施工图设计电子文件（其中PDF文件5套，CAD文件5套）</w:t>
            </w:r>
          </w:p>
        </w:tc>
        <w:tc>
          <w:tcPr>
            <w:tcW w:w="833" w:type="dxa"/>
            <w:tcBorders>
              <w:top w:val="single" w:color="auto" w:sz="4" w:space="0"/>
            </w:tcBorders>
            <w:noWrap w:val="0"/>
            <w:vAlign w:val="center"/>
          </w:tcPr>
          <w:p w14:paraId="41163D02">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10</w:t>
            </w:r>
          </w:p>
        </w:tc>
        <w:tc>
          <w:tcPr>
            <w:tcW w:w="3667" w:type="dxa"/>
            <w:tcBorders>
              <w:top w:val="single" w:color="auto" w:sz="4" w:space="0"/>
            </w:tcBorders>
            <w:noWrap w:val="0"/>
            <w:vAlign w:val="center"/>
          </w:tcPr>
          <w:p w14:paraId="44D55088">
            <w:pPr>
              <w:spacing w:line="300" w:lineRule="exact"/>
              <w:rPr>
                <w:rFonts w:hint="eastAsia" w:ascii="仿宋_GB2312" w:hAnsi="宋体" w:eastAsia="仿宋_GB2312"/>
                <w:color w:val="auto"/>
                <w:sz w:val="28"/>
                <w:szCs w:val="28"/>
              </w:rPr>
            </w:pPr>
            <w:r>
              <w:rPr>
                <w:rFonts w:hint="eastAsia" w:ascii="仿宋_GB2312" w:hAnsi="宋体" w:eastAsia="仿宋_GB2312"/>
                <w:color w:val="auto"/>
                <w:sz w:val="28"/>
                <w:szCs w:val="28"/>
              </w:rPr>
              <w:t>随各阶段图提交</w:t>
            </w:r>
          </w:p>
        </w:tc>
        <w:tc>
          <w:tcPr>
            <w:tcW w:w="1964" w:type="dxa"/>
            <w:vMerge w:val="continue"/>
            <w:noWrap w:val="0"/>
            <w:vAlign w:val="center"/>
          </w:tcPr>
          <w:p w14:paraId="2ACE7AEE">
            <w:pPr>
              <w:rPr>
                <w:rFonts w:hint="eastAsia" w:ascii="仿宋_GB2312" w:hAnsi="宋体" w:eastAsia="仿宋_GB2312"/>
                <w:color w:val="auto"/>
                <w:sz w:val="28"/>
                <w:szCs w:val="28"/>
              </w:rPr>
            </w:pPr>
          </w:p>
        </w:tc>
      </w:tr>
      <w:tr w14:paraId="40326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7" w:hRule="atLeast"/>
          <w:jc w:val="center"/>
        </w:trPr>
        <w:tc>
          <w:tcPr>
            <w:tcW w:w="859" w:type="dxa"/>
            <w:tcBorders>
              <w:top w:val="single" w:color="auto" w:sz="4" w:space="0"/>
            </w:tcBorders>
            <w:noWrap w:val="0"/>
            <w:vAlign w:val="center"/>
          </w:tcPr>
          <w:p w14:paraId="45728C0E">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5</w:t>
            </w:r>
          </w:p>
        </w:tc>
        <w:tc>
          <w:tcPr>
            <w:tcW w:w="2884" w:type="dxa"/>
            <w:tcBorders>
              <w:top w:val="single" w:color="auto" w:sz="4" w:space="0"/>
            </w:tcBorders>
            <w:noWrap w:val="0"/>
            <w:vAlign w:val="center"/>
          </w:tcPr>
          <w:p w14:paraId="6AE27ACC">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选用的国家标准图、部颁标准图及地方标准图；承包人移交设计成果时，需提交项目移交说明（包括项目保养维护、使用要求）</w:t>
            </w:r>
          </w:p>
        </w:tc>
        <w:tc>
          <w:tcPr>
            <w:tcW w:w="833" w:type="dxa"/>
            <w:tcBorders>
              <w:top w:val="single" w:color="auto" w:sz="4" w:space="0"/>
            </w:tcBorders>
            <w:noWrap w:val="0"/>
            <w:vAlign w:val="center"/>
          </w:tcPr>
          <w:p w14:paraId="7FB3CFFD">
            <w:pPr>
              <w:jc w:val="center"/>
              <w:rPr>
                <w:rFonts w:hint="eastAsia" w:ascii="仿宋_GB2312" w:hAnsi="宋体" w:eastAsia="仿宋_GB2312"/>
                <w:color w:val="auto"/>
                <w:sz w:val="28"/>
                <w:szCs w:val="28"/>
              </w:rPr>
            </w:pPr>
            <w:r>
              <w:rPr>
                <w:rFonts w:hint="eastAsia" w:ascii="仿宋_GB2312" w:hAnsi="宋体" w:eastAsia="仿宋_GB2312"/>
                <w:color w:val="auto"/>
                <w:sz w:val="28"/>
                <w:szCs w:val="28"/>
              </w:rPr>
              <w:t>2</w:t>
            </w:r>
          </w:p>
        </w:tc>
        <w:tc>
          <w:tcPr>
            <w:tcW w:w="3667" w:type="dxa"/>
            <w:tcBorders>
              <w:top w:val="single" w:color="auto" w:sz="4" w:space="0"/>
            </w:tcBorders>
            <w:noWrap w:val="0"/>
            <w:vAlign w:val="center"/>
          </w:tcPr>
          <w:p w14:paraId="062807CD">
            <w:pPr>
              <w:spacing w:line="300" w:lineRule="exact"/>
              <w:rPr>
                <w:rFonts w:hint="eastAsia" w:ascii="仿宋_GB2312" w:hAnsi="宋体" w:eastAsia="仿宋_GB2312"/>
                <w:color w:val="auto"/>
                <w:sz w:val="28"/>
                <w:szCs w:val="28"/>
              </w:rPr>
            </w:pPr>
            <w:r>
              <w:rPr>
                <w:rFonts w:hint="eastAsia" w:ascii="仿宋_GB2312" w:hAnsi="宋体" w:eastAsia="仿宋_GB2312"/>
                <w:color w:val="auto"/>
                <w:sz w:val="28"/>
                <w:szCs w:val="28"/>
              </w:rPr>
              <w:t>与施工图一起提交</w:t>
            </w:r>
          </w:p>
        </w:tc>
        <w:tc>
          <w:tcPr>
            <w:tcW w:w="1964" w:type="dxa"/>
            <w:vMerge w:val="continue"/>
            <w:noWrap w:val="0"/>
            <w:vAlign w:val="center"/>
          </w:tcPr>
          <w:p w14:paraId="28EE228F">
            <w:pPr>
              <w:rPr>
                <w:rFonts w:hint="eastAsia" w:ascii="仿宋_GB2312" w:hAnsi="宋体" w:eastAsia="仿宋_GB2312"/>
                <w:color w:val="auto"/>
                <w:sz w:val="28"/>
                <w:szCs w:val="28"/>
              </w:rPr>
            </w:pPr>
          </w:p>
        </w:tc>
      </w:tr>
      <w:tr w14:paraId="63A7E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8" w:hRule="atLeast"/>
          <w:jc w:val="center"/>
        </w:trPr>
        <w:tc>
          <w:tcPr>
            <w:tcW w:w="10207" w:type="dxa"/>
            <w:gridSpan w:val="5"/>
            <w:tcBorders>
              <w:bottom w:val="single" w:color="auto" w:sz="6" w:space="0"/>
            </w:tcBorders>
            <w:noWrap w:val="0"/>
            <w:vAlign w:val="center"/>
          </w:tcPr>
          <w:p w14:paraId="5BA5E6DF">
            <w:pPr>
              <w:ind w:left="980" w:right="206" w:rightChars="98" w:hanging="980" w:hangingChars="350"/>
              <w:rPr>
                <w:rFonts w:hint="eastAsia" w:ascii="仿宋_GB2312" w:hAnsi="宋体" w:eastAsia="仿宋_GB2312"/>
                <w:color w:val="auto"/>
                <w:sz w:val="28"/>
                <w:szCs w:val="28"/>
              </w:rPr>
            </w:pPr>
            <w:r>
              <w:rPr>
                <w:rFonts w:hint="eastAsia" w:ascii="仿宋_GB2312" w:hAnsi="宋体" w:eastAsia="仿宋_GB2312"/>
                <w:color w:val="auto"/>
                <w:sz w:val="28"/>
                <w:szCs w:val="28"/>
              </w:rPr>
              <w:t>注：1.若发包人因工作需要，要求承包人提交中间成果的广州坐标和西安坐标设计文件（如征地闭合红线，各阶段报批所需的总平面图等），以及宣传汇报材料（含音像、动画、效果图等资料），承包人应无条件提供。</w:t>
            </w:r>
          </w:p>
          <w:p w14:paraId="3C644B03">
            <w:pPr>
              <w:ind w:left="981" w:leftChars="267" w:right="206" w:rightChars="98" w:hanging="420" w:hangingChars="150"/>
              <w:rPr>
                <w:rFonts w:hint="eastAsia" w:ascii="仿宋_GB2312" w:hAnsi="宋体" w:eastAsia="仿宋_GB2312"/>
                <w:color w:val="auto"/>
                <w:sz w:val="28"/>
                <w:szCs w:val="28"/>
              </w:rPr>
            </w:pPr>
            <w:r>
              <w:rPr>
                <w:rFonts w:hint="eastAsia" w:ascii="仿宋_GB2312" w:hAnsi="宋体" w:eastAsia="仿宋_GB2312"/>
                <w:color w:val="auto"/>
                <w:sz w:val="28"/>
                <w:szCs w:val="28"/>
              </w:rPr>
              <w:t>2.设计资料及文件交付地点：广州市番禺区基本建设投资管理中心。</w:t>
            </w:r>
          </w:p>
          <w:p w14:paraId="08AABBE0">
            <w:pPr>
              <w:ind w:left="981" w:leftChars="267" w:right="206" w:rightChars="98" w:hanging="420" w:hangingChars="150"/>
              <w:rPr>
                <w:rFonts w:hint="eastAsia" w:ascii="仿宋_GB2312" w:hAnsi="宋体" w:eastAsia="仿宋_GB2312"/>
                <w:color w:val="auto"/>
                <w:sz w:val="28"/>
                <w:szCs w:val="28"/>
              </w:rPr>
            </w:pPr>
            <w:r>
              <w:rPr>
                <w:rFonts w:hint="eastAsia" w:ascii="仿宋_GB2312" w:hAnsi="宋体" w:eastAsia="仿宋_GB2312"/>
                <w:color w:val="auto"/>
                <w:sz w:val="28"/>
                <w:szCs w:val="28"/>
              </w:rPr>
              <w:t>3.为配合施工招标工作，承包单位须提供施工图电子文件4份，核对施工图纸质文件和电子文件，附核对无误的承诺（盖承包单位公章）原件4份，与施工招标图一起提供。电子文件与承诺一式四份分开密封。</w:t>
            </w:r>
          </w:p>
          <w:p w14:paraId="74D063FF">
            <w:pPr>
              <w:ind w:left="981" w:leftChars="267" w:right="206" w:rightChars="98" w:hanging="420" w:hangingChars="150"/>
              <w:rPr>
                <w:rFonts w:hint="eastAsia" w:ascii="仿宋_GB2312" w:hAnsi="宋体" w:eastAsia="仿宋_GB2312"/>
                <w:color w:val="auto"/>
                <w:sz w:val="28"/>
                <w:szCs w:val="28"/>
              </w:rPr>
            </w:pPr>
            <w:r>
              <w:rPr>
                <w:rFonts w:hint="eastAsia" w:ascii="仿宋_GB2312" w:hAnsi="宋体" w:eastAsia="仿宋_GB2312"/>
                <w:color w:val="auto"/>
                <w:sz w:val="28"/>
                <w:szCs w:val="28"/>
              </w:rPr>
              <w:t>4.</w:t>
            </w:r>
            <w:r>
              <w:rPr>
                <w:rFonts w:hint="eastAsia"/>
                <w:color w:val="auto"/>
                <w:sz w:val="28"/>
                <w:szCs w:val="28"/>
              </w:rPr>
              <w:t xml:space="preserve"> </w:t>
            </w:r>
            <w:r>
              <w:rPr>
                <w:rFonts w:hint="eastAsia" w:ascii="仿宋_GB2312" w:hAnsi="宋体" w:eastAsia="仿宋_GB2312"/>
                <w:color w:val="auto"/>
                <w:sz w:val="28"/>
                <w:szCs w:val="28"/>
              </w:rPr>
              <w:t>（1）由于承包人原因未按期提交各阶段设计规划报建成果，每逾期一天扣除设计费1%，（2）承包人未按期提交单体设计方案报建成果，每逾期一天扣除设计费1%；（3）因承包人技术问题被规划部门退件每次扣除设计费3%；（4）承包人未按期提交施工图设计成果，每逾期一天扣除设计费1%；（5）承包人未按期提交施工图（招标图）成果，5个工作日内每逾期一天扣除设计费1%，5至10个工作日每逾期一天扣除设计费2%， 10个工作日后每逾期一天扣除设计费3%。（6）发包人驻场代表每天到驻场地办公，根据发包人要求驻场的建筑师、结构师及其他专业人员未按要求驻场的，每人每天按3000元扣除设计费，到岗情况由发包人当天记录并告知项目负责人，并传真给设计单位总部。误期赔偿费的最高限额为最终结算价的30%。</w:t>
            </w:r>
          </w:p>
          <w:p w14:paraId="10E2C5AB">
            <w:pPr>
              <w:ind w:left="981" w:leftChars="267" w:right="206" w:rightChars="98" w:hanging="420" w:hangingChars="150"/>
              <w:rPr>
                <w:rFonts w:hint="eastAsia" w:ascii="仿宋_GB2312" w:hAnsi="宋体" w:eastAsia="仿宋_GB2312"/>
                <w:color w:val="auto"/>
                <w:sz w:val="28"/>
                <w:szCs w:val="28"/>
              </w:rPr>
            </w:pPr>
            <w:r>
              <w:rPr>
                <w:rFonts w:hint="eastAsia" w:ascii="仿宋_GB2312" w:hAnsi="宋体" w:eastAsia="仿宋_GB2312"/>
                <w:color w:val="auto"/>
                <w:sz w:val="28"/>
                <w:szCs w:val="28"/>
              </w:rPr>
              <w:t>5. 版权属发包人。</w:t>
            </w:r>
          </w:p>
        </w:tc>
      </w:tr>
    </w:tbl>
    <w:p w14:paraId="43D151EA">
      <w:pPr>
        <w:spacing w:line="540" w:lineRule="exact"/>
        <w:ind w:firstLine="640" w:firstLineChars="200"/>
        <w:rPr>
          <w:rFonts w:hint="eastAsia" w:ascii="仿宋_GB2312" w:hAnsi="宋体" w:eastAsia="仿宋_GB2312"/>
          <w:color w:val="auto"/>
          <w:sz w:val="32"/>
          <w:szCs w:val="32"/>
        </w:rPr>
      </w:pPr>
    </w:p>
    <w:p w14:paraId="706DE548">
      <w:pPr>
        <w:ind w:firstLine="630" w:firstLineChars="196"/>
        <w:rPr>
          <w:rFonts w:hint="eastAsia" w:ascii="仿宋_GB2312" w:hAnsi="宋体" w:eastAsia="仿宋_GB2312"/>
          <w:b/>
          <w:color w:val="auto"/>
          <w:sz w:val="32"/>
          <w:szCs w:val="32"/>
        </w:rPr>
      </w:pPr>
      <w:r>
        <w:rPr>
          <w:rFonts w:hint="eastAsia" w:ascii="仿宋_GB2312" w:hAnsi="宋体" w:eastAsia="仿宋_GB2312"/>
          <w:b/>
          <w:color w:val="auto"/>
          <w:sz w:val="32"/>
          <w:szCs w:val="32"/>
        </w:rPr>
        <w:t>第五条</w:t>
      </w:r>
      <w:r>
        <w:rPr>
          <w:rFonts w:hint="eastAsia" w:ascii="仿宋_GB2312" w:hAnsi="宋体" w:eastAsia="仿宋_GB2312"/>
          <w:color w:val="auto"/>
          <w:sz w:val="32"/>
          <w:szCs w:val="32"/>
        </w:rPr>
        <w:t>　</w:t>
      </w:r>
      <w:r>
        <w:rPr>
          <w:rFonts w:hint="eastAsia" w:ascii="仿宋_GB2312" w:hAnsi="宋体" w:eastAsia="仿宋_GB2312"/>
          <w:b/>
          <w:color w:val="auto"/>
          <w:sz w:val="32"/>
          <w:szCs w:val="32"/>
        </w:rPr>
        <w:t>设计费用</w:t>
      </w:r>
    </w:p>
    <w:p w14:paraId="50C859FC">
      <w:pPr>
        <w:ind w:firstLine="607"/>
        <w:rPr>
          <w:rFonts w:hint="eastAsia" w:ascii="仿宋_GB2312" w:hAnsi="宋体" w:eastAsia="仿宋_GB2312"/>
          <w:color w:val="auto"/>
          <w:sz w:val="32"/>
          <w:szCs w:val="32"/>
        </w:rPr>
      </w:pPr>
      <w:r>
        <w:rPr>
          <w:rFonts w:hint="eastAsia" w:ascii="仿宋_GB2312" w:hAnsi="宋体" w:eastAsia="仿宋_GB2312"/>
          <w:color w:val="auto"/>
          <w:sz w:val="32"/>
          <w:szCs w:val="32"/>
        </w:rPr>
        <w:t>5.1本工程设计费用暂定为</w:t>
      </w:r>
      <w:r>
        <w:rPr>
          <w:rFonts w:hint="eastAsia" w:ascii="仿宋_GB2312" w:hAnsi="宋体" w:eastAsia="仿宋_GB2312"/>
          <w:bCs/>
          <w:color w:val="auto"/>
          <w:sz w:val="32"/>
          <w:szCs w:val="32"/>
        </w:rPr>
        <w:t>¥</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宋体" w:eastAsia="仿宋_GB2312"/>
          <w:color w:val="auto"/>
          <w:sz w:val="32"/>
          <w:szCs w:val="32"/>
        </w:rPr>
        <w:t>元  (大写:人民币</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宋体" w:eastAsia="仿宋_GB2312" w:cs="Times New Roman"/>
          <w:color w:val="auto"/>
          <w:sz w:val="32"/>
          <w:szCs w:val="32"/>
          <w:u w:val="single"/>
          <w:lang w:val="zh-CN"/>
        </w:rPr>
        <w:t xml:space="preserve"> </w:t>
      </w:r>
      <w:r>
        <w:rPr>
          <w:rFonts w:hint="eastAsia" w:ascii="仿宋_GB2312" w:hAnsi="宋体" w:eastAsia="仿宋_GB2312"/>
          <w:color w:val="auto"/>
          <w:sz w:val="32"/>
          <w:szCs w:val="32"/>
        </w:rPr>
        <w:t>)</w:t>
      </w:r>
      <w:r>
        <w:rPr>
          <w:rFonts w:hint="eastAsia" w:ascii="仿宋_GB2312" w:eastAsia="仿宋_GB2312"/>
          <w:color w:val="auto"/>
          <w:sz w:val="32"/>
          <w:szCs w:val="32"/>
        </w:rPr>
        <w:t>。本项目可行性研究报告出具后，将根据可行性研究报告中的项目估算表中的工程建安费为基准价</w:t>
      </w:r>
      <w:r>
        <w:rPr>
          <w:rFonts w:hint="eastAsia" w:ascii="仿宋_GB2312" w:eastAsia="仿宋_GB2312"/>
          <w:color w:val="auto"/>
          <w:sz w:val="32"/>
          <w:szCs w:val="32"/>
          <w:lang w:eastAsia="zh-CN"/>
        </w:rPr>
        <w:t>，</w:t>
      </w:r>
      <w:r>
        <w:rPr>
          <w:rFonts w:hint="eastAsia" w:ascii="仿宋_GB2312" w:hAnsi="宋体" w:eastAsia="仿宋_GB2312"/>
          <w:color w:val="auto"/>
          <w:sz w:val="32"/>
          <w:szCs w:val="32"/>
        </w:rPr>
        <w:t>按招标时</w:t>
      </w:r>
      <w:r>
        <w:rPr>
          <w:rFonts w:hint="eastAsia" w:ascii="仿宋_GB2312" w:hAnsi="宋体" w:eastAsia="仿宋_GB2312"/>
          <w:color w:val="auto"/>
          <w:sz w:val="32"/>
          <w:szCs w:val="32"/>
          <w:lang w:eastAsia="zh-CN"/>
        </w:rPr>
        <w:t>设计费最高投标限价的计算方式</w:t>
      </w:r>
      <w:r>
        <w:rPr>
          <w:rFonts w:hint="eastAsia" w:ascii="仿宋_GB2312" w:eastAsia="仿宋_GB2312"/>
          <w:color w:val="auto"/>
          <w:sz w:val="32"/>
          <w:szCs w:val="32"/>
        </w:rPr>
        <w:t>结合投标下浮率，修订设计费合同价。</w:t>
      </w:r>
      <w:r>
        <w:rPr>
          <w:rFonts w:hint="eastAsia" w:ascii="仿宋_GB2312" w:hAnsi="宋体" w:eastAsia="仿宋_GB2312"/>
          <w:color w:val="auto"/>
          <w:sz w:val="32"/>
          <w:szCs w:val="32"/>
        </w:rPr>
        <w:t>合同暂定价只作为合同签订后支付设计费的依据，最终设计费结算执行下列第六条规定。工程设计费实行政府指导价，</w:t>
      </w:r>
      <w:r>
        <w:rPr>
          <w:rFonts w:hint="eastAsia" w:ascii="仿宋_GB2312" w:hAnsi="宋体" w:eastAsia="仿宋_GB2312"/>
          <w:color w:val="auto"/>
          <w:sz w:val="32"/>
          <w:szCs w:val="32"/>
          <w:lang w:val="zh-CN"/>
        </w:rPr>
        <w:t>参照广东省工程勘察设计行业协会2019年4月12日印发的《房屋建筑和市政基础设施工程设计收费导则》中所附的《工程勘察设计收费标准》（2002年修订本）标准计算</w:t>
      </w:r>
      <w:r>
        <w:rPr>
          <w:rFonts w:hint="eastAsia" w:ascii="仿宋_GB2312" w:hAnsi="宋体" w:eastAsia="仿宋_GB2312"/>
          <w:color w:val="auto"/>
          <w:sz w:val="32"/>
          <w:szCs w:val="32"/>
          <w:u w:val="single"/>
          <w:lang w:val="zh-CN"/>
        </w:rPr>
        <w:t>下浮20%后再乘以（投标下浮率）</w:t>
      </w:r>
      <w:r>
        <w:rPr>
          <w:rFonts w:hint="eastAsia" w:ascii="仿宋_GB2312" w:hAnsi="宋体" w:eastAsia="仿宋_GB2312"/>
          <w:color w:val="auto"/>
          <w:sz w:val="32"/>
          <w:szCs w:val="32"/>
        </w:rPr>
        <w:t>结算。本项目的合同价最终结算金额以番禺区财政局审定为准。</w:t>
      </w:r>
    </w:p>
    <w:p w14:paraId="5CC358F6">
      <w:pPr>
        <w:ind w:firstLine="604" w:firstLineChars="189"/>
        <w:rPr>
          <w:rFonts w:hint="eastAsia" w:ascii="仿宋_GB2312" w:hAnsi="宋体" w:eastAsia="仿宋_GB2312"/>
          <w:color w:val="auto"/>
          <w:sz w:val="32"/>
          <w:szCs w:val="32"/>
        </w:rPr>
      </w:pPr>
      <w:r>
        <w:rPr>
          <w:rFonts w:hint="eastAsia" w:ascii="仿宋_GB2312" w:hAnsi="宋体" w:eastAsia="仿宋_GB2312"/>
          <w:color w:val="auto"/>
          <w:sz w:val="32"/>
          <w:szCs w:val="32"/>
        </w:rPr>
        <w:t>5.2本设计费包含设计报建、设计送审、各行业各阶段设计成果报批时相关部门收取的电子数据报批格式转换和验证、以及符合规划报建要求的总平面图套图、设计报建报批配合、环评水保等咨询工作的配合、设计过程跟踪配合、招标配合、施工现场的配合(包括现场指导与监督人员)等工作的劳务、管理、住宿、临时办公、材料、保险、利润、税金、政策性文件规定及合同包含内的所有风险、责任等各项应有费用，不论其在招标文件中是否提及；同时包含评审、征询意见和研讨时发生的专家费、交通费、会务费、考察调研费等一切费用，设计期间至工程竣工验收期间所发生的发包人要求宣传、汇报（含音像、动画、效果图等资料）的费用。基坑支护审查等技术设计的所有费用和送审等所有相关工作由承包人承担。上述所列发生费用，发包人不再另行支付。设计各阶段的方案调整及设计变更等不另外增加设计费。</w:t>
      </w:r>
    </w:p>
    <w:p w14:paraId="33FA7481">
      <w:pPr>
        <w:ind w:firstLine="604" w:firstLineChars="189"/>
        <w:rPr>
          <w:rFonts w:hint="eastAsia" w:ascii="仿宋_GB2312" w:hAnsi="宋体" w:eastAsia="仿宋_GB2312"/>
          <w:color w:val="auto"/>
          <w:sz w:val="32"/>
          <w:szCs w:val="32"/>
        </w:rPr>
      </w:pPr>
      <w:r>
        <w:rPr>
          <w:rFonts w:hint="eastAsia" w:ascii="仿宋_GB2312" w:hAnsi="宋体" w:eastAsia="仿宋_GB2312"/>
          <w:color w:val="auto"/>
          <w:sz w:val="32"/>
          <w:szCs w:val="32"/>
        </w:rPr>
        <w:t>5.3 中标通知书发放后15个工作日内，承包人须向发包人提交履约保证金，履约保证金为合同价的5%，即</w:t>
      </w:r>
      <w:r>
        <w:rPr>
          <w:rFonts w:hint="eastAsia" w:ascii="宋体" w:hAnsi="宋体" w:cs="宋体"/>
          <w:color w:val="auto"/>
          <w:sz w:val="32"/>
          <w:szCs w:val="32"/>
        </w:rPr>
        <w:t>¥</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rPr>
        <w:t>元，履约保证金的提交方式一：从承包人开户银行帐户中转帐或汇款到发包人以下三个银行帐户</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收款单位：广州市番禺区基本建设投资管理中心，银行帐号一：</w:t>
      </w:r>
      <w:r>
        <w:rPr>
          <w:rFonts w:hint="eastAsia" w:ascii="仿宋_GB2312" w:hAnsi="宋体" w:eastAsia="仿宋_GB2312"/>
          <w:color w:val="auto"/>
          <w:sz w:val="32"/>
          <w:szCs w:val="32"/>
        </w:rPr>
        <w:t>3602070119200076312，开户银行：工商银行广州番禺平康支行；银行帐号二：44001531416059000078，开户银行：中国建设银行番禺东区支行；银行帐号三：391160100100059844，开户银行：兴业银行番禺支行</w:t>
      </w:r>
      <w:r>
        <w:rPr>
          <w:rFonts w:hint="eastAsia" w:ascii="宋体" w:hAnsi="宋体" w:cs="宋体"/>
          <w:color w:val="auto"/>
          <w:sz w:val="32"/>
          <w:szCs w:val="32"/>
        </w:rPr>
        <w:t>﹚</w:t>
      </w:r>
      <w:r>
        <w:rPr>
          <w:rFonts w:hint="eastAsia" w:ascii="仿宋_GB2312" w:hAnsi="仿宋_GB2312" w:eastAsia="仿宋_GB2312" w:cs="仿宋_GB2312"/>
          <w:color w:val="auto"/>
          <w:sz w:val="32"/>
          <w:szCs w:val="32"/>
        </w:rPr>
        <w:t>中的任一个帐户内；方式二：如果中标人的履约担保是以银行保函的形式提供，中标人按本合同附件中的格式向发包人提供保证额为中标价款的</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的履约保证金银行保函，该银行保函应由在中国注册的银行开具。</w:t>
      </w:r>
      <w:r>
        <w:rPr>
          <w:rFonts w:hint="eastAsia" w:ascii="仿宋_GB2312" w:hAnsi="宋体" w:eastAsia="仿宋_GB2312"/>
          <w:color w:val="auto"/>
          <w:sz w:val="32"/>
          <w:szCs w:val="32"/>
        </w:rPr>
        <w:t>履约保证金退还：在全部工程竣工验收合格后28天后且发包人收到承包人书面申请后一个月内由发包人向承包人无息退还。</w:t>
      </w:r>
    </w:p>
    <w:p w14:paraId="35A24F59">
      <w:pPr>
        <w:ind w:firstLine="604" w:firstLineChars="189"/>
        <w:rPr>
          <w:rFonts w:hint="eastAsia" w:ascii="仿宋_GB2312" w:hAnsi="宋体" w:eastAsia="仿宋_GB2312"/>
          <w:color w:val="auto"/>
          <w:sz w:val="32"/>
          <w:szCs w:val="32"/>
        </w:rPr>
      </w:pPr>
      <w:r>
        <w:rPr>
          <w:rFonts w:hint="eastAsia" w:ascii="仿宋_GB2312" w:hAnsi="宋体" w:eastAsia="仿宋_GB2312"/>
          <w:color w:val="auto"/>
          <w:sz w:val="32"/>
          <w:szCs w:val="32"/>
        </w:rPr>
        <w:t>5.4各阶段设计费支付方式详见下列第六条。</w:t>
      </w:r>
    </w:p>
    <w:p w14:paraId="6C323FBB">
      <w:pPr>
        <w:ind w:firstLine="604" w:firstLineChars="189"/>
        <w:rPr>
          <w:rFonts w:hint="eastAsia" w:ascii="仿宋_GB2312" w:hAnsi="宋体" w:eastAsia="仿宋_GB2312"/>
          <w:color w:val="auto"/>
          <w:sz w:val="32"/>
          <w:szCs w:val="32"/>
        </w:rPr>
      </w:pPr>
    </w:p>
    <w:p w14:paraId="4EF9DE69">
      <w:pPr>
        <w:ind w:left="1" w:firstLine="630" w:firstLineChars="196"/>
        <w:rPr>
          <w:rFonts w:hint="eastAsia" w:ascii="仿宋_GB2312" w:hAnsi="宋体" w:eastAsia="仿宋_GB2312"/>
          <w:b/>
          <w:color w:val="auto"/>
          <w:sz w:val="32"/>
          <w:szCs w:val="32"/>
        </w:rPr>
      </w:pPr>
      <w:r>
        <w:rPr>
          <w:rFonts w:hint="eastAsia" w:ascii="仿宋_GB2312" w:hAnsi="宋体" w:eastAsia="仿宋_GB2312"/>
          <w:b/>
          <w:color w:val="auto"/>
          <w:sz w:val="32"/>
          <w:szCs w:val="32"/>
        </w:rPr>
        <w:t>第六条　支付方式</w:t>
      </w:r>
    </w:p>
    <w:p w14:paraId="223623C8">
      <w:pPr>
        <w:ind w:left="1" w:firstLine="627" w:firstLineChars="196"/>
        <w:rPr>
          <w:rFonts w:hint="eastAsia" w:ascii="仿宋_GB2312" w:hAnsi="宋体" w:eastAsia="仿宋_GB2312"/>
          <w:b/>
          <w:color w:val="auto"/>
          <w:sz w:val="32"/>
          <w:szCs w:val="32"/>
        </w:rPr>
      </w:pPr>
      <w:r>
        <w:rPr>
          <w:rFonts w:hint="eastAsia" w:ascii="仿宋_GB2312" w:eastAsia="仿宋_GB2312"/>
          <w:color w:val="auto"/>
          <w:sz w:val="32"/>
          <w:szCs w:val="32"/>
        </w:rPr>
        <w:t>设计费支付进度详见下表。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60"/>
        <w:gridCol w:w="2615"/>
        <w:gridCol w:w="1605"/>
        <w:gridCol w:w="4280"/>
      </w:tblGrid>
      <w:tr w14:paraId="1C455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360" w:type="dxa"/>
            <w:noWrap w:val="0"/>
            <w:vAlign w:val="center"/>
          </w:tcPr>
          <w:p w14:paraId="778EDD3A">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付费次序</w:t>
            </w:r>
          </w:p>
        </w:tc>
        <w:tc>
          <w:tcPr>
            <w:tcW w:w="2615" w:type="dxa"/>
            <w:noWrap w:val="0"/>
            <w:vAlign w:val="center"/>
          </w:tcPr>
          <w:p w14:paraId="709194E3">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设计费（％）</w:t>
            </w:r>
          </w:p>
        </w:tc>
        <w:tc>
          <w:tcPr>
            <w:tcW w:w="1605" w:type="dxa"/>
            <w:noWrap w:val="0"/>
            <w:vAlign w:val="center"/>
          </w:tcPr>
          <w:p w14:paraId="64DF71C2">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付费额</w:t>
            </w:r>
          </w:p>
          <w:p w14:paraId="487D2F82">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(万元)</w:t>
            </w:r>
          </w:p>
        </w:tc>
        <w:tc>
          <w:tcPr>
            <w:tcW w:w="4280" w:type="dxa"/>
            <w:noWrap w:val="0"/>
            <w:vAlign w:val="center"/>
          </w:tcPr>
          <w:p w14:paraId="17539F78">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付费时间</w:t>
            </w:r>
          </w:p>
          <w:p w14:paraId="02CCA443">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(由交付设计文件所定)</w:t>
            </w:r>
          </w:p>
        </w:tc>
      </w:tr>
      <w:tr w14:paraId="20F86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10" w:hRule="atLeast"/>
          <w:jc w:val="center"/>
        </w:trPr>
        <w:tc>
          <w:tcPr>
            <w:tcW w:w="1360" w:type="dxa"/>
            <w:noWrap w:val="0"/>
            <w:vAlign w:val="center"/>
          </w:tcPr>
          <w:p w14:paraId="04767A68">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第一次  付费</w:t>
            </w:r>
          </w:p>
        </w:tc>
        <w:tc>
          <w:tcPr>
            <w:tcW w:w="2615" w:type="dxa"/>
            <w:noWrap w:val="0"/>
            <w:vAlign w:val="center"/>
          </w:tcPr>
          <w:p w14:paraId="49DDE9D7">
            <w:pPr>
              <w:rPr>
                <w:rFonts w:hint="eastAsia" w:ascii="仿宋_GB2312" w:hAnsi="宋体" w:eastAsia="仿宋_GB2312"/>
                <w:color w:val="auto"/>
                <w:sz w:val="32"/>
                <w:szCs w:val="32"/>
              </w:rPr>
            </w:pPr>
            <w:r>
              <w:rPr>
                <w:rFonts w:hint="eastAsia" w:ascii="仿宋_GB2312" w:hAnsi="宋体" w:eastAsia="仿宋_GB2312"/>
                <w:color w:val="auto"/>
                <w:sz w:val="32"/>
                <w:szCs w:val="32"/>
              </w:rPr>
              <w:t>预付</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(以暂定设计费的15％或15万元，两者取低值)</w:t>
            </w:r>
          </w:p>
        </w:tc>
        <w:tc>
          <w:tcPr>
            <w:tcW w:w="1605" w:type="dxa"/>
            <w:noWrap w:val="0"/>
            <w:vAlign w:val="center"/>
          </w:tcPr>
          <w:p w14:paraId="0031A979">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15</w:t>
            </w:r>
          </w:p>
        </w:tc>
        <w:tc>
          <w:tcPr>
            <w:tcW w:w="4280" w:type="dxa"/>
            <w:noWrap w:val="0"/>
            <w:vAlign w:val="center"/>
          </w:tcPr>
          <w:p w14:paraId="474719A7">
            <w:pPr>
              <w:rPr>
                <w:rFonts w:hint="eastAsia" w:ascii="仿宋_GB2312" w:hAnsi="宋体" w:eastAsia="仿宋_GB2312"/>
                <w:color w:val="auto"/>
                <w:sz w:val="32"/>
                <w:szCs w:val="32"/>
              </w:rPr>
            </w:pPr>
            <w:r>
              <w:rPr>
                <w:rFonts w:hint="eastAsia" w:ascii="仿宋_GB2312" w:hAnsi="宋体" w:eastAsia="仿宋_GB2312"/>
                <w:color w:val="auto"/>
                <w:sz w:val="32"/>
                <w:szCs w:val="32"/>
              </w:rPr>
              <w:t>合同签订并提交勘察设计工作大纲及</w:t>
            </w:r>
            <w:r>
              <w:rPr>
                <w:rFonts w:hint="eastAsia" w:ascii="仿宋_GB2312" w:hAnsi="宋体" w:eastAsia="仿宋_GB2312"/>
                <w:color w:val="auto"/>
                <w:sz w:val="32"/>
                <w:szCs w:val="32"/>
                <w:u w:val="single"/>
              </w:rPr>
              <w:t>完整的支付申请资料</w:t>
            </w:r>
            <w:r>
              <w:rPr>
                <w:rFonts w:hint="eastAsia" w:ascii="仿宋_GB2312" w:hAnsi="宋体" w:eastAsia="仿宋_GB2312"/>
                <w:color w:val="auto"/>
                <w:sz w:val="32"/>
                <w:szCs w:val="32"/>
              </w:rPr>
              <w:t>，由发包人审核并送番禺区财政局审批同意后十五个工作日内。</w:t>
            </w:r>
          </w:p>
        </w:tc>
      </w:tr>
      <w:tr w14:paraId="40291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44" w:hRule="atLeast"/>
          <w:jc w:val="center"/>
        </w:trPr>
        <w:tc>
          <w:tcPr>
            <w:tcW w:w="1360" w:type="dxa"/>
            <w:noWrap w:val="0"/>
            <w:vAlign w:val="center"/>
          </w:tcPr>
          <w:p w14:paraId="37F2F586">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第二次  付费</w:t>
            </w:r>
          </w:p>
        </w:tc>
        <w:tc>
          <w:tcPr>
            <w:tcW w:w="2615" w:type="dxa"/>
            <w:noWrap w:val="0"/>
            <w:vAlign w:val="center"/>
          </w:tcPr>
          <w:p w14:paraId="1F0FA400">
            <w:pPr>
              <w:rPr>
                <w:rFonts w:hint="eastAsia" w:ascii="仿宋_GB2312" w:hAnsi="宋体" w:eastAsia="仿宋_GB2312"/>
                <w:color w:val="auto"/>
                <w:sz w:val="32"/>
                <w:szCs w:val="32"/>
              </w:rPr>
            </w:pPr>
            <w:r>
              <w:rPr>
                <w:rFonts w:hint="eastAsia" w:ascii="仿宋_GB2312" w:hAnsi="宋体" w:eastAsia="仿宋_GB2312"/>
                <w:color w:val="auto"/>
                <w:sz w:val="32"/>
                <w:szCs w:val="32"/>
              </w:rPr>
              <w:t>支付至修订合同价中设计费的40％</w:t>
            </w:r>
          </w:p>
        </w:tc>
        <w:tc>
          <w:tcPr>
            <w:tcW w:w="1605" w:type="dxa"/>
            <w:noWrap w:val="0"/>
            <w:vAlign w:val="center"/>
          </w:tcPr>
          <w:p w14:paraId="540D8C4A">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待定</w:t>
            </w:r>
          </w:p>
        </w:tc>
        <w:tc>
          <w:tcPr>
            <w:tcW w:w="4280" w:type="dxa"/>
            <w:noWrap w:val="0"/>
            <w:vAlign w:val="center"/>
          </w:tcPr>
          <w:p w14:paraId="245DD4C4">
            <w:pPr>
              <w:rPr>
                <w:rFonts w:hint="eastAsia" w:ascii="仿宋_GB2312" w:hAnsi="宋体" w:eastAsia="仿宋_GB2312"/>
                <w:color w:val="auto"/>
                <w:sz w:val="32"/>
                <w:szCs w:val="32"/>
              </w:rPr>
            </w:pPr>
            <w:r>
              <w:rPr>
                <w:rFonts w:hint="eastAsia" w:ascii="仿宋_GB2312" w:hAnsi="宋体" w:eastAsia="仿宋_GB2312"/>
                <w:color w:val="auto"/>
                <w:sz w:val="32"/>
                <w:szCs w:val="32"/>
              </w:rPr>
              <w:t>提交初步设计概算（或以施工图编制的概算）给发包人并通过审查后（或内审）提交完整的支付申请资料，由发包人审核并送番禺区财政局审批同意后十五个工作日内。</w:t>
            </w:r>
          </w:p>
        </w:tc>
      </w:tr>
      <w:tr w14:paraId="20DCA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65" w:hRule="atLeast"/>
          <w:jc w:val="center"/>
        </w:trPr>
        <w:tc>
          <w:tcPr>
            <w:tcW w:w="1360" w:type="dxa"/>
            <w:noWrap w:val="0"/>
            <w:vAlign w:val="center"/>
          </w:tcPr>
          <w:p w14:paraId="107C0FB3">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第三次  付费</w:t>
            </w:r>
          </w:p>
        </w:tc>
        <w:tc>
          <w:tcPr>
            <w:tcW w:w="2615" w:type="dxa"/>
            <w:noWrap w:val="0"/>
            <w:vAlign w:val="center"/>
          </w:tcPr>
          <w:p w14:paraId="1AF9F38E">
            <w:pPr>
              <w:rPr>
                <w:rFonts w:hint="eastAsia" w:ascii="仿宋_GB2312" w:hAnsi="宋体" w:eastAsia="仿宋_GB2312"/>
                <w:color w:val="auto"/>
                <w:sz w:val="32"/>
                <w:szCs w:val="32"/>
              </w:rPr>
            </w:pPr>
            <w:r>
              <w:rPr>
                <w:rFonts w:hint="eastAsia" w:ascii="仿宋_GB2312" w:hAnsi="宋体" w:eastAsia="仿宋_GB2312"/>
                <w:color w:val="auto"/>
                <w:sz w:val="32"/>
                <w:szCs w:val="32"/>
              </w:rPr>
              <w:t>支付至经发包人确认的施工图预算（或经发包人确认的以施工图为依据编制的概算中对应的建安费）为基数计取的设计费的80%或修订合同价的80%，两者取金额较低者。（若有处罚在此阶段扣除，不足扣罚的在第四次付费中扣除）</w:t>
            </w:r>
          </w:p>
        </w:tc>
        <w:tc>
          <w:tcPr>
            <w:tcW w:w="1605" w:type="dxa"/>
            <w:noWrap w:val="0"/>
            <w:vAlign w:val="center"/>
          </w:tcPr>
          <w:p w14:paraId="1DD0E781">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待定</w:t>
            </w:r>
          </w:p>
        </w:tc>
        <w:tc>
          <w:tcPr>
            <w:tcW w:w="4280" w:type="dxa"/>
            <w:noWrap w:val="0"/>
            <w:vAlign w:val="center"/>
          </w:tcPr>
          <w:p w14:paraId="32D61EE4">
            <w:pPr>
              <w:rPr>
                <w:rFonts w:hint="eastAsia" w:ascii="仿宋_GB2312" w:hAnsi="宋体" w:eastAsia="仿宋_GB2312"/>
                <w:color w:val="auto"/>
                <w:sz w:val="32"/>
                <w:szCs w:val="32"/>
              </w:rPr>
            </w:pPr>
            <w:r>
              <w:rPr>
                <w:rFonts w:hint="eastAsia" w:ascii="仿宋_GB2312" w:hAnsi="宋体" w:eastAsia="仿宋_GB2312"/>
                <w:color w:val="auto"/>
                <w:sz w:val="32"/>
                <w:szCs w:val="32"/>
              </w:rPr>
              <w:t>经财局评审确认（或发包人确认的）施工图预算（或以施工图评审的概算）后，相关的设计文件归档档案室后，提交完整的支付申请资料，由发包人审核并送番禺区财政局审批同意后十五个工作日内。</w:t>
            </w:r>
          </w:p>
        </w:tc>
      </w:tr>
      <w:tr w14:paraId="04406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360" w:type="dxa"/>
            <w:noWrap w:val="0"/>
            <w:vAlign w:val="center"/>
          </w:tcPr>
          <w:p w14:paraId="27FFEB4C">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第四次  付费</w:t>
            </w:r>
          </w:p>
        </w:tc>
        <w:tc>
          <w:tcPr>
            <w:tcW w:w="2615" w:type="dxa"/>
            <w:noWrap w:val="0"/>
            <w:vAlign w:val="center"/>
          </w:tcPr>
          <w:p w14:paraId="4C15AFF1">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设计费余款</w:t>
            </w:r>
          </w:p>
        </w:tc>
        <w:tc>
          <w:tcPr>
            <w:tcW w:w="1605" w:type="dxa"/>
            <w:noWrap w:val="0"/>
            <w:vAlign w:val="center"/>
          </w:tcPr>
          <w:p w14:paraId="1C23A740">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待定</w:t>
            </w:r>
          </w:p>
        </w:tc>
        <w:tc>
          <w:tcPr>
            <w:tcW w:w="4280" w:type="dxa"/>
            <w:noWrap w:val="0"/>
            <w:vAlign w:val="center"/>
          </w:tcPr>
          <w:p w14:paraId="73A4428D">
            <w:pPr>
              <w:rPr>
                <w:rFonts w:hint="eastAsia" w:ascii="仿宋_GB2312" w:hAnsi="宋体" w:eastAsia="仿宋_GB2312"/>
                <w:color w:val="auto"/>
                <w:sz w:val="32"/>
                <w:szCs w:val="32"/>
              </w:rPr>
            </w:pPr>
            <w:r>
              <w:rPr>
                <w:rFonts w:hint="eastAsia" w:ascii="仿宋_GB2312" w:hAnsi="宋体" w:eastAsia="仿宋_GB2312"/>
                <w:color w:val="auto"/>
                <w:sz w:val="32"/>
                <w:szCs w:val="32"/>
              </w:rPr>
              <w:t>工程竣工验收合格，承包人提供两套按发包人档案室要求收集齐全并装订成册的竣工档案，</w:t>
            </w:r>
            <w:r>
              <w:rPr>
                <w:rFonts w:hint="eastAsia" w:ascii="仿宋_GB2312" w:eastAsia="仿宋_GB2312"/>
                <w:color w:val="auto"/>
                <w:sz w:val="32"/>
                <w:szCs w:val="32"/>
              </w:rPr>
              <w:t>进行设计费结算评审后，</w:t>
            </w:r>
            <w:r>
              <w:rPr>
                <w:rFonts w:hint="eastAsia" w:ascii="仿宋_GB2312" w:hAnsi="宋体" w:eastAsia="仿宋_GB2312"/>
                <w:color w:val="auto"/>
                <w:sz w:val="32"/>
                <w:szCs w:val="32"/>
              </w:rPr>
              <w:t>提交完整的支付申请资料，由发包人审核并送番禺区财政局审批同意后十五个工作日内支付。</w:t>
            </w:r>
          </w:p>
        </w:tc>
      </w:tr>
      <w:tr w14:paraId="44B3F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860" w:type="dxa"/>
            <w:gridSpan w:val="4"/>
            <w:noWrap w:val="0"/>
            <w:vAlign w:val="center"/>
          </w:tcPr>
          <w:p w14:paraId="73CF1ED7">
            <w:pPr>
              <w:ind w:firstLine="800" w:firstLineChars="250"/>
              <w:rPr>
                <w:rFonts w:hint="eastAsia" w:ascii="仿宋_GB2312" w:hAnsi="宋体" w:eastAsia="仿宋_GB2312"/>
                <w:color w:val="auto"/>
                <w:sz w:val="32"/>
                <w:szCs w:val="32"/>
              </w:rPr>
            </w:pPr>
            <w:r>
              <w:rPr>
                <w:rFonts w:hint="eastAsia" w:ascii="仿宋_GB2312" w:eastAsia="仿宋_GB2312"/>
                <w:color w:val="auto"/>
                <w:sz w:val="32"/>
                <w:szCs w:val="32"/>
              </w:rPr>
              <w:t>第二次付费后，如工程因发包人原因暂停1年以上的，双方约定按已经区财政局预算(概算)评审的相近项目预算评审结果计取的单价乘以该项目的建设面积得出的建安费（或概算评审建安费）作为计费基数，由承包人提交完整的支付申请资料，由发包人审核并送番禺区财政局审批同意后十五个工作日内，支付至按此建安费为基数计取的设计费（设计费计费方式按照第5.1条规定）的80％。但若未有相近项目可参考,</w:t>
            </w:r>
            <w:r>
              <w:rPr>
                <w:rFonts w:hint="eastAsia" w:ascii="仿宋_GB2312" w:hAnsi="宋体" w:eastAsia="仿宋_GB2312"/>
                <w:color w:val="auto"/>
                <w:sz w:val="32"/>
                <w:szCs w:val="32"/>
              </w:rPr>
              <w:t xml:space="preserve"> 或因其他原因导致此方式无法操作,承包人可自行编制施工图预算(发包人不另行支付此施工图预算编制费)，由发包人组织常年服务单位进行评审（评审费用由承包人承担），双方确认评审结果后,由承包人提交完整的支付申请资料，发包人审核并送番禺区财政局审批同意后十五个工作日内，支付至按双方确认的施工图预算审核价为依据计取的设计费(设计费计费方式按照第5.1规定)的70％。</w:t>
            </w:r>
          </w:p>
          <w:p w14:paraId="456F7469">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注：（1）由于承包人原因未按期提交各阶段设计规划报建成果，每逾期一天扣除设计费1%，（2）承包人未按期提交单体设计方案报建成果，每逾期一天扣除设计费1%；（3）因承包人技术问题被规划部门退件每次扣除设计费3%；（4）承包人未按期提交施工图设计成果，每逾期一天扣除设计费1%；（5）承包人未按期提交施工图（招标图）成果，5个工作日内每逾期一天扣除设计费1%，5至10个工作日内每逾期一天扣除设计费2%， 10个工作日后每逾期一天扣除设计费3%。误期赔偿费的最高限额为最终结算价的30%。</w:t>
            </w:r>
          </w:p>
        </w:tc>
      </w:tr>
    </w:tbl>
    <w:p w14:paraId="4B714395">
      <w:pPr>
        <w:pStyle w:val="3"/>
        <w:rPr>
          <w:rFonts w:hint="eastAsia" w:ascii="仿宋_GB2312" w:hAnsi="宋体" w:eastAsia="仿宋_GB2312"/>
          <w:color w:val="auto"/>
          <w:sz w:val="32"/>
          <w:szCs w:val="32"/>
        </w:rPr>
      </w:pPr>
    </w:p>
    <w:p w14:paraId="198F6428">
      <w:pPr>
        <w:pStyle w:val="3"/>
        <w:rPr>
          <w:rFonts w:hint="eastAsia" w:ascii="仿宋_GB2312" w:hAnsi="宋体" w:eastAsia="仿宋_GB2312"/>
          <w:color w:val="auto"/>
          <w:sz w:val="32"/>
          <w:szCs w:val="32"/>
        </w:rPr>
      </w:pPr>
      <w:r>
        <w:rPr>
          <w:rFonts w:hint="eastAsia" w:ascii="仿宋_GB2312" w:hAnsi="宋体" w:eastAsia="仿宋_GB2312"/>
          <w:color w:val="auto"/>
          <w:sz w:val="32"/>
          <w:szCs w:val="32"/>
        </w:rPr>
        <w:t>说明：</w:t>
      </w:r>
      <w:r>
        <w:rPr>
          <w:rFonts w:hint="eastAsia" w:ascii="仿宋_GB2312" w:hAnsi="宋体" w:eastAsia="仿宋_GB2312"/>
          <w:color w:val="auto"/>
          <w:sz w:val="32"/>
          <w:szCs w:val="32"/>
        </w:rPr>
        <w:cr/>
      </w:r>
      <w:r>
        <w:rPr>
          <w:rFonts w:hint="eastAsia" w:ascii="仿宋_GB2312" w:hAnsi="宋体" w:eastAsia="仿宋_GB2312"/>
          <w:color w:val="auto"/>
          <w:sz w:val="32"/>
          <w:szCs w:val="32"/>
        </w:rPr>
        <w:t xml:space="preserve">    1. 提交各阶段设计文件并通过相关审查或批复后，支付各阶段设计费。</w:t>
      </w:r>
    </w:p>
    <w:p w14:paraId="46DD70DC">
      <w:pPr>
        <w:ind w:firstLine="640" w:firstLineChars="200"/>
        <w:outlineLvl w:val="0"/>
        <w:rPr>
          <w:rFonts w:hint="eastAsia" w:ascii="仿宋_GB2312" w:hAnsi="宋体" w:eastAsia="仿宋_GB2312"/>
          <w:color w:val="auto"/>
          <w:sz w:val="32"/>
          <w:szCs w:val="32"/>
        </w:rPr>
      </w:pPr>
      <w:r>
        <w:rPr>
          <w:rFonts w:hint="eastAsia" w:ascii="仿宋_GB2312" w:hAnsi="宋体" w:eastAsia="仿宋_GB2312"/>
          <w:color w:val="auto"/>
          <w:sz w:val="32"/>
          <w:szCs w:val="32"/>
        </w:rPr>
        <w:t>2. 实际设计费按发包人确定的施工图预算价（或以施工图评审的概算中对应的本设计范围内建安费）为基数并结合本协议第5.1条计算。</w:t>
      </w:r>
    </w:p>
    <w:p w14:paraId="18B197BC">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3．若分阶段进行施工图设计，则分段支付设计费，最后按实际工作量进行结算。</w:t>
      </w:r>
    </w:p>
    <w:p w14:paraId="6DCE0C5F">
      <w:pPr>
        <w:ind w:firstLine="648"/>
        <w:rPr>
          <w:rFonts w:hint="eastAsia" w:ascii="仿宋_GB2312" w:eastAsia="仿宋_GB2312"/>
          <w:color w:val="auto"/>
          <w:sz w:val="32"/>
          <w:szCs w:val="32"/>
        </w:rPr>
      </w:pPr>
      <w:r>
        <w:rPr>
          <w:rFonts w:hint="eastAsia" w:ascii="仿宋_GB2312" w:hAnsi="宋体" w:eastAsia="仿宋_GB2312"/>
          <w:color w:val="auto"/>
          <w:sz w:val="32"/>
          <w:szCs w:val="32"/>
        </w:rPr>
        <w:t xml:space="preserve">4. </w:t>
      </w:r>
      <w:r>
        <w:rPr>
          <w:rFonts w:hint="eastAsia" w:ascii="仿宋_GB2312" w:eastAsia="仿宋_GB2312"/>
          <w:color w:val="auto"/>
          <w:sz w:val="32"/>
          <w:szCs w:val="32"/>
        </w:rPr>
        <w:t>概算评审资料包括工程初步设计报告、工程初步设计批复文件、工程初步设计图纸、工程概算书及电子文档、工程地质勘察报告、工程量计算书及电子文档、其他与工程概算有关资料。概算总金额不得超过经批复的可研估算总金额，总概算应包括征地拆迁、供电工程等概算。</w:t>
      </w:r>
    </w:p>
    <w:p w14:paraId="789B91B2">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5．发包人所需设计文件超出规定的份数时，由承包人负责提供并另收晒图工本费。晒图工本费单价如下：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61"/>
        <w:gridCol w:w="1087"/>
        <w:gridCol w:w="1421"/>
        <w:gridCol w:w="1421"/>
        <w:gridCol w:w="1420"/>
      </w:tblGrid>
      <w:tr w14:paraId="4D82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88" w:type="dxa"/>
            <w:noWrap w:val="0"/>
            <w:vAlign w:val="top"/>
          </w:tcPr>
          <w:p w14:paraId="6937045C">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纸张规格</w:t>
            </w:r>
          </w:p>
        </w:tc>
        <w:tc>
          <w:tcPr>
            <w:tcW w:w="1261" w:type="dxa"/>
            <w:noWrap w:val="0"/>
            <w:vAlign w:val="top"/>
          </w:tcPr>
          <w:p w14:paraId="4B3A28AB">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A0</w:t>
            </w:r>
          </w:p>
        </w:tc>
        <w:tc>
          <w:tcPr>
            <w:tcW w:w="1087" w:type="dxa"/>
            <w:noWrap w:val="0"/>
            <w:vAlign w:val="top"/>
          </w:tcPr>
          <w:p w14:paraId="02150700">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A1</w:t>
            </w:r>
          </w:p>
        </w:tc>
        <w:tc>
          <w:tcPr>
            <w:tcW w:w="1421" w:type="dxa"/>
            <w:noWrap w:val="0"/>
            <w:vAlign w:val="top"/>
          </w:tcPr>
          <w:p w14:paraId="19978965">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A2</w:t>
            </w:r>
          </w:p>
        </w:tc>
        <w:tc>
          <w:tcPr>
            <w:tcW w:w="1421" w:type="dxa"/>
            <w:noWrap w:val="0"/>
            <w:vAlign w:val="top"/>
          </w:tcPr>
          <w:p w14:paraId="52C20528">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A3</w:t>
            </w:r>
          </w:p>
        </w:tc>
        <w:tc>
          <w:tcPr>
            <w:tcW w:w="1420" w:type="dxa"/>
            <w:noWrap w:val="0"/>
            <w:vAlign w:val="top"/>
          </w:tcPr>
          <w:p w14:paraId="0D70E3F5">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A4</w:t>
            </w:r>
          </w:p>
        </w:tc>
      </w:tr>
      <w:tr w14:paraId="146A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088" w:type="dxa"/>
            <w:noWrap w:val="0"/>
            <w:vAlign w:val="top"/>
          </w:tcPr>
          <w:p w14:paraId="48834E5E">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单价（元/张）</w:t>
            </w:r>
          </w:p>
        </w:tc>
        <w:tc>
          <w:tcPr>
            <w:tcW w:w="1261" w:type="dxa"/>
            <w:noWrap w:val="0"/>
            <w:vAlign w:val="top"/>
          </w:tcPr>
          <w:p w14:paraId="1CCA61F9">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3.80</w:t>
            </w:r>
          </w:p>
        </w:tc>
        <w:tc>
          <w:tcPr>
            <w:tcW w:w="1087" w:type="dxa"/>
            <w:noWrap w:val="0"/>
            <w:vAlign w:val="top"/>
          </w:tcPr>
          <w:p w14:paraId="4D0D341E">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2.00</w:t>
            </w:r>
          </w:p>
        </w:tc>
        <w:tc>
          <w:tcPr>
            <w:tcW w:w="1421" w:type="dxa"/>
            <w:noWrap w:val="0"/>
            <w:vAlign w:val="top"/>
          </w:tcPr>
          <w:p w14:paraId="7F4532C6">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1.00</w:t>
            </w:r>
          </w:p>
        </w:tc>
        <w:tc>
          <w:tcPr>
            <w:tcW w:w="1421" w:type="dxa"/>
            <w:noWrap w:val="0"/>
            <w:vAlign w:val="top"/>
          </w:tcPr>
          <w:p w14:paraId="1B5A1708">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0.50</w:t>
            </w:r>
          </w:p>
        </w:tc>
        <w:tc>
          <w:tcPr>
            <w:tcW w:w="1420" w:type="dxa"/>
            <w:noWrap w:val="0"/>
            <w:vAlign w:val="top"/>
          </w:tcPr>
          <w:p w14:paraId="7ECE3578">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0.30</w:t>
            </w:r>
          </w:p>
        </w:tc>
      </w:tr>
    </w:tbl>
    <w:p w14:paraId="6085D958">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6.各阶段需按照发包人要求提供成果并进行归档后，方支付相关阶段的设计费用；承包人需提供两套按发包人档案室要求收集齐全并装订成册的竣工档案，方可支付最后一笔设计费。</w:t>
      </w:r>
    </w:p>
    <w:p w14:paraId="628D3B95">
      <w:pPr>
        <w:snapToGrid w:val="0"/>
        <w:jc w:val="center"/>
        <w:rPr>
          <w:rFonts w:hint="eastAsia" w:ascii="仿宋_GB2312" w:hAnsi="宋体" w:eastAsia="仿宋_GB2312"/>
          <w:b/>
          <w:color w:val="auto"/>
          <w:sz w:val="32"/>
          <w:szCs w:val="32"/>
        </w:rPr>
      </w:pPr>
    </w:p>
    <w:p w14:paraId="5FD392E1">
      <w:pPr>
        <w:snapToGrid w:val="0"/>
        <w:jc w:val="center"/>
        <w:rPr>
          <w:rFonts w:hint="eastAsia" w:ascii="仿宋_GB2312" w:hAnsi="宋体" w:eastAsia="仿宋_GB2312"/>
          <w:b/>
          <w:color w:val="auto"/>
          <w:sz w:val="32"/>
          <w:szCs w:val="32"/>
        </w:rPr>
      </w:pPr>
    </w:p>
    <w:p w14:paraId="098ABB60">
      <w:pPr>
        <w:snapToGrid w:val="0"/>
        <w:jc w:val="center"/>
        <w:rPr>
          <w:rFonts w:hint="eastAsia" w:ascii="仿宋_GB2312" w:hAnsi="宋体" w:eastAsia="仿宋_GB2312"/>
          <w:b/>
          <w:color w:val="auto"/>
          <w:sz w:val="32"/>
          <w:szCs w:val="32"/>
        </w:rPr>
      </w:pPr>
    </w:p>
    <w:p w14:paraId="673BDA30">
      <w:pPr>
        <w:snapToGrid w:val="0"/>
        <w:jc w:val="center"/>
        <w:rPr>
          <w:rFonts w:hint="eastAsia" w:ascii="仿宋_GB2312" w:eastAsia="仿宋_GB2312"/>
          <w:b/>
          <w:color w:val="auto"/>
          <w:sz w:val="32"/>
          <w:szCs w:val="32"/>
        </w:rPr>
      </w:pPr>
      <w:r>
        <w:rPr>
          <w:rFonts w:ascii="仿宋_GB2312" w:hAnsi="宋体" w:eastAsia="仿宋_GB2312"/>
          <w:b/>
          <w:color w:val="auto"/>
          <w:sz w:val="32"/>
          <w:szCs w:val="32"/>
        </w:rPr>
        <w:br w:type="page"/>
      </w:r>
      <w:r>
        <w:rPr>
          <w:rFonts w:hint="eastAsia" w:ascii="仿宋_GB2312" w:eastAsia="仿宋_GB2312"/>
          <w:b/>
          <w:color w:val="auto"/>
          <w:sz w:val="32"/>
          <w:szCs w:val="32"/>
        </w:rPr>
        <w:t>项目设计人员分工表</w:t>
      </w:r>
    </w:p>
    <w:tbl>
      <w:tblPr>
        <w:tblStyle w:val="9"/>
        <w:tblW w:w="108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4"/>
        <w:gridCol w:w="538"/>
        <w:gridCol w:w="549"/>
        <w:gridCol w:w="854"/>
        <w:gridCol w:w="715"/>
        <w:gridCol w:w="1235"/>
        <w:gridCol w:w="13"/>
        <w:gridCol w:w="845"/>
        <w:gridCol w:w="344"/>
        <w:gridCol w:w="1560"/>
        <w:gridCol w:w="223"/>
        <w:gridCol w:w="1194"/>
        <w:gridCol w:w="1610"/>
      </w:tblGrid>
      <w:tr w14:paraId="4BE95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2301" w:type="dxa"/>
            <w:gridSpan w:val="3"/>
            <w:tcBorders>
              <w:top w:val="single" w:color="auto" w:sz="4" w:space="0"/>
              <w:left w:val="single" w:color="auto" w:sz="4" w:space="0"/>
              <w:bottom w:val="single" w:color="auto" w:sz="4" w:space="0"/>
              <w:right w:val="single" w:color="auto" w:sz="4" w:space="0"/>
            </w:tcBorders>
            <w:noWrap w:val="0"/>
            <w:vAlign w:val="center"/>
          </w:tcPr>
          <w:p w14:paraId="17296448">
            <w:pPr>
              <w:snapToGrid w:val="0"/>
              <w:jc w:val="center"/>
              <w:rPr>
                <w:rFonts w:hint="eastAsia" w:ascii="仿宋" w:hAnsi="仿宋" w:eastAsia="仿宋"/>
                <w:b/>
                <w:bCs/>
                <w:color w:val="auto"/>
                <w:szCs w:val="21"/>
              </w:rPr>
            </w:pPr>
            <w:r>
              <w:rPr>
                <w:rFonts w:hint="eastAsia" w:ascii="仿宋" w:hAnsi="仿宋" w:eastAsia="仿宋"/>
                <w:b/>
                <w:bCs/>
                <w:color w:val="auto"/>
                <w:szCs w:val="21"/>
              </w:rPr>
              <w:t>项目负责人</w:t>
            </w:r>
          </w:p>
        </w:tc>
        <w:tc>
          <w:tcPr>
            <w:tcW w:w="2804" w:type="dxa"/>
            <w:gridSpan w:val="3"/>
            <w:tcBorders>
              <w:top w:val="single" w:color="auto" w:sz="4" w:space="0"/>
              <w:left w:val="single" w:color="auto" w:sz="4" w:space="0"/>
              <w:bottom w:val="single" w:color="auto" w:sz="4" w:space="0"/>
              <w:right w:val="single" w:color="auto" w:sz="4" w:space="0"/>
            </w:tcBorders>
            <w:noWrap w:val="0"/>
            <w:vAlign w:val="center"/>
          </w:tcPr>
          <w:p w14:paraId="29755F47">
            <w:pPr>
              <w:snapToGrid w:val="0"/>
              <w:jc w:val="center"/>
              <w:rPr>
                <w:rFonts w:hint="eastAsia" w:ascii="仿宋" w:hAnsi="仿宋" w:eastAsia="仿宋"/>
                <w:color w:val="auto"/>
                <w:szCs w:val="21"/>
              </w:rPr>
            </w:pPr>
          </w:p>
        </w:tc>
        <w:tc>
          <w:tcPr>
            <w:tcW w:w="1202" w:type="dxa"/>
            <w:gridSpan w:val="3"/>
            <w:tcBorders>
              <w:top w:val="single" w:color="auto" w:sz="4" w:space="0"/>
              <w:left w:val="single" w:color="auto" w:sz="4" w:space="0"/>
              <w:bottom w:val="single" w:color="auto" w:sz="4" w:space="0"/>
              <w:right w:val="single" w:color="auto" w:sz="4" w:space="0"/>
            </w:tcBorders>
            <w:noWrap w:val="0"/>
            <w:vAlign w:val="center"/>
          </w:tcPr>
          <w:p w14:paraId="5377E5BE">
            <w:pPr>
              <w:snapToGrid w:val="0"/>
              <w:jc w:val="center"/>
              <w:rPr>
                <w:rFonts w:hint="eastAsia" w:ascii="仿宋" w:hAnsi="仿宋" w:eastAsia="仿宋"/>
                <w:color w:val="auto"/>
                <w:szCs w:val="21"/>
              </w:rPr>
            </w:pPr>
            <w:r>
              <w:rPr>
                <w:rFonts w:hint="eastAsia" w:ascii="仿宋" w:hAnsi="仿宋" w:eastAsia="仿宋"/>
                <w:color w:val="auto"/>
                <w:szCs w:val="21"/>
              </w:rPr>
              <w:t>注册号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F5A8DD9">
            <w:pPr>
              <w:snapToGrid w:val="0"/>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D04EEF6">
            <w:pPr>
              <w:snapToGrid w:val="0"/>
              <w:jc w:val="center"/>
              <w:rPr>
                <w:rFonts w:hint="eastAsia" w:ascii="仿宋" w:hAnsi="仿宋" w:eastAsia="仿宋"/>
                <w:color w:val="auto"/>
                <w:szCs w:val="21"/>
              </w:rPr>
            </w:pPr>
            <w:r>
              <w:rPr>
                <w:rFonts w:hint="eastAsia" w:ascii="仿宋" w:hAnsi="仿宋" w:eastAsia="仿宋"/>
                <w:color w:val="auto"/>
                <w:szCs w:val="21"/>
              </w:rPr>
              <w:t>移动电话</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A0BFF88">
            <w:pPr>
              <w:snapToGrid w:val="0"/>
              <w:jc w:val="center"/>
              <w:rPr>
                <w:rFonts w:hint="eastAsia" w:ascii="仿宋" w:hAnsi="仿宋" w:eastAsia="仿宋"/>
                <w:color w:val="auto"/>
                <w:szCs w:val="21"/>
              </w:rPr>
            </w:pPr>
          </w:p>
        </w:tc>
      </w:tr>
      <w:tr w14:paraId="7471F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46CC981E">
            <w:pPr>
              <w:snapToGrid w:val="0"/>
              <w:jc w:val="center"/>
              <w:rPr>
                <w:rFonts w:hint="eastAsia" w:ascii="仿宋" w:hAnsi="仿宋" w:eastAsia="仿宋"/>
                <w:color w:val="auto"/>
                <w:szCs w:val="21"/>
              </w:rPr>
            </w:pPr>
            <w:r>
              <w:rPr>
                <w:rFonts w:hint="eastAsia" w:ascii="仿宋" w:hAnsi="仿宋" w:eastAsia="仿宋"/>
                <w:color w:val="auto"/>
                <w:szCs w:val="21"/>
              </w:rPr>
              <w:t>姓  名</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6E43965F">
            <w:pPr>
              <w:snapToGrid w:val="0"/>
              <w:jc w:val="center"/>
              <w:rPr>
                <w:rFonts w:hint="eastAsia" w:ascii="仿宋" w:hAnsi="仿宋" w:eastAsia="仿宋"/>
                <w:color w:val="auto"/>
                <w:szCs w:val="21"/>
              </w:rPr>
            </w:pPr>
            <w:r>
              <w:rPr>
                <w:rFonts w:hint="eastAsia" w:ascii="仿宋" w:hAnsi="仿宋" w:eastAsia="仿宋"/>
                <w:color w:val="auto"/>
                <w:szCs w:val="21"/>
              </w:rPr>
              <w:t>性别</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68DE7A27">
            <w:pPr>
              <w:snapToGrid w:val="0"/>
              <w:ind w:left="12"/>
              <w:jc w:val="center"/>
              <w:rPr>
                <w:rFonts w:hint="eastAsia" w:ascii="仿宋" w:hAnsi="仿宋" w:eastAsia="仿宋"/>
                <w:color w:val="auto"/>
                <w:szCs w:val="21"/>
              </w:rPr>
            </w:pPr>
            <w:r>
              <w:rPr>
                <w:rFonts w:hint="eastAsia" w:ascii="仿宋" w:hAnsi="仿宋" w:eastAsia="仿宋"/>
                <w:color w:val="auto"/>
                <w:szCs w:val="21"/>
              </w:rPr>
              <w:t>年龄</w:t>
            </w:r>
          </w:p>
        </w:tc>
        <w:tc>
          <w:tcPr>
            <w:tcW w:w="854" w:type="dxa"/>
            <w:tcBorders>
              <w:top w:val="single" w:color="auto" w:sz="4" w:space="0"/>
              <w:left w:val="single" w:color="auto" w:sz="4" w:space="0"/>
              <w:bottom w:val="single" w:color="auto" w:sz="4" w:space="0"/>
              <w:right w:val="single" w:color="auto" w:sz="4" w:space="0"/>
            </w:tcBorders>
            <w:noWrap w:val="0"/>
            <w:vAlign w:val="center"/>
          </w:tcPr>
          <w:p w14:paraId="2D5304AA">
            <w:pPr>
              <w:snapToGrid w:val="0"/>
              <w:jc w:val="center"/>
              <w:rPr>
                <w:rFonts w:hint="eastAsia" w:ascii="仿宋" w:hAnsi="仿宋" w:eastAsia="仿宋"/>
                <w:color w:val="auto"/>
                <w:szCs w:val="21"/>
              </w:rPr>
            </w:pPr>
            <w:r>
              <w:rPr>
                <w:rFonts w:hint="eastAsia" w:ascii="仿宋" w:hAnsi="仿宋" w:eastAsia="仿宋"/>
                <w:color w:val="auto"/>
                <w:szCs w:val="21"/>
              </w:rPr>
              <w:t>负责专业</w:t>
            </w:r>
          </w:p>
        </w:tc>
        <w:tc>
          <w:tcPr>
            <w:tcW w:w="1963" w:type="dxa"/>
            <w:gridSpan w:val="3"/>
            <w:tcBorders>
              <w:top w:val="single" w:color="auto" w:sz="4" w:space="0"/>
              <w:left w:val="single" w:color="auto" w:sz="4" w:space="0"/>
              <w:bottom w:val="single" w:color="auto" w:sz="4" w:space="0"/>
              <w:right w:val="single" w:color="auto" w:sz="4" w:space="0"/>
            </w:tcBorders>
            <w:noWrap w:val="0"/>
            <w:vAlign w:val="center"/>
          </w:tcPr>
          <w:p w14:paraId="57B57E5B">
            <w:pPr>
              <w:snapToGrid w:val="0"/>
              <w:jc w:val="center"/>
              <w:rPr>
                <w:rFonts w:hint="eastAsia" w:ascii="仿宋" w:hAnsi="仿宋" w:eastAsia="仿宋"/>
                <w:color w:val="auto"/>
                <w:szCs w:val="21"/>
              </w:rPr>
            </w:pPr>
            <w:r>
              <w:rPr>
                <w:rFonts w:hint="eastAsia" w:ascii="仿宋" w:hAnsi="仿宋" w:eastAsia="仿宋"/>
                <w:color w:val="auto"/>
                <w:szCs w:val="21"/>
              </w:rPr>
              <w:t>身份证号码</w:t>
            </w: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51877272">
            <w:pPr>
              <w:snapToGrid w:val="0"/>
              <w:jc w:val="center"/>
              <w:rPr>
                <w:rFonts w:hint="eastAsia" w:ascii="仿宋" w:hAnsi="仿宋" w:eastAsia="仿宋"/>
                <w:color w:val="auto"/>
                <w:szCs w:val="21"/>
              </w:rPr>
            </w:pPr>
            <w:r>
              <w:rPr>
                <w:rFonts w:hint="eastAsia" w:ascii="仿宋" w:hAnsi="仿宋" w:eastAsia="仿宋"/>
                <w:color w:val="auto"/>
                <w:szCs w:val="21"/>
              </w:rPr>
              <w:t>职  称</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A0CAB0F">
            <w:pPr>
              <w:snapToGrid w:val="0"/>
              <w:jc w:val="center"/>
              <w:rPr>
                <w:rFonts w:hint="eastAsia" w:ascii="仿宋" w:hAnsi="仿宋" w:eastAsia="仿宋"/>
                <w:color w:val="auto"/>
                <w:szCs w:val="21"/>
              </w:rPr>
            </w:pPr>
            <w:r>
              <w:rPr>
                <w:rFonts w:hint="eastAsia" w:ascii="仿宋" w:hAnsi="仿宋" w:eastAsia="仿宋"/>
                <w:color w:val="auto"/>
                <w:szCs w:val="21"/>
              </w:rPr>
              <w:t>注册师类别</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400A433B">
            <w:pPr>
              <w:snapToGrid w:val="0"/>
              <w:jc w:val="center"/>
              <w:rPr>
                <w:rFonts w:hint="eastAsia" w:ascii="仿宋" w:hAnsi="仿宋" w:eastAsia="仿宋"/>
                <w:color w:val="auto"/>
                <w:szCs w:val="21"/>
              </w:rPr>
            </w:pPr>
            <w:r>
              <w:rPr>
                <w:rFonts w:hint="eastAsia" w:ascii="仿宋" w:hAnsi="仿宋" w:eastAsia="仿宋"/>
                <w:color w:val="auto"/>
                <w:szCs w:val="21"/>
              </w:rPr>
              <w:t>注册号</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480360A8">
            <w:pPr>
              <w:snapToGrid w:val="0"/>
              <w:jc w:val="center"/>
              <w:rPr>
                <w:rFonts w:hint="eastAsia" w:ascii="仿宋" w:hAnsi="仿宋" w:eastAsia="仿宋"/>
                <w:color w:val="auto"/>
                <w:szCs w:val="21"/>
              </w:rPr>
            </w:pPr>
            <w:r>
              <w:rPr>
                <w:rFonts w:hint="eastAsia" w:ascii="仿宋" w:hAnsi="仿宋" w:eastAsia="仿宋"/>
                <w:color w:val="auto"/>
                <w:szCs w:val="21"/>
              </w:rPr>
              <w:t>移动电话</w:t>
            </w:r>
          </w:p>
        </w:tc>
      </w:tr>
      <w:tr w14:paraId="5AB81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772FEFB0">
            <w:pPr>
              <w:snapToGrid w:val="0"/>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122E5C1C">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655D6561">
            <w:pPr>
              <w:snapToGrid w:val="0"/>
              <w:ind w:left="12"/>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D1D804E">
            <w:pPr>
              <w:snapToGrid w:val="0"/>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1E4A5BA8">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300BB9BE">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529267E">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227EB5C0">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7CF9F1BE">
            <w:pPr>
              <w:snapToGrid w:val="0"/>
              <w:jc w:val="center"/>
              <w:rPr>
                <w:rFonts w:hint="eastAsia" w:ascii="仿宋" w:hAnsi="仿宋" w:eastAsia="仿宋"/>
                <w:color w:val="auto"/>
                <w:szCs w:val="21"/>
              </w:rPr>
            </w:pPr>
          </w:p>
        </w:tc>
      </w:tr>
      <w:tr w14:paraId="1961A0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02418BF6">
            <w:pPr>
              <w:snapToGrid w:val="0"/>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50308B50">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660694F1">
            <w:pPr>
              <w:snapToGrid w:val="0"/>
              <w:ind w:left="12"/>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385E712E">
            <w:pPr>
              <w:snapToGrid w:val="0"/>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5D4323A8">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3C0C01B5">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F1177F4">
            <w:pPr>
              <w:snapToGrid w:val="0"/>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2054D9C">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35FD94E4">
            <w:pPr>
              <w:snapToGrid w:val="0"/>
              <w:jc w:val="center"/>
              <w:rPr>
                <w:rFonts w:hint="eastAsia" w:ascii="仿宋" w:hAnsi="仿宋" w:eastAsia="仿宋"/>
                <w:color w:val="auto"/>
                <w:szCs w:val="21"/>
              </w:rPr>
            </w:pPr>
          </w:p>
        </w:tc>
      </w:tr>
      <w:tr w14:paraId="638E0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7A17D0A3">
            <w:pPr>
              <w:snapToGrid w:val="0"/>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2B5EACD3">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24B998BB">
            <w:pPr>
              <w:snapToGrid w:val="0"/>
              <w:ind w:left="12"/>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088C97A">
            <w:pPr>
              <w:snapToGrid w:val="0"/>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593D58C1">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67329EBA">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29B646B">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6C902E5">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0C8EB0E">
            <w:pPr>
              <w:snapToGrid w:val="0"/>
              <w:jc w:val="center"/>
              <w:rPr>
                <w:rFonts w:hint="eastAsia" w:ascii="仿宋" w:hAnsi="仿宋" w:eastAsia="仿宋"/>
                <w:color w:val="auto"/>
                <w:szCs w:val="21"/>
              </w:rPr>
            </w:pPr>
          </w:p>
        </w:tc>
      </w:tr>
      <w:tr w14:paraId="62537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797952F4">
            <w:pPr>
              <w:snapToGrid w:val="0"/>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3FB342EE">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572746F8">
            <w:pPr>
              <w:snapToGrid w:val="0"/>
              <w:ind w:left="12"/>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3A0C03F0">
            <w:pPr>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48E783AA">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4EE411DA">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78677C0">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3209FE2">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2EE472E7">
            <w:pPr>
              <w:snapToGrid w:val="0"/>
              <w:jc w:val="center"/>
              <w:rPr>
                <w:rFonts w:hint="eastAsia" w:ascii="仿宋" w:hAnsi="仿宋" w:eastAsia="仿宋"/>
                <w:color w:val="auto"/>
                <w:szCs w:val="21"/>
              </w:rPr>
            </w:pPr>
          </w:p>
        </w:tc>
      </w:tr>
      <w:tr w14:paraId="1352F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16557473">
            <w:pPr>
              <w:snapToGrid w:val="0"/>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155905EF">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15EEE174">
            <w:pPr>
              <w:snapToGrid w:val="0"/>
              <w:ind w:left="12"/>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3508141F">
            <w:pPr>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4257E659">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2C3DEB34">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295CFD9">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5F0BD85D">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5018F818">
            <w:pPr>
              <w:snapToGrid w:val="0"/>
              <w:jc w:val="center"/>
              <w:rPr>
                <w:rFonts w:hint="eastAsia" w:ascii="仿宋" w:hAnsi="仿宋" w:eastAsia="仿宋"/>
                <w:color w:val="auto"/>
                <w:szCs w:val="21"/>
              </w:rPr>
            </w:pPr>
          </w:p>
        </w:tc>
      </w:tr>
      <w:tr w14:paraId="4D4EF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01CA9878">
            <w:pPr>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049BB67B">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73E45987">
            <w:pPr>
              <w:snapToGrid w:val="0"/>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39CAC0A1">
            <w:pPr>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6B08DD8A">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2F11C804">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0FB53CC">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E5581EA">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58CD19E0">
            <w:pPr>
              <w:snapToGrid w:val="0"/>
              <w:jc w:val="center"/>
              <w:rPr>
                <w:rFonts w:hint="eastAsia" w:ascii="仿宋" w:hAnsi="仿宋" w:eastAsia="仿宋"/>
                <w:color w:val="auto"/>
                <w:szCs w:val="21"/>
              </w:rPr>
            </w:pPr>
          </w:p>
        </w:tc>
      </w:tr>
      <w:tr w14:paraId="5C3F0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7F71A91D">
            <w:pPr>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3A03A431">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33F2271C">
            <w:pPr>
              <w:snapToGrid w:val="0"/>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6C35FADC">
            <w:pPr>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6CA71D20">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06623AEF">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F5B3CD9">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06297376">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E3FAA65">
            <w:pPr>
              <w:snapToGrid w:val="0"/>
              <w:jc w:val="center"/>
              <w:rPr>
                <w:rFonts w:hint="eastAsia" w:ascii="仿宋" w:hAnsi="仿宋" w:eastAsia="仿宋"/>
                <w:color w:val="auto"/>
                <w:szCs w:val="21"/>
              </w:rPr>
            </w:pPr>
          </w:p>
        </w:tc>
      </w:tr>
      <w:tr w14:paraId="1FAE6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75028AD1">
            <w:pPr>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72EE72DD">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3FDED2BB">
            <w:pPr>
              <w:snapToGrid w:val="0"/>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1384182E">
            <w:pPr>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50C7B361">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349F80FD">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7785EE3">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26037A0">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DC8E768">
            <w:pPr>
              <w:snapToGrid w:val="0"/>
              <w:jc w:val="center"/>
              <w:rPr>
                <w:rFonts w:hint="eastAsia" w:ascii="仿宋" w:hAnsi="仿宋" w:eastAsia="仿宋"/>
                <w:color w:val="auto"/>
                <w:szCs w:val="21"/>
              </w:rPr>
            </w:pPr>
          </w:p>
        </w:tc>
      </w:tr>
      <w:tr w14:paraId="05DB8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5647711B">
            <w:pPr>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66DC2F8E">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5E1C90DA">
            <w:pPr>
              <w:snapToGrid w:val="0"/>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7CF0CEB2">
            <w:pPr>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1AB66E3A">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277C63C4">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BFC4461">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F2CCEF3">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C3E8E12">
            <w:pPr>
              <w:snapToGrid w:val="0"/>
              <w:jc w:val="center"/>
              <w:rPr>
                <w:rFonts w:hint="eastAsia" w:ascii="仿宋" w:hAnsi="仿宋" w:eastAsia="仿宋"/>
                <w:color w:val="auto"/>
                <w:szCs w:val="21"/>
              </w:rPr>
            </w:pPr>
          </w:p>
        </w:tc>
      </w:tr>
      <w:tr w14:paraId="586D0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71B8B300">
            <w:pPr>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79A1FA09">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1F2191FE">
            <w:pPr>
              <w:snapToGrid w:val="0"/>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3119E5A5">
            <w:pPr>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19BE28C3">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61485982">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975B6C5">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3450E1C5">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1F9858FF">
            <w:pPr>
              <w:snapToGrid w:val="0"/>
              <w:jc w:val="center"/>
              <w:rPr>
                <w:rFonts w:hint="eastAsia" w:ascii="仿宋" w:hAnsi="仿宋" w:eastAsia="仿宋"/>
                <w:color w:val="auto"/>
                <w:szCs w:val="21"/>
              </w:rPr>
            </w:pPr>
          </w:p>
        </w:tc>
      </w:tr>
      <w:tr w14:paraId="6DB1F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214" w:type="dxa"/>
            <w:tcBorders>
              <w:top w:val="single" w:color="auto" w:sz="4" w:space="0"/>
              <w:left w:val="single" w:color="auto" w:sz="4" w:space="0"/>
              <w:bottom w:val="single" w:color="auto" w:sz="4" w:space="0"/>
              <w:right w:val="single" w:color="auto" w:sz="4" w:space="0"/>
            </w:tcBorders>
            <w:noWrap w:val="0"/>
            <w:vAlign w:val="center"/>
          </w:tcPr>
          <w:p w14:paraId="5CB47374">
            <w:pPr>
              <w:jc w:val="center"/>
              <w:rPr>
                <w:rFonts w:hint="eastAsia" w:ascii="仿宋" w:hAnsi="仿宋" w:eastAsia="仿宋"/>
                <w:color w:val="auto"/>
                <w:szCs w:val="21"/>
              </w:rPr>
            </w:pPr>
          </w:p>
        </w:tc>
        <w:tc>
          <w:tcPr>
            <w:tcW w:w="538" w:type="dxa"/>
            <w:tcBorders>
              <w:top w:val="single" w:color="auto" w:sz="4" w:space="0"/>
              <w:left w:val="single" w:color="auto" w:sz="4" w:space="0"/>
              <w:bottom w:val="single" w:color="auto" w:sz="4" w:space="0"/>
              <w:right w:val="single" w:color="auto" w:sz="4" w:space="0"/>
            </w:tcBorders>
            <w:noWrap w:val="0"/>
            <w:vAlign w:val="center"/>
          </w:tcPr>
          <w:p w14:paraId="5D321C95">
            <w:pPr>
              <w:snapToGrid w:val="0"/>
              <w:jc w:val="center"/>
              <w:rPr>
                <w:rFonts w:hint="eastAsia" w:ascii="仿宋" w:hAnsi="仿宋" w:eastAsia="仿宋"/>
                <w:color w:val="auto"/>
                <w:szCs w:val="21"/>
              </w:rPr>
            </w:pPr>
          </w:p>
        </w:tc>
        <w:tc>
          <w:tcPr>
            <w:tcW w:w="549" w:type="dxa"/>
            <w:tcBorders>
              <w:top w:val="single" w:color="auto" w:sz="4" w:space="0"/>
              <w:left w:val="single" w:color="auto" w:sz="4" w:space="0"/>
              <w:bottom w:val="single" w:color="auto" w:sz="4" w:space="0"/>
              <w:right w:val="single" w:color="auto" w:sz="4" w:space="0"/>
            </w:tcBorders>
            <w:noWrap w:val="0"/>
            <w:vAlign w:val="center"/>
          </w:tcPr>
          <w:p w14:paraId="30430095">
            <w:pPr>
              <w:snapToGrid w:val="0"/>
              <w:jc w:val="center"/>
              <w:rPr>
                <w:rFonts w:hint="eastAsia" w:ascii="仿宋" w:hAnsi="仿宋" w:eastAsia="仿宋"/>
                <w:color w:val="auto"/>
                <w:szCs w:val="21"/>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6ECC4654">
            <w:pPr>
              <w:jc w:val="center"/>
              <w:rPr>
                <w:rFonts w:hint="eastAsia" w:ascii="仿宋" w:hAnsi="仿宋" w:eastAsia="仿宋"/>
                <w:color w:val="auto"/>
                <w:szCs w:val="21"/>
              </w:rPr>
            </w:pPr>
          </w:p>
        </w:tc>
        <w:tc>
          <w:tcPr>
            <w:tcW w:w="1963" w:type="dxa"/>
            <w:gridSpan w:val="3"/>
            <w:tcBorders>
              <w:top w:val="single" w:color="auto" w:sz="4" w:space="0"/>
              <w:left w:val="single" w:color="auto" w:sz="4" w:space="0"/>
              <w:bottom w:val="single" w:color="auto" w:sz="4" w:space="0"/>
              <w:right w:val="single" w:color="auto" w:sz="4" w:space="0"/>
            </w:tcBorders>
            <w:noWrap w:val="0"/>
            <w:vAlign w:val="top"/>
          </w:tcPr>
          <w:p w14:paraId="18D43FAA">
            <w:pPr>
              <w:snapToGrid w:val="0"/>
              <w:jc w:val="center"/>
              <w:rPr>
                <w:rFonts w:hint="eastAsia" w:ascii="仿宋" w:hAnsi="仿宋" w:eastAsia="仿宋"/>
                <w:color w:val="auto"/>
                <w:szCs w:val="21"/>
              </w:rPr>
            </w:pPr>
          </w:p>
        </w:tc>
        <w:tc>
          <w:tcPr>
            <w:tcW w:w="1189" w:type="dxa"/>
            <w:gridSpan w:val="2"/>
            <w:tcBorders>
              <w:top w:val="single" w:color="auto" w:sz="4" w:space="0"/>
              <w:left w:val="single" w:color="auto" w:sz="4" w:space="0"/>
              <w:bottom w:val="single" w:color="auto" w:sz="4" w:space="0"/>
              <w:right w:val="single" w:color="auto" w:sz="4" w:space="0"/>
            </w:tcBorders>
            <w:noWrap w:val="0"/>
            <w:vAlign w:val="center"/>
          </w:tcPr>
          <w:p w14:paraId="7AB13749">
            <w:pPr>
              <w:snapToGrid w:val="0"/>
              <w:jc w:val="center"/>
              <w:rPr>
                <w:rFonts w:hint="eastAsia" w:ascii="仿宋" w:hAnsi="仿宋" w:eastAsia="仿宋"/>
                <w:color w:val="auto"/>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312795">
            <w:pPr>
              <w:jc w:val="center"/>
              <w:rPr>
                <w:rFonts w:hint="eastAsia" w:ascii="仿宋" w:hAnsi="仿宋" w:eastAsia="仿宋"/>
                <w:color w:val="auto"/>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7630A256">
            <w:pPr>
              <w:snapToGrid w:val="0"/>
              <w:jc w:val="center"/>
              <w:rPr>
                <w:rFonts w:hint="eastAsia" w:ascii="仿宋" w:hAnsi="仿宋" w:eastAsia="仿宋"/>
                <w:color w:val="auto"/>
                <w:szCs w:val="21"/>
              </w:rPr>
            </w:pPr>
          </w:p>
        </w:tc>
        <w:tc>
          <w:tcPr>
            <w:tcW w:w="1610" w:type="dxa"/>
            <w:tcBorders>
              <w:top w:val="single" w:color="auto" w:sz="4" w:space="0"/>
              <w:left w:val="single" w:color="auto" w:sz="4" w:space="0"/>
              <w:bottom w:val="single" w:color="auto" w:sz="4" w:space="0"/>
              <w:right w:val="single" w:color="auto" w:sz="4" w:space="0"/>
            </w:tcBorders>
            <w:noWrap w:val="0"/>
            <w:vAlign w:val="center"/>
          </w:tcPr>
          <w:p w14:paraId="0DEF311E">
            <w:pPr>
              <w:snapToGrid w:val="0"/>
              <w:jc w:val="center"/>
              <w:rPr>
                <w:rFonts w:hint="eastAsia" w:ascii="仿宋" w:hAnsi="仿宋" w:eastAsia="仿宋"/>
                <w:color w:val="auto"/>
                <w:szCs w:val="21"/>
              </w:rPr>
            </w:pPr>
          </w:p>
        </w:tc>
      </w:tr>
      <w:tr w14:paraId="4FD9AE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752" w:type="dxa"/>
            <w:gridSpan w:val="2"/>
            <w:tcBorders>
              <w:top w:val="single" w:color="auto" w:sz="4" w:space="0"/>
              <w:left w:val="single" w:color="auto" w:sz="4" w:space="0"/>
              <w:bottom w:val="single" w:color="auto" w:sz="4" w:space="0"/>
              <w:right w:val="single" w:color="auto" w:sz="4" w:space="0"/>
            </w:tcBorders>
            <w:noWrap w:val="0"/>
            <w:vAlign w:val="top"/>
          </w:tcPr>
          <w:p w14:paraId="7355FAB7">
            <w:pPr>
              <w:snapToGrid w:val="0"/>
              <w:jc w:val="center"/>
              <w:rPr>
                <w:rFonts w:hint="eastAsia" w:ascii="仿宋" w:hAnsi="仿宋" w:eastAsia="仿宋"/>
                <w:b/>
                <w:color w:val="auto"/>
                <w:szCs w:val="21"/>
              </w:rPr>
            </w:pPr>
          </w:p>
        </w:tc>
        <w:tc>
          <w:tcPr>
            <w:tcW w:w="9142" w:type="dxa"/>
            <w:gridSpan w:val="11"/>
            <w:tcBorders>
              <w:top w:val="single" w:color="auto" w:sz="4" w:space="0"/>
              <w:left w:val="single" w:color="auto" w:sz="4" w:space="0"/>
              <w:bottom w:val="single" w:color="auto" w:sz="4" w:space="0"/>
              <w:right w:val="single" w:color="auto" w:sz="4" w:space="0"/>
            </w:tcBorders>
            <w:noWrap w:val="0"/>
            <w:vAlign w:val="center"/>
          </w:tcPr>
          <w:p w14:paraId="7CDCECE3">
            <w:pPr>
              <w:snapToGrid w:val="0"/>
              <w:jc w:val="center"/>
              <w:rPr>
                <w:rFonts w:hint="eastAsia" w:ascii="仿宋" w:hAnsi="仿宋" w:eastAsia="仿宋"/>
                <w:b/>
                <w:color w:val="auto"/>
                <w:szCs w:val="21"/>
              </w:rPr>
            </w:pPr>
            <w:r>
              <w:rPr>
                <w:rFonts w:hint="eastAsia" w:ascii="仿宋" w:hAnsi="仿宋" w:eastAsia="仿宋"/>
                <w:b/>
                <w:color w:val="auto"/>
                <w:szCs w:val="21"/>
              </w:rPr>
              <w:t>配合设计报建与设计资料送审人员</w:t>
            </w:r>
          </w:p>
        </w:tc>
      </w:tr>
      <w:tr w14:paraId="66E22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752" w:type="dxa"/>
            <w:gridSpan w:val="2"/>
            <w:tcBorders>
              <w:top w:val="single" w:color="auto" w:sz="4" w:space="0"/>
              <w:left w:val="single" w:color="auto" w:sz="4" w:space="0"/>
              <w:bottom w:val="single" w:color="auto" w:sz="4" w:space="0"/>
              <w:right w:val="single" w:color="auto" w:sz="4" w:space="0"/>
            </w:tcBorders>
            <w:noWrap w:val="0"/>
            <w:vAlign w:val="center"/>
          </w:tcPr>
          <w:p w14:paraId="567A4C33">
            <w:pPr>
              <w:snapToGrid w:val="0"/>
              <w:jc w:val="center"/>
              <w:rPr>
                <w:rFonts w:hint="eastAsia" w:ascii="仿宋" w:hAnsi="仿宋" w:eastAsia="仿宋"/>
                <w:color w:val="auto"/>
                <w:szCs w:val="21"/>
              </w:rPr>
            </w:pPr>
            <w:r>
              <w:rPr>
                <w:rFonts w:hint="eastAsia" w:ascii="仿宋" w:hAnsi="仿宋" w:eastAsia="仿宋"/>
                <w:color w:val="auto"/>
                <w:szCs w:val="21"/>
              </w:rPr>
              <w:t>姓  名</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14:paraId="7554E525">
            <w:pPr>
              <w:snapToGrid w:val="0"/>
              <w:jc w:val="center"/>
              <w:rPr>
                <w:rFonts w:hint="eastAsia" w:ascii="仿宋" w:hAnsi="仿宋" w:eastAsia="仿宋"/>
                <w:color w:val="auto"/>
                <w:szCs w:val="21"/>
              </w:rPr>
            </w:pPr>
            <w:r>
              <w:rPr>
                <w:rFonts w:hint="eastAsia" w:ascii="仿宋" w:hAnsi="仿宋" w:eastAsia="仿宋"/>
                <w:color w:val="auto"/>
                <w:szCs w:val="21"/>
              </w:rPr>
              <w:t>性别</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1CB1ADD2">
            <w:pPr>
              <w:snapToGrid w:val="0"/>
              <w:ind w:left="12"/>
              <w:jc w:val="center"/>
              <w:rPr>
                <w:rFonts w:hint="eastAsia" w:ascii="仿宋" w:hAnsi="仿宋" w:eastAsia="仿宋"/>
                <w:color w:val="auto"/>
                <w:szCs w:val="21"/>
              </w:rPr>
            </w:pPr>
            <w:r>
              <w:rPr>
                <w:rFonts w:hint="eastAsia" w:ascii="仿宋" w:hAnsi="仿宋" w:eastAsia="仿宋"/>
                <w:color w:val="auto"/>
                <w:szCs w:val="21"/>
              </w:rPr>
              <w:t>年龄</w:t>
            </w:r>
          </w:p>
        </w:tc>
        <w:tc>
          <w:tcPr>
            <w:tcW w:w="2093" w:type="dxa"/>
            <w:gridSpan w:val="3"/>
            <w:tcBorders>
              <w:top w:val="single" w:color="auto" w:sz="4" w:space="0"/>
              <w:left w:val="single" w:color="auto" w:sz="4" w:space="0"/>
              <w:bottom w:val="single" w:color="auto" w:sz="4" w:space="0"/>
              <w:right w:val="single" w:color="auto" w:sz="4" w:space="0"/>
            </w:tcBorders>
            <w:noWrap w:val="0"/>
            <w:vAlign w:val="center"/>
          </w:tcPr>
          <w:p w14:paraId="26626478">
            <w:pPr>
              <w:snapToGrid w:val="0"/>
              <w:ind w:left="12"/>
              <w:jc w:val="center"/>
              <w:rPr>
                <w:rFonts w:hint="eastAsia" w:ascii="仿宋" w:hAnsi="仿宋" w:eastAsia="仿宋"/>
                <w:color w:val="auto"/>
                <w:szCs w:val="21"/>
              </w:rPr>
            </w:pPr>
            <w:r>
              <w:rPr>
                <w:rFonts w:hint="eastAsia" w:ascii="仿宋" w:hAnsi="仿宋" w:eastAsia="仿宋"/>
                <w:color w:val="auto"/>
                <w:szCs w:val="21"/>
              </w:rPr>
              <w:t>身份证号码</w:t>
            </w:r>
          </w:p>
        </w:tc>
        <w:tc>
          <w:tcPr>
            <w:tcW w:w="4931" w:type="dxa"/>
            <w:gridSpan w:val="5"/>
            <w:tcBorders>
              <w:top w:val="single" w:color="auto" w:sz="4" w:space="0"/>
              <w:left w:val="single" w:color="auto" w:sz="4" w:space="0"/>
              <w:bottom w:val="single" w:color="auto" w:sz="4" w:space="0"/>
              <w:right w:val="single" w:color="auto" w:sz="4" w:space="0"/>
            </w:tcBorders>
            <w:noWrap w:val="0"/>
            <w:vAlign w:val="center"/>
          </w:tcPr>
          <w:p w14:paraId="0EEE079E">
            <w:pPr>
              <w:snapToGrid w:val="0"/>
              <w:ind w:left="12"/>
              <w:jc w:val="center"/>
              <w:rPr>
                <w:rFonts w:hint="eastAsia" w:ascii="仿宋" w:hAnsi="仿宋" w:eastAsia="仿宋"/>
                <w:color w:val="auto"/>
                <w:szCs w:val="21"/>
              </w:rPr>
            </w:pPr>
            <w:r>
              <w:rPr>
                <w:rFonts w:hint="eastAsia" w:ascii="仿宋" w:hAnsi="仿宋" w:eastAsia="仿宋"/>
                <w:color w:val="auto"/>
                <w:szCs w:val="21"/>
              </w:rPr>
              <w:t>移动电话</w:t>
            </w:r>
          </w:p>
        </w:tc>
      </w:tr>
      <w:tr w14:paraId="7D583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752" w:type="dxa"/>
            <w:gridSpan w:val="2"/>
            <w:tcBorders>
              <w:top w:val="single" w:color="auto" w:sz="4" w:space="0"/>
              <w:left w:val="single" w:color="auto" w:sz="4" w:space="0"/>
              <w:bottom w:val="single" w:color="auto" w:sz="4" w:space="0"/>
              <w:right w:val="single" w:color="auto" w:sz="4" w:space="0"/>
            </w:tcBorders>
            <w:noWrap w:val="0"/>
            <w:vAlign w:val="center"/>
          </w:tcPr>
          <w:p w14:paraId="669B4660">
            <w:pPr>
              <w:snapToGrid w:val="0"/>
              <w:jc w:val="center"/>
              <w:rPr>
                <w:rFonts w:hint="eastAsia" w:ascii="仿宋" w:hAnsi="仿宋" w:eastAsia="仿宋"/>
                <w:color w:val="auto"/>
                <w:szCs w:val="21"/>
              </w:rPr>
            </w:pP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14:paraId="0DB317B7">
            <w:pPr>
              <w:snapToGrid w:val="0"/>
              <w:jc w:val="center"/>
              <w:rPr>
                <w:rFonts w:hint="eastAsia" w:ascii="仿宋" w:hAnsi="仿宋" w:eastAsia="仿宋"/>
                <w:color w:val="auto"/>
                <w:szCs w:val="21"/>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19A2582C">
            <w:pPr>
              <w:snapToGrid w:val="0"/>
              <w:jc w:val="center"/>
              <w:rPr>
                <w:rFonts w:hint="eastAsia" w:ascii="仿宋" w:hAnsi="仿宋" w:eastAsia="仿宋"/>
                <w:color w:val="auto"/>
                <w:szCs w:val="21"/>
              </w:rPr>
            </w:pPr>
          </w:p>
        </w:tc>
        <w:tc>
          <w:tcPr>
            <w:tcW w:w="2093" w:type="dxa"/>
            <w:gridSpan w:val="3"/>
            <w:tcBorders>
              <w:top w:val="single" w:color="auto" w:sz="4" w:space="0"/>
              <w:left w:val="single" w:color="auto" w:sz="4" w:space="0"/>
              <w:bottom w:val="single" w:color="auto" w:sz="4" w:space="0"/>
              <w:right w:val="single" w:color="auto" w:sz="4" w:space="0"/>
            </w:tcBorders>
            <w:noWrap w:val="0"/>
            <w:vAlign w:val="center"/>
          </w:tcPr>
          <w:p w14:paraId="036BB074">
            <w:pPr>
              <w:snapToGrid w:val="0"/>
              <w:jc w:val="center"/>
              <w:rPr>
                <w:rFonts w:hint="eastAsia" w:ascii="仿宋" w:hAnsi="仿宋" w:eastAsia="仿宋"/>
                <w:color w:val="auto"/>
                <w:szCs w:val="21"/>
              </w:rPr>
            </w:pPr>
          </w:p>
        </w:tc>
        <w:tc>
          <w:tcPr>
            <w:tcW w:w="4931" w:type="dxa"/>
            <w:gridSpan w:val="5"/>
            <w:tcBorders>
              <w:top w:val="single" w:color="auto" w:sz="4" w:space="0"/>
              <w:left w:val="single" w:color="auto" w:sz="4" w:space="0"/>
              <w:bottom w:val="single" w:color="auto" w:sz="4" w:space="0"/>
              <w:right w:val="single" w:color="auto" w:sz="4" w:space="0"/>
            </w:tcBorders>
            <w:noWrap w:val="0"/>
            <w:vAlign w:val="center"/>
          </w:tcPr>
          <w:p w14:paraId="797BB016">
            <w:pPr>
              <w:snapToGrid w:val="0"/>
              <w:jc w:val="center"/>
              <w:rPr>
                <w:rFonts w:hint="eastAsia" w:ascii="仿宋" w:hAnsi="仿宋" w:eastAsia="仿宋"/>
                <w:color w:val="auto"/>
                <w:szCs w:val="21"/>
              </w:rPr>
            </w:pPr>
          </w:p>
        </w:tc>
      </w:tr>
      <w:tr w14:paraId="639BF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752" w:type="dxa"/>
            <w:gridSpan w:val="2"/>
            <w:tcBorders>
              <w:top w:val="single" w:color="auto" w:sz="4" w:space="0"/>
              <w:left w:val="single" w:color="auto" w:sz="4" w:space="0"/>
              <w:bottom w:val="single" w:color="auto" w:sz="4" w:space="0"/>
              <w:right w:val="single" w:color="auto" w:sz="4" w:space="0"/>
            </w:tcBorders>
            <w:noWrap w:val="0"/>
            <w:vAlign w:val="top"/>
          </w:tcPr>
          <w:p w14:paraId="63B4C2FC">
            <w:pPr>
              <w:snapToGrid w:val="0"/>
              <w:jc w:val="center"/>
              <w:rPr>
                <w:rFonts w:hint="eastAsia" w:ascii="仿宋" w:hAnsi="仿宋" w:eastAsia="仿宋"/>
                <w:color w:val="auto"/>
                <w:szCs w:val="21"/>
              </w:rPr>
            </w:pPr>
          </w:p>
        </w:tc>
        <w:tc>
          <w:tcPr>
            <w:tcW w:w="9142" w:type="dxa"/>
            <w:gridSpan w:val="11"/>
            <w:tcBorders>
              <w:top w:val="single" w:color="auto" w:sz="4" w:space="0"/>
              <w:left w:val="single" w:color="auto" w:sz="4" w:space="0"/>
              <w:bottom w:val="single" w:color="auto" w:sz="4" w:space="0"/>
              <w:right w:val="single" w:color="auto" w:sz="4" w:space="0"/>
            </w:tcBorders>
            <w:noWrap w:val="0"/>
            <w:vAlign w:val="center"/>
          </w:tcPr>
          <w:p w14:paraId="4F1DEDAB">
            <w:pPr>
              <w:snapToGrid w:val="0"/>
              <w:jc w:val="center"/>
              <w:rPr>
                <w:rFonts w:hint="eastAsia" w:ascii="仿宋" w:hAnsi="仿宋" w:eastAsia="仿宋"/>
                <w:color w:val="auto"/>
                <w:szCs w:val="21"/>
              </w:rPr>
            </w:pPr>
            <w:r>
              <w:rPr>
                <w:rFonts w:hint="eastAsia" w:ascii="仿宋" w:hAnsi="仿宋" w:eastAsia="仿宋"/>
                <w:color w:val="auto"/>
                <w:szCs w:val="21"/>
              </w:rPr>
              <w:t>负责处理设计问题的专业工程师</w:t>
            </w:r>
          </w:p>
        </w:tc>
      </w:tr>
      <w:tr w14:paraId="75446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752" w:type="dxa"/>
            <w:gridSpan w:val="2"/>
            <w:tcBorders>
              <w:top w:val="single" w:color="auto" w:sz="4" w:space="0"/>
              <w:left w:val="single" w:color="auto" w:sz="4" w:space="0"/>
              <w:bottom w:val="single" w:color="auto" w:sz="4" w:space="0"/>
              <w:right w:val="single" w:color="auto" w:sz="4" w:space="0"/>
            </w:tcBorders>
            <w:noWrap w:val="0"/>
            <w:vAlign w:val="center"/>
          </w:tcPr>
          <w:p w14:paraId="6F7CCF23">
            <w:pPr>
              <w:snapToGrid w:val="0"/>
              <w:jc w:val="center"/>
              <w:rPr>
                <w:rFonts w:hint="eastAsia" w:ascii="仿宋" w:hAnsi="仿宋" w:eastAsia="仿宋"/>
                <w:color w:val="auto"/>
                <w:szCs w:val="21"/>
              </w:rPr>
            </w:pPr>
            <w:r>
              <w:rPr>
                <w:rFonts w:hint="eastAsia" w:ascii="仿宋" w:hAnsi="仿宋" w:eastAsia="仿宋"/>
                <w:color w:val="auto"/>
                <w:szCs w:val="21"/>
              </w:rPr>
              <w:t>姓  名</w:t>
            </w: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14:paraId="4650B085">
            <w:pPr>
              <w:snapToGrid w:val="0"/>
              <w:jc w:val="center"/>
              <w:rPr>
                <w:rFonts w:hint="eastAsia" w:ascii="仿宋" w:hAnsi="仿宋" w:eastAsia="仿宋"/>
                <w:color w:val="auto"/>
                <w:szCs w:val="21"/>
              </w:rPr>
            </w:pPr>
            <w:r>
              <w:rPr>
                <w:rFonts w:hint="eastAsia" w:ascii="仿宋" w:hAnsi="仿宋" w:eastAsia="仿宋"/>
                <w:color w:val="auto"/>
                <w:szCs w:val="21"/>
              </w:rPr>
              <w:t>性别</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636F6F3A">
            <w:pPr>
              <w:snapToGrid w:val="0"/>
              <w:ind w:left="12"/>
              <w:jc w:val="center"/>
              <w:rPr>
                <w:rFonts w:hint="eastAsia" w:ascii="仿宋" w:hAnsi="仿宋" w:eastAsia="仿宋"/>
                <w:color w:val="auto"/>
                <w:szCs w:val="21"/>
              </w:rPr>
            </w:pPr>
            <w:r>
              <w:rPr>
                <w:rFonts w:hint="eastAsia" w:ascii="仿宋" w:hAnsi="仿宋" w:eastAsia="仿宋"/>
                <w:color w:val="auto"/>
                <w:szCs w:val="21"/>
              </w:rPr>
              <w:t>年龄</w:t>
            </w:r>
          </w:p>
        </w:tc>
        <w:tc>
          <w:tcPr>
            <w:tcW w:w="2093" w:type="dxa"/>
            <w:gridSpan w:val="3"/>
            <w:tcBorders>
              <w:top w:val="single" w:color="auto" w:sz="4" w:space="0"/>
              <w:left w:val="single" w:color="auto" w:sz="4" w:space="0"/>
              <w:bottom w:val="single" w:color="auto" w:sz="4" w:space="0"/>
              <w:right w:val="single" w:color="auto" w:sz="4" w:space="0"/>
            </w:tcBorders>
            <w:noWrap w:val="0"/>
            <w:vAlign w:val="center"/>
          </w:tcPr>
          <w:p w14:paraId="2EC69C9C">
            <w:pPr>
              <w:snapToGrid w:val="0"/>
              <w:ind w:left="12"/>
              <w:jc w:val="center"/>
              <w:rPr>
                <w:rFonts w:hint="eastAsia" w:ascii="仿宋" w:hAnsi="仿宋" w:eastAsia="仿宋"/>
                <w:color w:val="auto"/>
                <w:szCs w:val="21"/>
              </w:rPr>
            </w:pPr>
            <w:r>
              <w:rPr>
                <w:rFonts w:hint="eastAsia" w:ascii="仿宋" w:hAnsi="仿宋" w:eastAsia="仿宋"/>
                <w:color w:val="auto"/>
                <w:szCs w:val="21"/>
              </w:rPr>
              <w:t>身份证号码</w:t>
            </w: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14:paraId="395C7B71">
            <w:pPr>
              <w:snapToGrid w:val="0"/>
              <w:ind w:left="12"/>
              <w:jc w:val="center"/>
              <w:rPr>
                <w:rFonts w:hint="eastAsia" w:ascii="仿宋" w:hAnsi="仿宋" w:eastAsia="仿宋"/>
                <w:color w:val="auto"/>
                <w:szCs w:val="21"/>
              </w:rPr>
            </w:pPr>
            <w:r>
              <w:rPr>
                <w:rFonts w:hint="eastAsia" w:ascii="仿宋" w:hAnsi="仿宋" w:eastAsia="仿宋"/>
                <w:color w:val="auto"/>
                <w:szCs w:val="21"/>
              </w:rPr>
              <w:t>职称</w:t>
            </w:r>
          </w:p>
        </w:tc>
        <w:tc>
          <w:tcPr>
            <w:tcW w:w="2804" w:type="dxa"/>
            <w:gridSpan w:val="2"/>
            <w:tcBorders>
              <w:top w:val="single" w:color="auto" w:sz="4" w:space="0"/>
              <w:left w:val="single" w:color="auto" w:sz="4" w:space="0"/>
              <w:bottom w:val="single" w:color="auto" w:sz="4" w:space="0"/>
              <w:right w:val="single" w:color="auto" w:sz="4" w:space="0"/>
            </w:tcBorders>
            <w:noWrap w:val="0"/>
            <w:vAlign w:val="center"/>
          </w:tcPr>
          <w:p w14:paraId="7673B4F8">
            <w:pPr>
              <w:snapToGrid w:val="0"/>
              <w:ind w:left="12"/>
              <w:jc w:val="center"/>
              <w:rPr>
                <w:rFonts w:hint="eastAsia" w:ascii="仿宋" w:hAnsi="仿宋" w:eastAsia="仿宋"/>
                <w:color w:val="auto"/>
                <w:szCs w:val="21"/>
              </w:rPr>
            </w:pPr>
            <w:r>
              <w:rPr>
                <w:rFonts w:hint="eastAsia" w:ascii="仿宋" w:hAnsi="仿宋" w:eastAsia="仿宋"/>
                <w:color w:val="auto"/>
                <w:szCs w:val="21"/>
              </w:rPr>
              <w:t>移动电话</w:t>
            </w:r>
          </w:p>
        </w:tc>
      </w:tr>
      <w:tr w14:paraId="085CD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752" w:type="dxa"/>
            <w:gridSpan w:val="2"/>
            <w:tcBorders>
              <w:top w:val="single" w:color="auto" w:sz="4" w:space="0"/>
              <w:left w:val="single" w:color="auto" w:sz="4" w:space="0"/>
              <w:bottom w:val="single" w:color="auto" w:sz="4" w:space="0"/>
              <w:right w:val="single" w:color="auto" w:sz="4" w:space="0"/>
            </w:tcBorders>
            <w:noWrap w:val="0"/>
            <w:vAlign w:val="center"/>
          </w:tcPr>
          <w:p w14:paraId="622F23D3">
            <w:pPr>
              <w:snapToGrid w:val="0"/>
              <w:jc w:val="center"/>
              <w:rPr>
                <w:rFonts w:hint="eastAsia" w:ascii="仿宋" w:hAnsi="仿宋" w:eastAsia="仿宋"/>
                <w:color w:val="auto"/>
                <w:szCs w:val="21"/>
              </w:rPr>
            </w:pP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14:paraId="327F8992">
            <w:pPr>
              <w:snapToGrid w:val="0"/>
              <w:jc w:val="center"/>
              <w:rPr>
                <w:rFonts w:hint="eastAsia" w:ascii="仿宋" w:hAnsi="仿宋" w:eastAsia="仿宋"/>
                <w:color w:val="auto"/>
                <w:szCs w:val="21"/>
              </w:rPr>
            </w:pPr>
          </w:p>
        </w:tc>
        <w:tc>
          <w:tcPr>
            <w:tcW w:w="715" w:type="dxa"/>
            <w:tcBorders>
              <w:top w:val="single" w:color="auto" w:sz="4" w:space="0"/>
              <w:left w:val="single" w:color="auto" w:sz="4" w:space="0"/>
              <w:bottom w:val="single" w:color="auto" w:sz="4" w:space="0"/>
              <w:right w:val="single" w:color="auto" w:sz="4" w:space="0"/>
            </w:tcBorders>
            <w:noWrap w:val="0"/>
            <w:vAlign w:val="top"/>
          </w:tcPr>
          <w:p w14:paraId="39DAF873">
            <w:pPr>
              <w:snapToGrid w:val="0"/>
              <w:jc w:val="center"/>
              <w:rPr>
                <w:rFonts w:hint="eastAsia" w:ascii="仿宋" w:hAnsi="仿宋" w:eastAsia="仿宋"/>
                <w:color w:val="auto"/>
                <w:szCs w:val="21"/>
              </w:rPr>
            </w:pPr>
          </w:p>
        </w:tc>
        <w:tc>
          <w:tcPr>
            <w:tcW w:w="2093" w:type="dxa"/>
            <w:gridSpan w:val="3"/>
            <w:tcBorders>
              <w:top w:val="single" w:color="auto" w:sz="4" w:space="0"/>
              <w:left w:val="single" w:color="auto" w:sz="4" w:space="0"/>
              <w:bottom w:val="single" w:color="auto" w:sz="4" w:space="0"/>
              <w:right w:val="single" w:color="auto" w:sz="4" w:space="0"/>
            </w:tcBorders>
            <w:noWrap w:val="0"/>
            <w:vAlign w:val="center"/>
          </w:tcPr>
          <w:p w14:paraId="0ECABAC1">
            <w:pPr>
              <w:snapToGrid w:val="0"/>
              <w:jc w:val="center"/>
              <w:rPr>
                <w:rFonts w:hint="eastAsia" w:ascii="仿宋" w:hAnsi="仿宋" w:eastAsia="仿宋"/>
                <w:color w:val="auto"/>
                <w:szCs w:val="21"/>
              </w:rPr>
            </w:pP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14:paraId="69BB2A9D">
            <w:pPr>
              <w:snapToGrid w:val="0"/>
              <w:jc w:val="center"/>
              <w:rPr>
                <w:rFonts w:hint="eastAsia" w:ascii="仿宋" w:hAnsi="仿宋" w:eastAsia="仿宋"/>
                <w:color w:val="auto"/>
                <w:szCs w:val="21"/>
              </w:rPr>
            </w:pPr>
          </w:p>
        </w:tc>
        <w:tc>
          <w:tcPr>
            <w:tcW w:w="2804" w:type="dxa"/>
            <w:gridSpan w:val="2"/>
            <w:tcBorders>
              <w:top w:val="single" w:color="auto" w:sz="4" w:space="0"/>
              <w:left w:val="single" w:color="auto" w:sz="4" w:space="0"/>
              <w:bottom w:val="single" w:color="auto" w:sz="4" w:space="0"/>
              <w:right w:val="single" w:color="auto" w:sz="4" w:space="0"/>
            </w:tcBorders>
            <w:noWrap w:val="0"/>
            <w:vAlign w:val="center"/>
          </w:tcPr>
          <w:p w14:paraId="3DE5371C">
            <w:pPr>
              <w:snapToGrid w:val="0"/>
              <w:jc w:val="center"/>
              <w:rPr>
                <w:rFonts w:hint="eastAsia" w:ascii="仿宋" w:hAnsi="仿宋" w:eastAsia="仿宋"/>
                <w:color w:val="auto"/>
                <w:szCs w:val="21"/>
              </w:rPr>
            </w:pPr>
          </w:p>
        </w:tc>
      </w:tr>
      <w:tr w14:paraId="27056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752" w:type="dxa"/>
            <w:gridSpan w:val="2"/>
            <w:tcBorders>
              <w:top w:val="single" w:color="auto" w:sz="4" w:space="0"/>
              <w:left w:val="single" w:color="auto" w:sz="4" w:space="0"/>
              <w:bottom w:val="single" w:color="auto" w:sz="4" w:space="0"/>
              <w:right w:val="single" w:color="auto" w:sz="4" w:space="0"/>
            </w:tcBorders>
            <w:noWrap w:val="0"/>
            <w:vAlign w:val="center"/>
          </w:tcPr>
          <w:p w14:paraId="00038A4C">
            <w:pPr>
              <w:snapToGrid w:val="0"/>
              <w:jc w:val="center"/>
              <w:rPr>
                <w:rFonts w:hint="eastAsia" w:ascii="仿宋" w:hAnsi="仿宋" w:eastAsia="仿宋"/>
                <w:color w:val="auto"/>
                <w:szCs w:val="21"/>
              </w:rPr>
            </w:pPr>
          </w:p>
        </w:tc>
        <w:tc>
          <w:tcPr>
            <w:tcW w:w="1403" w:type="dxa"/>
            <w:gridSpan w:val="2"/>
            <w:tcBorders>
              <w:top w:val="single" w:color="auto" w:sz="4" w:space="0"/>
              <w:left w:val="single" w:color="auto" w:sz="4" w:space="0"/>
              <w:bottom w:val="single" w:color="auto" w:sz="4" w:space="0"/>
              <w:right w:val="single" w:color="auto" w:sz="4" w:space="0"/>
            </w:tcBorders>
            <w:noWrap w:val="0"/>
            <w:vAlign w:val="center"/>
          </w:tcPr>
          <w:p w14:paraId="26D3E04E">
            <w:pPr>
              <w:snapToGrid w:val="0"/>
              <w:jc w:val="center"/>
              <w:rPr>
                <w:rFonts w:hint="eastAsia" w:ascii="仿宋" w:hAnsi="仿宋" w:eastAsia="仿宋"/>
                <w:color w:val="auto"/>
                <w:szCs w:val="21"/>
              </w:rPr>
            </w:pPr>
          </w:p>
        </w:tc>
        <w:tc>
          <w:tcPr>
            <w:tcW w:w="715" w:type="dxa"/>
            <w:tcBorders>
              <w:top w:val="single" w:color="auto" w:sz="4" w:space="0"/>
              <w:left w:val="single" w:color="auto" w:sz="4" w:space="0"/>
              <w:bottom w:val="single" w:color="auto" w:sz="4" w:space="0"/>
              <w:right w:val="single" w:color="auto" w:sz="4" w:space="0"/>
            </w:tcBorders>
            <w:noWrap w:val="0"/>
            <w:vAlign w:val="top"/>
          </w:tcPr>
          <w:p w14:paraId="234D7070">
            <w:pPr>
              <w:snapToGrid w:val="0"/>
              <w:jc w:val="center"/>
              <w:rPr>
                <w:rFonts w:hint="eastAsia" w:ascii="仿宋" w:hAnsi="仿宋" w:eastAsia="仿宋"/>
                <w:color w:val="auto"/>
                <w:szCs w:val="21"/>
              </w:rPr>
            </w:pPr>
          </w:p>
        </w:tc>
        <w:tc>
          <w:tcPr>
            <w:tcW w:w="2093" w:type="dxa"/>
            <w:gridSpan w:val="3"/>
            <w:tcBorders>
              <w:top w:val="single" w:color="auto" w:sz="4" w:space="0"/>
              <w:left w:val="single" w:color="auto" w:sz="4" w:space="0"/>
              <w:bottom w:val="single" w:color="auto" w:sz="4" w:space="0"/>
              <w:right w:val="single" w:color="auto" w:sz="4" w:space="0"/>
            </w:tcBorders>
            <w:noWrap w:val="0"/>
            <w:vAlign w:val="center"/>
          </w:tcPr>
          <w:p w14:paraId="37C0037E">
            <w:pPr>
              <w:snapToGrid w:val="0"/>
              <w:jc w:val="center"/>
              <w:rPr>
                <w:rFonts w:hint="eastAsia" w:ascii="仿宋" w:hAnsi="仿宋" w:eastAsia="仿宋"/>
                <w:color w:val="auto"/>
                <w:szCs w:val="21"/>
              </w:rPr>
            </w:pPr>
          </w:p>
        </w:tc>
        <w:tc>
          <w:tcPr>
            <w:tcW w:w="2127" w:type="dxa"/>
            <w:gridSpan w:val="3"/>
            <w:tcBorders>
              <w:top w:val="single" w:color="auto" w:sz="4" w:space="0"/>
              <w:left w:val="single" w:color="auto" w:sz="4" w:space="0"/>
              <w:bottom w:val="single" w:color="auto" w:sz="4" w:space="0"/>
              <w:right w:val="single" w:color="auto" w:sz="4" w:space="0"/>
            </w:tcBorders>
            <w:noWrap w:val="0"/>
            <w:vAlign w:val="center"/>
          </w:tcPr>
          <w:p w14:paraId="3041AA80">
            <w:pPr>
              <w:snapToGrid w:val="0"/>
              <w:jc w:val="center"/>
              <w:rPr>
                <w:rFonts w:hint="eastAsia" w:ascii="仿宋" w:hAnsi="仿宋" w:eastAsia="仿宋"/>
                <w:color w:val="auto"/>
                <w:szCs w:val="21"/>
              </w:rPr>
            </w:pPr>
          </w:p>
        </w:tc>
        <w:tc>
          <w:tcPr>
            <w:tcW w:w="2804" w:type="dxa"/>
            <w:gridSpan w:val="2"/>
            <w:tcBorders>
              <w:top w:val="single" w:color="auto" w:sz="4" w:space="0"/>
              <w:left w:val="single" w:color="auto" w:sz="4" w:space="0"/>
              <w:bottom w:val="single" w:color="auto" w:sz="4" w:space="0"/>
              <w:right w:val="single" w:color="auto" w:sz="4" w:space="0"/>
            </w:tcBorders>
            <w:noWrap w:val="0"/>
            <w:vAlign w:val="center"/>
          </w:tcPr>
          <w:p w14:paraId="7E91D19C">
            <w:pPr>
              <w:snapToGrid w:val="0"/>
              <w:jc w:val="center"/>
              <w:rPr>
                <w:rFonts w:hint="eastAsia" w:ascii="仿宋" w:hAnsi="仿宋" w:eastAsia="仿宋"/>
                <w:color w:val="auto"/>
                <w:szCs w:val="21"/>
              </w:rPr>
            </w:pPr>
          </w:p>
        </w:tc>
      </w:tr>
    </w:tbl>
    <w:p w14:paraId="0C48E325">
      <w:pPr>
        <w:snapToGrid w:val="0"/>
        <w:jc w:val="center"/>
        <w:rPr>
          <w:rFonts w:hint="eastAsia" w:ascii="仿宋_GB2312" w:hAnsi="宋体" w:eastAsia="仿宋_GB2312"/>
          <w:b/>
          <w:color w:val="auto"/>
          <w:sz w:val="32"/>
          <w:szCs w:val="32"/>
        </w:rPr>
      </w:pPr>
    </w:p>
    <w:p w14:paraId="1ACD809D">
      <w:pPr>
        <w:ind w:firstLine="643" w:firstLineChars="200"/>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br w:type="page"/>
      </w:r>
      <w:r>
        <w:rPr>
          <w:rFonts w:hint="eastAsia" w:ascii="仿宋_GB2312" w:hAnsi="宋体" w:eastAsia="仿宋_GB2312"/>
          <w:b/>
          <w:bCs/>
          <w:color w:val="auto"/>
          <w:sz w:val="32"/>
          <w:szCs w:val="32"/>
        </w:rPr>
        <w:t>第七条　双方责任</w:t>
      </w:r>
    </w:p>
    <w:p w14:paraId="038C3D1F">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7.1 发包人责任：</w:t>
      </w:r>
    </w:p>
    <w:p w14:paraId="7C8E074E">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7.1.1 发包人按本合同第五条规定的内容，在规定的时间内向承包人提交基础资料及文件，并对其完整性、正确性及时限负责，发包人不得要求承包人违反国家有关标准进行设计。发包人提交上述资料及文件超过规定的期限在15个日历天以内的，承包人按合同第六条规定的交付设计文件时间顺延；发包人交付上述资料及文件超过规定的期限达15个日历天以上时，承包人有权要求重新确定提交设计文件的时间。</w:t>
      </w:r>
    </w:p>
    <w:p w14:paraId="7D0B6130">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7.1.2 发包人变更委托设计项目、规模、条件或因提交的资料错误，或对所提交资料作较大修改，以致造成承包人设计返工时，双方除需另行协商签订补充协议（或另订合同）、重新明确有关条款外，发包人应按承包人所耗工作量向承包人支付返工费。</w:t>
      </w:r>
    </w:p>
    <w:p w14:paraId="279BAD5B">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在未签订合同前发包人已同意，承包人为发包人所做的各项设计工作，发包人应支付相应设计费。</w:t>
      </w:r>
    </w:p>
    <w:p w14:paraId="4D21517D">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7.1.3 在合同履行期间，发包人要求终止或解除合同，承包人未开始设计工作的，不退还发包人已付的定金；已开始设计工作的，发包人应根据承包人已工作的实际量，不足一半时，按该阶段设计费的一半支付；超过一半时，按该阶段设计费的全部支付。</w:t>
      </w:r>
    </w:p>
    <w:p w14:paraId="7E25FCAA">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7.1.4 发包人必须按约定支付定金，未收到定金，承包人有权要求交付文件的时间顺延。</w:t>
      </w:r>
    </w:p>
    <w:p w14:paraId="3F12FDB0">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7.1.5 发包人逾期付款的应按当期应付金额的千分之三计付逾期违约金，且承包人提交设计文件的时间顺延。逾期超过30个工作日以上时，承包人有权暂停履行下阶段工作，并作书面通知发包人。</w:t>
      </w:r>
    </w:p>
    <w:p w14:paraId="32C4B9BA">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7.1.6 发包人要求承包人比合同规定时间提前交付设计资料及文件时，须征得承包人同意，不得严重背离合理设计周期，且发包人应支付赶工费。</w:t>
      </w:r>
    </w:p>
    <w:p w14:paraId="2350F6F3">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7.1.7 本合同项目停建或缓建的，发包人按承包人实际已完成的工作量按比例支付应付的设计费。</w:t>
      </w:r>
    </w:p>
    <w:p w14:paraId="1E682CD3">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7.1.8 发包人为承包人派驻现场的工作人员提供工作、生活及交通等方面的协助，费用由承包人负责。</w:t>
      </w:r>
    </w:p>
    <w:p w14:paraId="30FA901A">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7.2 承包人责任：</w:t>
      </w:r>
    </w:p>
    <w:p w14:paraId="7E2CED0F">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7.2.1 承包人应按国家技术规范、标准进行设计，按本合同第六条规定的内容、时间及份数向发包人交付设计文件（出现7.1.1、7.1.2、7.1.4、7.1.5规定有关交延的情况除外）。并对提交的设计文件的质量负责，保证能取得相关审批部门的批准或审核许可。设计文件中选用的国家标准图、部标准图及地方标准图由承包人负责提供。</w:t>
      </w:r>
    </w:p>
    <w:p w14:paraId="1A413545">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7.2.2承包人应在充分理解发包人建设意图及详细现场勘察结果基础上通过对勘察设计过程的严格控制及多方案的技术经济比较，确保方案技术可行、经济合理。</w:t>
      </w:r>
    </w:p>
    <w:p w14:paraId="0E97279A">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7.2.3设计合理使用年限为按规范要求。</w:t>
      </w:r>
    </w:p>
    <w:p w14:paraId="07985E8C">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7.2.4承包人对设计文件出现的遗漏或错误负责修改或补充。由于承包人错误造成工程质量事故损失，承包人除负责采取补救措施外，应免收直接受损失部分的设计费，损失严重的根据损失程度和承包人责任大小向发包人支付赔偿金，赔偿金由双方商定为实际受损失部分的50%，赔偿限额为勘察设计费的100%；若造成第三方损失，应依法向人民法院起诉，并根据判决结果承担责任。</w:t>
      </w:r>
    </w:p>
    <w:p w14:paraId="2B198BB6">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7.2.5由于承包人原因，延误了设计文件交付时间，每延误一天，应减收该项目应收设计费的千分之三，且发包人有权拒付应付之设计费至承包人停止违约时止。误期损害赔偿费的最高限额为最终合同价格的30%。逾期超过30天，发包人有权解除本合同，另行委托他人设计，向承包人追回其已付的全部设计费并要求承包人赔偿损失。</w:t>
      </w:r>
    </w:p>
    <w:p w14:paraId="5BC0E0BE">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7.2.6 合同生效后，承包人不得自行终止或解除合同。承包人要求终止或解除合同，承包人应双倍返还发包人已支付的定金。</w:t>
      </w:r>
    </w:p>
    <w:p w14:paraId="191F5073">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7.2.7 承包人应在施工期间按招标文件规定建立稳定的施工配合小组并配齐相关专业现场指导与监督人员。施工配合小组一旦确定，未经发包人同意不得调离。对不称职的人员，发包人有权要求撤换。如承包人远离施工现场，在施工期间不能保证每天到现场，应在施工现场附近设立设计代表处，及时解决设计上的问题。承包人须派一人（工程师以上职称）全过程跟踪设计过程。</w:t>
      </w:r>
    </w:p>
    <w:p w14:paraId="7A7F40BC">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7.2.8 承包人须保证项目负责人和各专业负责人自始至终亲自审核和签署本项目的设计文件，对设计质量负责，如不能履行，则发包人可取消合同，承包人须赔偿发包人的损失。</w:t>
      </w:r>
    </w:p>
    <w:p w14:paraId="45013EBC">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7.2.9 承包人交付设计文件后，按规定参加有关的设计审查(包括设计咨询和相关部门的审查等)，并根据审查结论负责对不超出原定范围的内容做必要调整补充。承包人按合同规定时限交付设计资料及文件，负责向发包人及施工单位进行设计交底、处理有关设计问题，并配合发包人做好施工图审查工作，按照有关规定参加施工过程的检查验收及竣工验收。承包人应积极配合发包人委托的设计咨询单位开展工作，接受设计咨询单位对勘察设计全过程的监督和审查。</w:t>
      </w:r>
    </w:p>
    <w:p w14:paraId="4E469892">
      <w:pPr>
        <w:pStyle w:val="3"/>
        <w:ind w:firstLine="57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7.2.10 因承包人设计文件出现遗漏或错误造成工程费用增加，增加费用占施工合同总价5～10%的，发包人按照增加费用占施工合同总价的比例相应扣减设计费，增加费用超过施工合同总价10%的，发包人将按照增加费用的比例双倍扣减设计费。因设计文件出现遗漏延误了设计文件交付时间，按本条第7.2.4款约定处理。</w:t>
      </w:r>
    </w:p>
    <w:p w14:paraId="5E775810">
      <w:pPr>
        <w:pStyle w:val="3"/>
        <w:ind w:firstLine="57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7.2.11承包人应积极配合发包人完成各阶段设计成果的征询及设计报建工作。</w:t>
      </w:r>
    </w:p>
    <w:p w14:paraId="4556547F">
      <w:pPr>
        <w:pStyle w:val="3"/>
        <w:ind w:firstLine="57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7.2.12承包人应负责按相关档案管理部门要求完成设计资料的整理、归档工作。</w:t>
      </w:r>
    </w:p>
    <w:p w14:paraId="1075B902">
      <w:pPr>
        <w:pStyle w:val="3"/>
        <w:ind w:firstLine="57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7.2.13 承包人应配专人配合发包人进行设计报建，并派专人进行设计资料送相关部门审查与审批，若承包人一次不配合，将扣合同款的1‰；2次不配合，将扣除合同款的2‰，依次累加。因承包人原因导致设计报建资料多次退件，每退件一次，扣合同款的1‰，依次累加，所扣款在合同结算时扣除。</w:t>
      </w:r>
    </w:p>
    <w:p w14:paraId="2BCE4A85">
      <w:pPr>
        <w:pStyle w:val="3"/>
        <w:ind w:firstLine="57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7.2.14 承包人应配合招投标工作并且根据工期要求配合现场施工；认真详尽地对建设地址的征地拆迁情况进行摸底，并按发包人要求的形式提交工作成果；确保后勤供给以及发包人管理人员使用交通工具的便利，以保证设计工作的顺利进行。</w:t>
      </w:r>
    </w:p>
    <w:p w14:paraId="661B010A">
      <w:pPr>
        <w:pStyle w:val="3"/>
        <w:ind w:firstLine="57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7.2.15 承包人应严格按照发包人“勘察设计工作考核管理细则”以及“勘察设计质量管理细则”（见附件）的要求与内容开展工作。</w:t>
      </w:r>
    </w:p>
    <w:p w14:paraId="75AB3502">
      <w:pPr>
        <w:pStyle w:val="3"/>
        <w:ind w:firstLine="57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7.2.16承包人需对勘察成果进行校对，如勘察成果出现错误造成设计工程量的变更，需承担连带责任。</w:t>
      </w:r>
    </w:p>
    <w:p w14:paraId="4A759F88">
      <w:pPr>
        <w:pStyle w:val="4"/>
        <w:spacing w:line="240" w:lineRule="auto"/>
        <w:ind w:firstLine="320"/>
        <w:rPr>
          <w:rFonts w:hint="eastAsia" w:ascii="仿宋_GB2312" w:hAnsi="宋体" w:eastAsia="仿宋_GB2312"/>
          <w:color w:val="auto"/>
          <w:kern w:val="2"/>
          <w:sz w:val="32"/>
          <w:szCs w:val="32"/>
        </w:rPr>
      </w:pPr>
    </w:p>
    <w:p w14:paraId="076B2BE1">
      <w:pPr>
        <w:pStyle w:val="4"/>
        <w:spacing w:line="240" w:lineRule="auto"/>
        <w:ind w:firstLine="643" w:firstLineChars="200"/>
        <w:rPr>
          <w:rFonts w:hint="eastAsia" w:ascii="仿宋_GB2312" w:hAnsi="宋体" w:eastAsia="仿宋_GB2312"/>
          <w:b/>
          <w:bCs/>
          <w:color w:val="auto"/>
          <w:kern w:val="2"/>
          <w:sz w:val="32"/>
          <w:szCs w:val="32"/>
        </w:rPr>
      </w:pPr>
      <w:r>
        <w:rPr>
          <w:rFonts w:hint="eastAsia" w:ascii="仿宋_GB2312" w:hAnsi="宋体" w:eastAsia="仿宋_GB2312"/>
          <w:b/>
          <w:bCs/>
          <w:color w:val="auto"/>
          <w:kern w:val="2"/>
          <w:sz w:val="32"/>
          <w:szCs w:val="32"/>
        </w:rPr>
        <w:t>第八条  其它约定事项：</w:t>
      </w:r>
    </w:p>
    <w:p w14:paraId="5E3823BB">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8.1 发包人要求承包人派专人长期驻施工现场进行配合与解决有关问题时，承包人应无条件执行。</w:t>
      </w:r>
    </w:p>
    <w:p w14:paraId="6523D810">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8.2 承包人为本合同项目的服务至工程竣工验收合格为止。</w:t>
      </w:r>
    </w:p>
    <w:p w14:paraId="19DD5131">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8.3 本工程项目中，承包人不得指定建筑材料、设备的生产厂或供货商。发包人需要承包人配合建筑材料、设备的加工订货时，所需费用由发包人承担。</w:t>
      </w:r>
    </w:p>
    <w:p w14:paraId="2115208C">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8.4 发包人委托承包人承担本合同内容以外的工作服务，另行签订协议并支付费用。</w:t>
      </w:r>
    </w:p>
    <w:p w14:paraId="2E56699A">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8.5 由于不可抗力因素致使合同无法履行时，双方应及时协商解决。</w:t>
      </w:r>
    </w:p>
    <w:p w14:paraId="6AB228C7">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8.6 发包人要求本工程按照经批复的可研估算总投资进行限额设计，承包人未经发包人书面同意突破投资限额进行设计，承包人须无偿对设计文件重新修改，交付设计文件时间不予顺延。</w:t>
      </w:r>
    </w:p>
    <w:p w14:paraId="0E1C2FF7">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8.7 承包人须按相关职能部门报审要求提供设计成果，送规划门的有关图纸电子文件须被规划部门检测合格，提供设计成果时一并提供检测合同的电子文件及检测的有关证明资料。</w:t>
      </w:r>
    </w:p>
    <w:p w14:paraId="0CF6FAD3">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8.8本合同价已包含施工阶段设计变更所发生的设计费用以及配合发包人进行设计报建、工程招标、施工等工作的费用。在工程施工过程中，发包人提前书面通知承包人，设计项目负责人无故不到施工现场的，发包人将以每次罚3000元/人来扣款，其它专业承包人无故不到施工现场的，以每次罚1500元/人来扣款。发包人书面通知承包人进行变更设计，在限期内承包人不提供设计变更图纸与资料，逾期1天，发包人将按合同价2%来扣款，依次累计。</w:t>
      </w:r>
    </w:p>
    <w:p w14:paraId="4EAADB44">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8.9 进入施工阶段后，因承包人原因导致建筑工期延误，从延误之日开始每日对承包人按设计费总额计收3‰的违约金并且赔偿委托人的损失。</w:t>
      </w:r>
    </w:p>
    <w:p w14:paraId="7148D3EB">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8.10 承包人必须配合项目建设过程中有关报建工作、必须配合竣工资料编制工作。</w:t>
      </w:r>
    </w:p>
    <w:p w14:paraId="2FE4A6CC">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8.11 本合同项下的标的物的知识产权归发包人所有。</w:t>
      </w:r>
    </w:p>
    <w:p w14:paraId="02C8719B">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8.12 承包人要加强沿线的摸查工作，特别是对建（构）筑物、水网、路网、管线情况要真实反映实况，如由于现场调查不足和收集资料错误，导致需变更设计而增加工程造价或影响工期的，发包人有权要求承包人返工并赔偿相应的损失。</w:t>
      </w:r>
    </w:p>
    <w:p w14:paraId="10EBB02F">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8.13工程施工完成后，承包人须按发包人要求在项目使用期间提供项目跟踪服务。对因设计原因或道路情况重大改变，设计成果不能满足道路需求时，承包人须根据交管部门书面意见作出设计调整或变更。</w:t>
      </w:r>
    </w:p>
    <w:p w14:paraId="70037197">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8.14超出设计招标范围的设计是否由承包人设计需由发包人认可，因规划调整及上级行政主管部门认为立交系统暂缓时发包人可取消该部分设计（已实施费用由双方协商解决）。</w:t>
      </w:r>
    </w:p>
    <w:p w14:paraId="3373B853">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8.15承包人需在广州市设立办公场所，相关费用已包含在合同价中，发包人不另外支付。承包人在签订合同后5个工作日内须向发包人提供办公场所合法租赁合同或自有办公场所证明文件复印件，在限期内承包人不提供上述资料，每逾期1天，发包人将按合同价3‰扣款，逾期30</w:t>
      </w:r>
      <w:r>
        <w:rPr>
          <w:rFonts w:hint="eastAsia" w:ascii="仿宋_GB2312" w:hAnsi="宋体" w:eastAsia="仿宋_GB2312"/>
          <w:color w:val="auto"/>
          <w:sz w:val="32"/>
          <w:szCs w:val="32"/>
        </w:rPr>
        <w:t>个日历</w:t>
      </w:r>
      <w:r>
        <w:rPr>
          <w:rFonts w:hint="eastAsia" w:ascii="仿宋_GB2312" w:hAnsi="宋体" w:eastAsia="仿宋_GB2312"/>
          <w:color w:val="auto"/>
          <w:kern w:val="2"/>
          <w:sz w:val="32"/>
          <w:szCs w:val="32"/>
        </w:rPr>
        <w:t>天仍未能提供上述资料的，发包人有权终止合同，同时，承包人须赔偿发包人的一切损失。</w:t>
      </w:r>
    </w:p>
    <w:p w14:paraId="779050BB">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8.16承包人必须在初步设计评审会、施工招标交底会、图纸会审（开工前）及工程竣工验收会安排“投标申请表（投入人员承诺）”的所有人员参与会议，若没有按上述要求的，委托人有权按5000元一个人次进行罚款。</w:t>
      </w:r>
    </w:p>
    <w:p w14:paraId="1EF49F74">
      <w:pPr>
        <w:pStyle w:val="3"/>
        <w:ind w:firstLine="640" w:firstLineChars="200"/>
        <w:rPr>
          <w:rFonts w:hint="eastAsia" w:ascii="仿宋_GB2312" w:hAnsi="宋体" w:eastAsia="仿宋_GB2312"/>
          <w:color w:val="auto"/>
          <w:kern w:val="2"/>
          <w:sz w:val="32"/>
          <w:szCs w:val="32"/>
        </w:rPr>
      </w:pPr>
      <w:r>
        <w:rPr>
          <w:rFonts w:hint="eastAsia" w:ascii="仿宋_GB2312" w:hAnsi="宋体" w:eastAsia="仿宋_GB2312"/>
          <w:color w:val="auto"/>
          <w:kern w:val="2"/>
          <w:sz w:val="32"/>
          <w:szCs w:val="32"/>
        </w:rPr>
        <w:t>8.17承包人需执行《番禺区财政性投资建设项目工程变更管理规定》中的相关规定。</w:t>
      </w:r>
    </w:p>
    <w:p w14:paraId="26320402">
      <w:pPr>
        <w:pStyle w:val="3"/>
        <w:ind w:firstLine="640" w:firstLineChars="200"/>
        <w:rPr>
          <w:rFonts w:hint="eastAsia" w:ascii="仿宋_GB2312" w:hAnsi="宋体" w:eastAsia="仿宋_GB2312"/>
          <w:color w:val="auto"/>
          <w:kern w:val="2"/>
          <w:sz w:val="32"/>
          <w:szCs w:val="32"/>
        </w:rPr>
        <w:sectPr>
          <w:headerReference r:id="rId3" w:type="default"/>
          <w:footerReference r:id="rId4" w:type="default"/>
          <w:endnotePr>
            <w:numFmt w:val="decimal"/>
          </w:endnotePr>
          <w:pgSz w:w="11906" w:h="16838"/>
          <w:pgMar w:top="1418" w:right="737" w:bottom="851" w:left="737" w:header="0" w:footer="1044" w:gutter="0"/>
          <w:cols w:space="720" w:num="1"/>
          <w:docGrid w:linePitch="312" w:charSpace="0"/>
        </w:sectPr>
      </w:pPr>
    </w:p>
    <w:p w14:paraId="69611743">
      <w:pPr>
        <w:tabs>
          <w:tab w:val="left" w:pos="450"/>
        </w:tabs>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第三部分 勘察协议条款</w:t>
      </w:r>
    </w:p>
    <w:p w14:paraId="1E3E17D1">
      <w:pPr>
        <w:ind w:left="1" w:firstLine="480"/>
        <w:rPr>
          <w:rFonts w:hint="eastAsia" w:ascii="仿宋_GB2312" w:hAnsi="宋体" w:eastAsia="仿宋_GB2312"/>
          <w:b/>
          <w:color w:val="auto"/>
          <w:sz w:val="32"/>
          <w:szCs w:val="32"/>
        </w:rPr>
      </w:pPr>
    </w:p>
    <w:p w14:paraId="3C3C1AF3">
      <w:pPr>
        <w:ind w:left="1" w:firstLine="636" w:firstLineChars="199"/>
        <w:rPr>
          <w:rFonts w:hint="eastAsia" w:ascii="仿宋_GB2312" w:hAnsi="宋体" w:eastAsia="仿宋_GB2312"/>
          <w:color w:val="auto"/>
          <w:sz w:val="32"/>
          <w:szCs w:val="32"/>
        </w:rPr>
      </w:pPr>
      <w:r>
        <w:rPr>
          <w:rFonts w:hint="eastAsia" w:ascii="仿宋_GB2312" w:hAnsi="宋体" w:eastAsia="仿宋_GB2312"/>
          <w:b/>
          <w:color w:val="auto"/>
          <w:sz w:val="32"/>
          <w:szCs w:val="32"/>
        </w:rPr>
        <w:t>第一条</w:t>
      </w:r>
      <w:r>
        <w:rPr>
          <w:rFonts w:hint="eastAsia" w:ascii="仿宋_GB2312" w:hAnsi="宋体" w:eastAsia="仿宋_GB2312"/>
          <w:b/>
          <w:bCs/>
          <w:color w:val="auto"/>
          <w:sz w:val="32"/>
          <w:szCs w:val="32"/>
        </w:rPr>
        <w:t>：勘察内容</w:t>
      </w:r>
    </w:p>
    <w:p w14:paraId="2EBC1022">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1.1勘察任务和内容：工程测量（包括但不限于初测、定测实施工作和编制工程测量报告等内容）、物探（含管线）、地质勘察（含岩土）等；工程测量的内容包括控制测量，地形测量、地下管线探测等；工程地质勘察包括地质调查、测绘、勘探、测试、室内试验等各项工作。</w:t>
      </w:r>
    </w:p>
    <w:p w14:paraId="72B99C40">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1.2 承接方式：按实际工作量进行计价结算。</w:t>
      </w:r>
    </w:p>
    <w:p w14:paraId="1E81C3A8">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1.3勘察工作量：勘察工作量以审定后勘察方案为依据，实际工作量进行计算。</w:t>
      </w:r>
    </w:p>
    <w:p w14:paraId="124C53A9">
      <w:pPr>
        <w:ind w:left="1" w:firstLine="480"/>
        <w:rPr>
          <w:rFonts w:hint="eastAsia" w:ascii="仿宋_GB2312" w:hAnsi="宋体" w:eastAsia="仿宋_GB2312"/>
          <w:b/>
          <w:color w:val="auto"/>
          <w:sz w:val="32"/>
          <w:szCs w:val="32"/>
        </w:rPr>
      </w:pPr>
    </w:p>
    <w:p w14:paraId="4366FC27">
      <w:pPr>
        <w:ind w:left="1" w:firstLine="636" w:firstLineChars="199"/>
        <w:rPr>
          <w:rFonts w:hint="eastAsia" w:ascii="仿宋_GB2312" w:hAnsi="宋体" w:eastAsia="仿宋_GB2312"/>
          <w:color w:val="auto"/>
          <w:sz w:val="32"/>
          <w:szCs w:val="32"/>
        </w:rPr>
      </w:pPr>
      <w:r>
        <w:rPr>
          <w:rFonts w:hint="eastAsia" w:ascii="仿宋_GB2312" w:hAnsi="宋体" w:eastAsia="仿宋_GB2312"/>
          <w:b/>
          <w:color w:val="auto"/>
          <w:sz w:val="32"/>
          <w:szCs w:val="32"/>
        </w:rPr>
        <w:t>第二条</w:t>
      </w:r>
      <w:r>
        <w:rPr>
          <w:rFonts w:hint="eastAsia" w:ascii="仿宋_GB2312" w:hAnsi="宋体" w:eastAsia="仿宋_GB2312"/>
          <w:color w:val="auto"/>
          <w:sz w:val="32"/>
          <w:szCs w:val="32"/>
        </w:rPr>
        <w:t>：</w:t>
      </w:r>
      <w:r>
        <w:rPr>
          <w:rFonts w:hint="eastAsia" w:ascii="仿宋_GB2312" w:hAnsi="宋体" w:eastAsia="仿宋_GB2312"/>
          <w:b/>
          <w:bCs/>
          <w:color w:val="auto"/>
          <w:sz w:val="32"/>
          <w:szCs w:val="32"/>
        </w:rPr>
        <w:t>发包人应及时向承包人提供下列文件资料，并对其准确性、可靠性负责。</w:t>
      </w:r>
    </w:p>
    <w:p w14:paraId="64FA0A88">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2.1 提供本工程批准文件（复印件），以及用地（附红线范围）、施工、勘察许可等文件（复印件）。</w:t>
      </w:r>
    </w:p>
    <w:p w14:paraId="1A9AC943">
      <w:pPr>
        <w:ind w:left="1" w:firstLine="640" w:firstLineChars="200"/>
        <w:rPr>
          <w:rFonts w:hint="eastAsia" w:ascii="仿宋_GB2312" w:hAnsi="宋体" w:eastAsia="仿宋_GB2312"/>
          <w:b/>
          <w:color w:val="auto"/>
          <w:sz w:val="32"/>
          <w:szCs w:val="32"/>
        </w:rPr>
      </w:pPr>
      <w:r>
        <w:rPr>
          <w:rFonts w:hint="eastAsia" w:ascii="仿宋_GB2312" w:hAnsi="宋体" w:eastAsia="仿宋_GB2312"/>
          <w:color w:val="auto"/>
          <w:sz w:val="32"/>
          <w:szCs w:val="32"/>
        </w:rPr>
        <w:t>2.2 提供工程勘察任务技术要求和工作范围的地形图、总平面布置图。</w:t>
      </w:r>
    </w:p>
    <w:p w14:paraId="1415B648">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2.3 提供勘察工作范围已有的技术资料及工程所需的坐标与标高资料。</w:t>
      </w:r>
    </w:p>
    <w:p w14:paraId="2EF953E7">
      <w:pPr>
        <w:ind w:left="1" w:firstLine="480" w:firstLineChars="150"/>
        <w:rPr>
          <w:rFonts w:hint="eastAsia" w:ascii="仿宋_GB2312" w:hAnsi="宋体" w:eastAsia="仿宋_GB2312"/>
          <w:color w:val="auto"/>
          <w:sz w:val="32"/>
          <w:szCs w:val="32"/>
        </w:rPr>
      </w:pPr>
    </w:p>
    <w:p w14:paraId="4529C55B">
      <w:pPr>
        <w:ind w:left="1" w:firstLine="480" w:firstLineChars="150"/>
        <w:rPr>
          <w:rFonts w:hint="eastAsia" w:ascii="仿宋_GB2312" w:hAnsi="宋体" w:eastAsia="仿宋_GB2312"/>
          <w:b/>
          <w:bCs/>
          <w:color w:val="auto"/>
          <w:sz w:val="32"/>
          <w:szCs w:val="32"/>
        </w:rPr>
      </w:pPr>
      <w:r>
        <w:rPr>
          <w:rFonts w:hint="eastAsia" w:ascii="仿宋_GB2312" w:hAnsi="宋体" w:eastAsia="仿宋_GB2312"/>
          <w:b/>
          <w:color w:val="auto"/>
          <w:sz w:val="32"/>
          <w:szCs w:val="32"/>
        </w:rPr>
        <w:t>第三条</w:t>
      </w:r>
      <w:r>
        <w:rPr>
          <w:rFonts w:hint="eastAsia" w:ascii="仿宋_GB2312" w:hAnsi="宋体" w:eastAsia="仿宋_GB2312"/>
          <w:color w:val="auto"/>
          <w:sz w:val="32"/>
          <w:szCs w:val="32"/>
        </w:rPr>
        <w:t>：</w:t>
      </w:r>
      <w:r>
        <w:rPr>
          <w:rFonts w:hint="eastAsia" w:ascii="仿宋_GB2312" w:hAnsi="宋体" w:eastAsia="仿宋_GB2312"/>
          <w:b/>
          <w:bCs/>
          <w:color w:val="auto"/>
          <w:sz w:val="32"/>
          <w:szCs w:val="32"/>
        </w:rPr>
        <w:t>承包人向发包人提交勘察成果资料并对质量负责。</w:t>
      </w:r>
    </w:p>
    <w:p w14:paraId="20036424">
      <w:pPr>
        <w:ind w:left="1" w:firstLine="480"/>
        <w:rPr>
          <w:rFonts w:hint="eastAsia" w:ascii="仿宋_GB2312" w:hAnsi="宋体" w:eastAsia="仿宋_GB2312"/>
          <w:color w:val="auto"/>
          <w:sz w:val="32"/>
          <w:szCs w:val="32"/>
        </w:rPr>
      </w:pPr>
      <w:r>
        <w:rPr>
          <w:rFonts w:hint="eastAsia" w:ascii="仿宋_GB2312" w:hAnsi="宋体" w:eastAsia="仿宋_GB2312"/>
          <w:color w:val="auto"/>
          <w:sz w:val="32"/>
          <w:szCs w:val="32"/>
        </w:rPr>
        <w:t>承包人负责向发包人提交各项勘察成果资料各十份。</w:t>
      </w:r>
    </w:p>
    <w:p w14:paraId="111885DA">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承包人的物探、测量、地质勘察报告附图同时提供广州坐标、广州2000坐标的图纸。</w:t>
      </w:r>
    </w:p>
    <w:p w14:paraId="0C0ACD5A">
      <w:pPr>
        <w:ind w:left="1" w:firstLine="480"/>
        <w:rPr>
          <w:rFonts w:hint="eastAsia" w:ascii="仿宋_GB2312" w:hAnsi="宋体" w:eastAsia="仿宋_GB2312"/>
          <w:b/>
          <w:bCs/>
          <w:color w:val="auto"/>
          <w:sz w:val="32"/>
          <w:szCs w:val="32"/>
        </w:rPr>
      </w:pPr>
      <w:r>
        <w:rPr>
          <w:rFonts w:hint="eastAsia" w:ascii="仿宋_GB2312" w:hAnsi="宋体" w:eastAsia="仿宋_GB2312"/>
          <w:b/>
          <w:color w:val="auto"/>
          <w:sz w:val="32"/>
          <w:szCs w:val="32"/>
        </w:rPr>
        <w:t>第四条</w:t>
      </w:r>
      <w:r>
        <w:rPr>
          <w:rFonts w:hint="eastAsia" w:ascii="仿宋_GB2312" w:hAnsi="宋体" w:eastAsia="仿宋_GB2312"/>
          <w:b/>
          <w:bCs/>
          <w:color w:val="auto"/>
          <w:sz w:val="32"/>
          <w:szCs w:val="32"/>
        </w:rPr>
        <w:t>：开工及提交勘察成果资料的时间和收费标准、结算及付费方式</w:t>
      </w:r>
    </w:p>
    <w:p w14:paraId="5841F2D5">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4.1 开工及提交勘察成果资料的时间</w:t>
      </w:r>
    </w:p>
    <w:p w14:paraId="2F7C9094">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4.1.1 </w:t>
      </w:r>
      <w:r>
        <w:rPr>
          <w:rFonts w:ascii="仿宋_GB2312" w:hAnsi="宋体" w:eastAsia="仿宋_GB2312"/>
          <w:color w:val="auto"/>
          <w:sz w:val="32"/>
          <w:szCs w:val="32"/>
        </w:rPr>
        <w:t>合同签订后10日内完成工程勘察(初勘)、工程测量（包括但不限于初测实施工作和编制工程测量报告等内容）、工程物探并提交成果；各方案通过审查后25工作日内，完成工程勘察(详勘)并提交成果</w:t>
      </w:r>
      <w:r>
        <w:rPr>
          <w:rFonts w:hint="eastAsia" w:ascii="仿宋_GB2312" w:hAnsi="宋体" w:eastAsia="仿宋_GB2312"/>
          <w:color w:val="auto"/>
          <w:sz w:val="32"/>
          <w:szCs w:val="32"/>
        </w:rPr>
        <w:t>；</w:t>
      </w:r>
      <w:r>
        <w:rPr>
          <w:rFonts w:ascii="仿宋_GB2312" w:hAnsi="宋体" w:eastAsia="仿宋_GB2312"/>
          <w:color w:val="auto"/>
          <w:sz w:val="32"/>
          <w:szCs w:val="32"/>
        </w:rPr>
        <w:t>初步设计评审后10日内，完成工程实测工作并提交成果。</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89"/>
        <w:gridCol w:w="2350"/>
        <w:gridCol w:w="808"/>
        <w:gridCol w:w="2283"/>
        <w:gridCol w:w="2203"/>
      </w:tblGrid>
      <w:tr w14:paraId="35B61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trHeight w:val="622" w:hRule="atLeast"/>
          <w:jc w:val="center"/>
        </w:trPr>
        <w:tc>
          <w:tcPr>
            <w:tcW w:w="889" w:type="dxa"/>
            <w:noWrap w:val="0"/>
            <w:vAlign w:val="top"/>
          </w:tcPr>
          <w:p w14:paraId="3E685A68">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序号</w:t>
            </w:r>
          </w:p>
        </w:tc>
        <w:tc>
          <w:tcPr>
            <w:tcW w:w="2350" w:type="dxa"/>
            <w:noWrap w:val="0"/>
            <w:vAlign w:val="center"/>
          </w:tcPr>
          <w:p w14:paraId="5927CB0B">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资料及文件名称</w:t>
            </w:r>
          </w:p>
        </w:tc>
        <w:tc>
          <w:tcPr>
            <w:tcW w:w="808" w:type="dxa"/>
            <w:noWrap w:val="0"/>
            <w:vAlign w:val="top"/>
          </w:tcPr>
          <w:p w14:paraId="375D5973">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份数</w:t>
            </w:r>
          </w:p>
        </w:tc>
        <w:tc>
          <w:tcPr>
            <w:tcW w:w="2283" w:type="dxa"/>
            <w:noWrap w:val="0"/>
            <w:vAlign w:val="center"/>
          </w:tcPr>
          <w:p w14:paraId="07FEC9E8">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提交日期</w:t>
            </w:r>
          </w:p>
        </w:tc>
        <w:tc>
          <w:tcPr>
            <w:tcW w:w="2203" w:type="dxa"/>
            <w:noWrap w:val="0"/>
            <w:vAlign w:val="center"/>
          </w:tcPr>
          <w:p w14:paraId="72F13FFA">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有关事宜</w:t>
            </w:r>
          </w:p>
        </w:tc>
      </w:tr>
      <w:tr w14:paraId="685D4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9" w:hRule="atLeast"/>
          <w:jc w:val="center"/>
        </w:trPr>
        <w:tc>
          <w:tcPr>
            <w:tcW w:w="889" w:type="dxa"/>
            <w:noWrap w:val="0"/>
            <w:vAlign w:val="center"/>
          </w:tcPr>
          <w:p w14:paraId="733EEB6E">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1</w:t>
            </w:r>
          </w:p>
        </w:tc>
        <w:tc>
          <w:tcPr>
            <w:tcW w:w="2350" w:type="dxa"/>
            <w:noWrap w:val="0"/>
            <w:vAlign w:val="center"/>
          </w:tcPr>
          <w:p w14:paraId="408A69E6">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测量</w:t>
            </w:r>
          </w:p>
        </w:tc>
        <w:tc>
          <w:tcPr>
            <w:tcW w:w="808" w:type="dxa"/>
            <w:noWrap w:val="0"/>
            <w:vAlign w:val="center"/>
          </w:tcPr>
          <w:p w14:paraId="2AAF7DFD">
            <w:pPr>
              <w:spacing w:line="520" w:lineRule="exact"/>
              <w:jc w:val="center"/>
              <w:rPr>
                <w:rFonts w:ascii="仿宋_GB2312" w:hAnsi="宋体" w:eastAsia="仿宋_GB2312"/>
                <w:color w:val="auto"/>
                <w:sz w:val="32"/>
                <w:szCs w:val="32"/>
              </w:rPr>
            </w:pPr>
            <w:r>
              <w:rPr>
                <w:rFonts w:hint="eastAsia" w:ascii="仿宋_GB2312" w:hAnsi="宋体" w:eastAsia="仿宋_GB2312"/>
                <w:color w:val="auto"/>
                <w:sz w:val="32"/>
                <w:szCs w:val="32"/>
              </w:rPr>
              <w:t>15</w:t>
            </w:r>
          </w:p>
        </w:tc>
        <w:tc>
          <w:tcPr>
            <w:tcW w:w="2283" w:type="dxa"/>
            <w:vMerge w:val="restart"/>
            <w:noWrap w:val="0"/>
            <w:vAlign w:val="center"/>
          </w:tcPr>
          <w:p w14:paraId="3D6359AB">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合同签订后10日内</w:t>
            </w:r>
          </w:p>
        </w:tc>
        <w:tc>
          <w:tcPr>
            <w:tcW w:w="2203" w:type="dxa"/>
            <w:vMerge w:val="restart"/>
            <w:noWrap w:val="0"/>
            <w:vAlign w:val="center"/>
          </w:tcPr>
          <w:p w14:paraId="64F976CA">
            <w:pPr>
              <w:spacing w:line="520" w:lineRule="exact"/>
              <w:rPr>
                <w:rFonts w:hint="eastAsia" w:ascii="仿宋_GB2312" w:hAnsi="宋体" w:eastAsia="仿宋_GB2312"/>
                <w:color w:val="auto"/>
                <w:sz w:val="32"/>
                <w:szCs w:val="32"/>
              </w:rPr>
            </w:pPr>
            <w:r>
              <w:rPr>
                <w:rFonts w:hint="eastAsia" w:ascii="仿宋_GB2312" w:hAnsi="宋体" w:eastAsia="仿宋_GB2312"/>
                <w:color w:val="auto"/>
                <w:sz w:val="32"/>
                <w:szCs w:val="32"/>
              </w:rPr>
              <w:t>所提供资料含WORD、CAD及PDF电子文件。归档资料按照发包人档案室要求提供。</w:t>
            </w:r>
          </w:p>
        </w:tc>
      </w:tr>
      <w:tr w14:paraId="4E94B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jc w:val="center"/>
        </w:trPr>
        <w:tc>
          <w:tcPr>
            <w:tcW w:w="889" w:type="dxa"/>
            <w:noWrap w:val="0"/>
            <w:vAlign w:val="center"/>
          </w:tcPr>
          <w:p w14:paraId="2C4CA090">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2</w:t>
            </w:r>
          </w:p>
        </w:tc>
        <w:tc>
          <w:tcPr>
            <w:tcW w:w="2350" w:type="dxa"/>
            <w:noWrap w:val="0"/>
            <w:vAlign w:val="center"/>
          </w:tcPr>
          <w:p w14:paraId="11D7F860">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物探（含管线）</w:t>
            </w:r>
          </w:p>
        </w:tc>
        <w:tc>
          <w:tcPr>
            <w:tcW w:w="808" w:type="dxa"/>
            <w:noWrap w:val="0"/>
            <w:vAlign w:val="center"/>
          </w:tcPr>
          <w:p w14:paraId="3ED100FB">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15</w:t>
            </w:r>
          </w:p>
        </w:tc>
        <w:tc>
          <w:tcPr>
            <w:tcW w:w="2283" w:type="dxa"/>
            <w:vMerge w:val="continue"/>
            <w:noWrap w:val="0"/>
            <w:vAlign w:val="center"/>
          </w:tcPr>
          <w:p w14:paraId="5FEE16C3">
            <w:pPr>
              <w:spacing w:line="520" w:lineRule="exact"/>
              <w:rPr>
                <w:rFonts w:hint="eastAsia" w:ascii="仿宋_GB2312" w:hAnsi="宋体" w:eastAsia="仿宋_GB2312"/>
                <w:color w:val="auto"/>
                <w:sz w:val="32"/>
                <w:szCs w:val="32"/>
              </w:rPr>
            </w:pPr>
          </w:p>
        </w:tc>
        <w:tc>
          <w:tcPr>
            <w:tcW w:w="2203" w:type="dxa"/>
            <w:vMerge w:val="continue"/>
            <w:noWrap w:val="0"/>
            <w:vAlign w:val="top"/>
          </w:tcPr>
          <w:p w14:paraId="44D3133D">
            <w:pPr>
              <w:spacing w:line="520" w:lineRule="exact"/>
              <w:rPr>
                <w:rFonts w:hint="eastAsia" w:ascii="仿宋_GB2312" w:hAnsi="宋体" w:eastAsia="仿宋_GB2312"/>
                <w:color w:val="auto"/>
                <w:sz w:val="32"/>
                <w:szCs w:val="32"/>
              </w:rPr>
            </w:pPr>
          </w:p>
        </w:tc>
      </w:tr>
      <w:tr w14:paraId="10008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849" w:hRule="atLeast"/>
          <w:jc w:val="center"/>
        </w:trPr>
        <w:tc>
          <w:tcPr>
            <w:tcW w:w="889" w:type="dxa"/>
            <w:noWrap w:val="0"/>
            <w:vAlign w:val="center"/>
          </w:tcPr>
          <w:p w14:paraId="5100A61D">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3</w:t>
            </w:r>
          </w:p>
        </w:tc>
        <w:tc>
          <w:tcPr>
            <w:tcW w:w="2350" w:type="dxa"/>
            <w:noWrap w:val="0"/>
            <w:vAlign w:val="center"/>
          </w:tcPr>
          <w:p w14:paraId="0B723F8A">
            <w:pPr>
              <w:spacing w:line="520" w:lineRule="exact"/>
              <w:jc w:val="center"/>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地质勘察（含岩土）、补勘</w:t>
            </w:r>
            <w:r>
              <w:rPr>
                <w:rFonts w:hint="eastAsia" w:ascii="仿宋_GB2312" w:hAnsi="宋体" w:eastAsia="仿宋_GB2312"/>
                <w:color w:val="auto"/>
                <w:sz w:val="32"/>
                <w:szCs w:val="32"/>
                <w:lang w:eastAsia="zh-CN"/>
              </w:rPr>
              <w:t>等</w:t>
            </w:r>
          </w:p>
        </w:tc>
        <w:tc>
          <w:tcPr>
            <w:tcW w:w="808" w:type="dxa"/>
            <w:noWrap w:val="0"/>
            <w:vAlign w:val="center"/>
          </w:tcPr>
          <w:p w14:paraId="6992AFB9">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15</w:t>
            </w:r>
          </w:p>
        </w:tc>
        <w:tc>
          <w:tcPr>
            <w:tcW w:w="2283" w:type="dxa"/>
            <w:noWrap w:val="0"/>
            <w:vAlign w:val="center"/>
          </w:tcPr>
          <w:p w14:paraId="03466761">
            <w:pPr>
              <w:spacing w:line="520" w:lineRule="exact"/>
              <w:rPr>
                <w:rFonts w:hint="eastAsia" w:ascii="仿宋_GB2312" w:hAnsi="宋体" w:eastAsia="仿宋_GB2312"/>
                <w:color w:val="auto"/>
                <w:sz w:val="32"/>
                <w:szCs w:val="32"/>
              </w:rPr>
            </w:pPr>
            <w:r>
              <w:rPr>
                <w:rFonts w:hint="eastAsia" w:ascii="仿宋_GB2312" w:hAnsi="宋体" w:eastAsia="仿宋_GB2312"/>
                <w:color w:val="auto"/>
                <w:sz w:val="32"/>
                <w:szCs w:val="32"/>
              </w:rPr>
              <w:t>各方案通过审查后25日内。</w:t>
            </w:r>
          </w:p>
        </w:tc>
        <w:tc>
          <w:tcPr>
            <w:tcW w:w="2203" w:type="dxa"/>
            <w:vMerge w:val="continue"/>
            <w:noWrap w:val="0"/>
            <w:vAlign w:val="top"/>
          </w:tcPr>
          <w:p w14:paraId="2B46A352">
            <w:pPr>
              <w:spacing w:line="520" w:lineRule="exact"/>
              <w:rPr>
                <w:rFonts w:hint="eastAsia" w:ascii="仿宋_GB2312" w:hAnsi="宋体" w:eastAsia="仿宋_GB2312"/>
                <w:color w:val="auto"/>
                <w:sz w:val="32"/>
                <w:szCs w:val="32"/>
              </w:rPr>
            </w:pPr>
          </w:p>
        </w:tc>
      </w:tr>
      <w:tr w14:paraId="371E3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cantSplit/>
          <w:trHeight w:val="849" w:hRule="atLeast"/>
          <w:jc w:val="center"/>
        </w:trPr>
        <w:tc>
          <w:tcPr>
            <w:tcW w:w="889" w:type="dxa"/>
            <w:noWrap w:val="0"/>
            <w:vAlign w:val="center"/>
          </w:tcPr>
          <w:p w14:paraId="749E14A2">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4</w:t>
            </w:r>
          </w:p>
        </w:tc>
        <w:tc>
          <w:tcPr>
            <w:tcW w:w="2350" w:type="dxa"/>
            <w:noWrap w:val="0"/>
            <w:vAlign w:val="center"/>
          </w:tcPr>
          <w:p w14:paraId="2EC0D48A">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工程测量（定测）</w:t>
            </w:r>
          </w:p>
        </w:tc>
        <w:tc>
          <w:tcPr>
            <w:tcW w:w="808" w:type="dxa"/>
            <w:noWrap w:val="0"/>
            <w:vAlign w:val="center"/>
          </w:tcPr>
          <w:p w14:paraId="24D0F5DA">
            <w:pPr>
              <w:spacing w:line="520" w:lineRule="exact"/>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15</w:t>
            </w:r>
          </w:p>
        </w:tc>
        <w:tc>
          <w:tcPr>
            <w:tcW w:w="2283" w:type="dxa"/>
            <w:noWrap w:val="0"/>
            <w:vAlign w:val="center"/>
          </w:tcPr>
          <w:p w14:paraId="785CC85C">
            <w:pPr>
              <w:spacing w:line="520" w:lineRule="exact"/>
              <w:rPr>
                <w:rFonts w:hint="eastAsia" w:ascii="仿宋_GB2312" w:hAnsi="宋体" w:eastAsia="仿宋_GB2312"/>
                <w:color w:val="auto"/>
                <w:sz w:val="32"/>
                <w:szCs w:val="32"/>
              </w:rPr>
            </w:pPr>
            <w:r>
              <w:rPr>
                <w:rFonts w:hint="eastAsia" w:ascii="仿宋_GB2312" w:hAnsi="宋体" w:eastAsia="仿宋_GB2312"/>
                <w:color w:val="auto"/>
                <w:sz w:val="32"/>
                <w:szCs w:val="32"/>
              </w:rPr>
              <w:t>初步设计评审后10天内</w:t>
            </w:r>
          </w:p>
        </w:tc>
        <w:tc>
          <w:tcPr>
            <w:tcW w:w="2203" w:type="dxa"/>
            <w:vMerge w:val="continue"/>
            <w:noWrap w:val="0"/>
            <w:vAlign w:val="top"/>
          </w:tcPr>
          <w:p w14:paraId="060F527A">
            <w:pPr>
              <w:spacing w:line="520" w:lineRule="exact"/>
              <w:rPr>
                <w:rFonts w:hint="eastAsia" w:ascii="仿宋_GB2312" w:hAnsi="宋体" w:eastAsia="仿宋_GB2312"/>
                <w:color w:val="auto"/>
                <w:sz w:val="32"/>
                <w:szCs w:val="32"/>
              </w:rPr>
            </w:pPr>
          </w:p>
        </w:tc>
      </w:tr>
      <w:tr w14:paraId="54152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dxa"/>
          <w:wAfter w:w="0" w:type="dxa"/>
          <w:trHeight w:val="1238" w:hRule="atLeast"/>
          <w:jc w:val="center"/>
        </w:trPr>
        <w:tc>
          <w:tcPr>
            <w:tcW w:w="8533" w:type="dxa"/>
            <w:gridSpan w:val="5"/>
            <w:tcBorders>
              <w:bottom w:val="single" w:color="auto" w:sz="6" w:space="0"/>
            </w:tcBorders>
            <w:noWrap w:val="0"/>
            <w:vAlign w:val="center"/>
          </w:tcPr>
          <w:p w14:paraId="5EC6EEC3">
            <w:pPr>
              <w:spacing w:line="520" w:lineRule="exact"/>
              <w:ind w:left="1120" w:hanging="1120" w:hangingChars="350"/>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注：1.若发包人因工作需要，要求承包人提交中间成果的承包人应无条件提供。</w:t>
            </w:r>
          </w:p>
          <w:p w14:paraId="351F3536">
            <w:pPr>
              <w:spacing w:line="520" w:lineRule="exact"/>
              <w:ind w:left="1120" w:hanging="1120" w:hangingChars="350"/>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2.勘察工作如遇特殊情况（不可抗力影响及发包人原因造成停、窝工等）时，工期顺延。</w:t>
            </w:r>
          </w:p>
          <w:p w14:paraId="72304662">
            <w:pPr>
              <w:spacing w:line="520" w:lineRule="exact"/>
              <w:ind w:left="1040" w:leftChars="267" w:hanging="480" w:hangingChars="150"/>
              <w:rPr>
                <w:rFonts w:hint="eastAsia" w:ascii="仿宋_GB2312" w:hAnsi="宋体" w:eastAsia="仿宋_GB2312"/>
                <w:color w:val="auto"/>
                <w:sz w:val="32"/>
                <w:szCs w:val="32"/>
              </w:rPr>
            </w:pPr>
            <w:r>
              <w:rPr>
                <w:rFonts w:hint="eastAsia" w:ascii="仿宋_GB2312" w:hAnsi="宋体" w:eastAsia="仿宋_GB2312"/>
                <w:color w:val="auto"/>
                <w:sz w:val="32"/>
                <w:szCs w:val="32"/>
              </w:rPr>
              <w:t>3.勘察资料交付地点：广州市番禺区基本建设投资管理中心。</w:t>
            </w:r>
          </w:p>
          <w:p w14:paraId="01F95510">
            <w:pPr>
              <w:spacing w:line="520" w:lineRule="exact"/>
              <w:ind w:left="1040" w:leftChars="267" w:hanging="480" w:hangingChars="150"/>
              <w:rPr>
                <w:rFonts w:hint="eastAsia" w:ascii="仿宋_GB2312" w:hAnsi="宋体" w:eastAsia="仿宋_GB2312"/>
                <w:color w:val="auto"/>
                <w:sz w:val="32"/>
                <w:szCs w:val="32"/>
              </w:rPr>
            </w:pPr>
            <w:r>
              <w:rPr>
                <w:rFonts w:hint="eastAsia" w:ascii="仿宋_GB2312" w:hAnsi="宋体" w:eastAsia="仿宋_GB2312"/>
                <w:color w:val="auto"/>
                <w:sz w:val="32"/>
                <w:szCs w:val="32"/>
              </w:rPr>
              <w:t>4.为配合审查工作，承包单位须按审查要求提供相关资料。</w:t>
            </w:r>
          </w:p>
          <w:p w14:paraId="3373BEC5">
            <w:pPr>
              <w:spacing w:line="520" w:lineRule="exact"/>
              <w:ind w:left="1040" w:leftChars="267" w:hanging="480" w:hangingChars="150"/>
              <w:rPr>
                <w:rFonts w:hint="eastAsia" w:ascii="仿宋_GB2312" w:hAnsi="宋体" w:eastAsia="仿宋_GB2312"/>
                <w:color w:val="auto"/>
                <w:sz w:val="32"/>
                <w:szCs w:val="32"/>
              </w:rPr>
            </w:pPr>
            <w:r>
              <w:rPr>
                <w:rFonts w:hint="eastAsia" w:ascii="仿宋_GB2312" w:hAnsi="宋体" w:eastAsia="仿宋_GB2312"/>
                <w:color w:val="auto"/>
                <w:sz w:val="32"/>
                <w:szCs w:val="32"/>
              </w:rPr>
              <w:t>5.</w:t>
            </w:r>
            <w:r>
              <w:rPr>
                <w:rFonts w:hint="eastAsia"/>
                <w:color w:val="auto"/>
              </w:rPr>
              <w:t xml:space="preserve"> </w:t>
            </w:r>
            <w:r>
              <w:rPr>
                <w:rFonts w:hint="eastAsia" w:ascii="仿宋_GB2312" w:hAnsi="宋体" w:eastAsia="仿宋_GB2312"/>
                <w:color w:val="auto"/>
                <w:sz w:val="32"/>
                <w:szCs w:val="32"/>
              </w:rPr>
              <w:t>如果延误工期，承包人向发包人支付的误期损害赔偿费每天为最终合同价格的1%；误期损害赔偿费的最高限额为最终结算价格的30%。</w:t>
            </w:r>
          </w:p>
          <w:p w14:paraId="1DC36467">
            <w:pPr>
              <w:spacing w:line="520" w:lineRule="exact"/>
              <w:ind w:left="1040" w:leftChars="267" w:hanging="480" w:hangingChars="150"/>
              <w:rPr>
                <w:rFonts w:ascii="仿宋_GB2312" w:hAnsi="宋体" w:eastAsia="仿宋_GB2312"/>
                <w:color w:val="auto"/>
                <w:sz w:val="32"/>
                <w:szCs w:val="32"/>
              </w:rPr>
            </w:pPr>
            <w:r>
              <w:rPr>
                <w:rFonts w:hint="eastAsia" w:ascii="仿宋_GB2312" w:hAnsi="宋体" w:eastAsia="仿宋_GB2312"/>
                <w:color w:val="auto"/>
                <w:sz w:val="32"/>
                <w:szCs w:val="32"/>
              </w:rPr>
              <w:t>6.</w:t>
            </w:r>
            <w:r>
              <w:rPr>
                <w:rFonts w:hint="eastAsia" w:ascii="仿宋_GB2312" w:hAnsi="仿宋_GB2312" w:eastAsia="仿宋_GB2312" w:cs="仿宋_GB2312"/>
                <w:color w:val="auto"/>
                <w:sz w:val="32"/>
                <w:szCs w:val="32"/>
                <w:u w:val="single"/>
              </w:rPr>
              <w:t>关于深度5米范围内物探（含管线）类型必须准确，否则按勘察合同价30%在第二次付款时扣款</w:t>
            </w:r>
            <w:r>
              <w:rPr>
                <w:rFonts w:hint="eastAsia" w:ascii="仿宋_GB2312" w:hAnsi="宋体" w:eastAsia="仿宋_GB2312"/>
                <w:color w:val="auto"/>
                <w:sz w:val="32"/>
                <w:szCs w:val="32"/>
              </w:rPr>
              <w:t>。承包人所提交的物探成果超过一年期，发包人因应实际需求通知勘察人进场复核的，承包人应无条件配合。</w:t>
            </w:r>
          </w:p>
          <w:p w14:paraId="75DE0CCD">
            <w:pPr>
              <w:spacing w:line="520" w:lineRule="exact"/>
              <w:ind w:left="1040" w:leftChars="267" w:hanging="480" w:hangingChars="150"/>
              <w:rPr>
                <w:rFonts w:hint="eastAsia" w:ascii="仿宋_GB2312" w:hAnsi="宋体" w:eastAsia="仿宋_GB2312"/>
                <w:color w:val="auto"/>
                <w:sz w:val="32"/>
                <w:szCs w:val="32"/>
              </w:rPr>
            </w:pPr>
            <w:r>
              <w:rPr>
                <w:rFonts w:hint="eastAsia" w:ascii="仿宋_GB2312" w:hAnsi="宋体" w:eastAsia="仿宋_GB2312"/>
                <w:color w:val="auto"/>
                <w:sz w:val="32"/>
                <w:szCs w:val="32"/>
              </w:rPr>
              <w:t>7. 版权属发包人。</w:t>
            </w:r>
          </w:p>
        </w:tc>
      </w:tr>
    </w:tbl>
    <w:p w14:paraId="0BF14E9D">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4.1.2勘察工作开工前</w:t>
      </w:r>
      <w:r>
        <w:rPr>
          <w:rFonts w:hint="eastAsia" w:ascii="仿宋_GB2312" w:hAnsi="宋体" w:eastAsia="仿宋_GB2312"/>
          <w:color w:val="auto"/>
          <w:sz w:val="32"/>
          <w:szCs w:val="32"/>
          <w:u w:val="single"/>
        </w:rPr>
        <w:t>5天</w:t>
      </w:r>
      <w:r>
        <w:rPr>
          <w:rFonts w:hint="eastAsia" w:ascii="仿宋_GB2312" w:hAnsi="宋体" w:eastAsia="仿宋_GB2312"/>
          <w:color w:val="auto"/>
          <w:sz w:val="32"/>
          <w:szCs w:val="32"/>
        </w:rPr>
        <w:t>内，承包人送勘察（含测量、物探、钻探）方案给发包人审核，勘察方案经发包人审核同意后方可开工。</w:t>
      </w:r>
    </w:p>
    <w:p w14:paraId="11255A0E">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4.1.3 勘察工作有效期限以合同约定的时间为准，如遇特殊情况（设计变更、工作量变化、不可抗力影响以及发包人原因造成的停、窝工等）时，工期顺延。</w:t>
      </w:r>
    </w:p>
    <w:p w14:paraId="35DABA40">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4.2勘察费用</w:t>
      </w:r>
    </w:p>
    <w:p w14:paraId="3355FBF3">
      <w:pPr>
        <w:ind w:firstLine="614" w:firstLineChars="192"/>
        <w:rPr>
          <w:rFonts w:hint="eastAsia" w:ascii="仿宋_GB2312" w:hAnsi="宋体" w:eastAsia="仿宋_GB2312"/>
          <w:color w:val="auto"/>
          <w:sz w:val="32"/>
          <w:szCs w:val="32"/>
        </w:rPr>
      </w:pPr>
      <w:r>
        <w:rPr>
          <w:rFonts w:hint="eastAsia" w:ascii="仿宋_GB2312" w:hAnsi="宋体" w:eastAsia="仿宋_GB2312"/>
          <w:color w:val="auto"/>
          <w:sz w:val="32"/>
          <w:szCs w:val="32"/>
        </w:rPr>
        <w:t>本合同勘察费暂定为</w:t>
      </w:r>
      <w:r>
        <w:rPr>
          <w:rFonts w:hint="eastAsia" w:ascii="仿宋_GB2312" w:hAnsi="宋体" w:eastAsia="仿宋_GB2312"/>
          <w:b/>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宋体" w:eastAsia="仿宋_GB2312"/>
          <w:color w:val="auto"/>
          <w:sz w:val="32"/>
          <w:szCs w:val="32"/>
        </w:rPr>
        <w:t>元(大写:人民币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宋体" w:eastAsia="仿宋_GB2312"/>
          <w:color w:val="auto"/>
          <w:sz w:val="32"/>
          <w:szCs w:val="32"/>
        </w:rPr>
        <w:t>)。</w:t>
      </w:r>
      <w:r>
        <w:rPr>
          <w:rFonts w:hint="eastAsia" w:ascii="仿宋_GB2312" w:hAnsi="宋体" w:eastAsia="仿宋_GB2312"/>
          <w:color w:val="auto"/>
          <w:sz w:val="32"/>
          <w:szCs w:val="32"/>
        </w:rPr>
        <w:t>本项目概算评审报告出具后，</w:t>
      </w:r>
      <w:r>
        <w:rPr>
          <w:rFonts w:hint="eastAsia" w:ascii="仿宋_GB2312" w:hAnsi="宋体" w:eastAsia="仿宋_GB2312"/>
          <w:color w:val="auto"/>
          <w:sz w:val="32"/>
          <w:szCs w:val="32"/>
          <w:lang w:eastAsia="zh-CN"/>
        </w:rPr>
        <w:t>将根据</w:t>
      </w:r>
      <w:r>
        <w:rPr>
          <w:rFonts w:hint="eastAsia" w:ascii="仿宋_GB2312" w:hAnsi="宋体" w:eastAsia="仿宋_GB2312"/>
          <w:color w:val="auto"/>
          <w:sz w:val="32"/>
          <w:szCs w:val="32"/>
        </w:rPr>
        <w:t>概算评审报告中勘察费</w:t>
      </w:r>
      <w:r>
        <w:rPr>
          <w:rFonts w:hint="eastAsia" w:ascii="仿宋_GB2312" w:hAnsi="宋体" w:eastAsia="仿宋_GB2312"/>
          <w:color w:val="auto"/>
          <w:sz w:val="32"/>
          <w:szCs w:val="32"/>
          <w:lang w:eastAsia="zh-CN"/>
        </w:rPr>
        <w:t>并结合投标下浮率下浮</w:t>
      </w:r>
      <w:r>
        <w:rPr>
          <w:rFonts w:hint="eastAsia" w:ascii="仿宋_GB2312" w:hAnsi="宋体" w:eastAsia="仿宋_GB2312"/>
          <w:color w:val="auto"/>
          <w:sz w:val="32"/>
          <w:szCs w:val="32"/>
        </w:rPr>
        <w:t>修订的勘察费合同价。</w:t>
      </w:r>
    </w:p>
    <w:p w14:paraId="36F6D625">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合同暂定价只作为合同签订后支付勘察费的依据，最终勘察费结算执行下列第4.3条规定。</w:t>
      </w:r>
    </w:p>
    <w:p w14:paraId="5DE10CB2">
      <w:pPr>
        <w:ind w:left="1" w:firstLine="707" w:firstLineChars="221"/>
        <w:rPr>
          <w:rFonts w:hint="eastAsia" w:ascii="仿宋_GB2312" w:hAnsi="宋体" w:eastAsia="仿宋_GB2312"/>
          <w:color w:val="auto"/>
          <w:sz w:val="32"/>
          <w:szCs w:val="32"/>
        </w:rPr>
      </w:pPr>
      <w:r>
        <w:rPr>
          <w:rFonts w:hint="eastAsia" w:ascii="仿宋_GB2312" w:hAnsi="宋体" w:eastAsia="仿宋_GB2312"/>
          <w:color w:val="auto"/>
          <w:sz w:val="32"/>
          <w:szCs w:val="32"/>
        </w:rPr>
        <w:t>4.3勘察费结算</w:t>
      </w:r>
    </w:p>
    <w:p w14:paraId="629AACAC">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①岩土工程勘察费用，</w:t>
      </w:r>
      <w:r>
        <w:rPr>
          <w:rFonts w:hint="eastAsia" w:ascii="仿宋_GB2312" w:hAnsi="宋体" w:eastAsia="仿宋_GB2312"/>
          <w:color w:val="auto"/>
          <w:sz w:val="32"/>
          <w:szCs w:val="32"/>
          <w:lang w:val="zh-CN"/>
        </w:rPr>
        <w:t>参照广东省工程勘察设计行业协会2019年4月12日印发的《房屋建筑和市政基础设施工程设计收费导则》中所附的《工程勘察设计收费标准》（2002年修订本）标准计算</w:t>
      </w:r>
      <w:r>
        <w:rPr>
          <w:rFonts w:hint="eastAsia" w:ascii="仿宋_GB2312" w:hAnsi="宋体" w:eastAsia="仿宋_GB2312"/>
          <w:color w:val="auto"/>
          <w:sz w:val="32"/>
          <w:szCs w:val="32"/>
          <w:u w:val="single"/>
          <w:lang w:val="zh-CN"/>
        </w:rPr>
        <w:t>下浮20%后再下浮</w:t>
      </w:r>
      <w:r>
        <w:rPr>
          <w:rFonts w:hint="eastAsia" w:ascii="宋体" w:hAnsi="宋体" w:eastAsia="宋体" w:cs="宋体"/>
          <w:color w:val="auto"/>
          <w:sz w:val="24"/>
          <w:szCs w:val="24"/>
          <w:highlight w:val="none"/>
          <w:u w:val="single"/>
          <w:lang w:val="en-US" w:eastAsia="zh-CN"/>
        </w:rPr>
        <w:t xml:space="preserve">  </w:t>
      </w:r>
      <w:r>
        <w:rPr>
          <w:rFonts w:hint="eastAsia" w:ascii="仿宋_GB2312" w:hAnsi="宋体" w:eastAsia="仿宋_GB2312"/>
          <w:color w:val="auto"/>
          <w:sz w:val="32"/>
          <w:szCs w:val="32"/>
          <w:u w:val="single"/>
          <w:lang w:val="zh-CN"/>
        </w:rPr>
        <w:t>%（投标下浮率）结算</w:t>
      </w:r>
      <w:r>
        <w:rPr>
          <w:rFonts w:hint="eastAsia" w:ascii="仿宋_GB2312" w:hAnsi="宋体" w:eastAsia="仿宋_GB2312"/>
          <w:color w:val="auto"/>
          <w:sz w:val="32"/>
          <w:szCs w:val="32"/>
        </w:rPr>
        <w:t>。在合同实施期间岩土工程勘察费按实际完成工作量调整，但费率浮动幅度不变。</w:t>
      </w:r>
    </w:p>
    <w:p w14:paraId="74EE670D">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②工程测量费，</w:t>
      </w:r>
      <w:r>
        <w:rPr>
          <w:rFonts w:hint="eastAsia" w:ascii="仿宋_GB2312" w:hAnsi="宋体" w:eastAsia="仿宋_GB2312"/>
          <w:color w:val="auto"/>
          <w:sz w:val="32"/>
          <w:szCs w:val="32"/>
          <w:lang w:val="zh-CN"/>
        </w:rPr>
        <w:t>参照广东省工程勘察设计行业协会2019年4月12日印发的《房屋建筑和市政基础设施工程设计收费导则》中所附的《工程勘察设计收费标准》（2002年修订本）标准计算</w:t>
      </w:r>
      <w:r>
        <w:rPr>
          <w:rFonts w:hint="eastAsia" w:ascii="仿宋_GB2312" w:hAnsi="宋体" w:eastAsia="仿宋_GB2312"/>
          <w:color w:val="auto"/>
          <w:sz w:val="32"/>
          <w:szCs w:val="32"/>
          <w:u w:val="single"/>
          <w:lang w:val="zh-CN"/>
        </w:rPr>
        <w:t>下浮20%后再下浮</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宋体" w:eastAsia="仿宋_GB2312"/>
          <w:color w:val="auto"/>
          <w:sz w:val="32"/>
          <w:szCs w:val="32"/>
          <w:u w:val="single"/>
          <w:lang w:val="zh-CN"/>
        </w:rPr>
        <w:t>%（投标下浮率）结算</w:t>
      </w:r>
      <w:r>
        <w:rPr>
          <w:rFonts w:hint="eastAsia" w:ascii="仿宋_GB2312" w:hAnsi="宋体" w:eastAsia="仿宋_GB2312"/>
          <w:color w:val="auto"/>
          <w:sz w:val="32"/>
          <w:szCs w:val="32"/>
        </w:rPr>
        <w:t>。在合同实施期间工程测量费按实际完成工作量调整，但费率浮动幅度不变。</w:t>
      </w:r>
    </w:p>
    <w:p w14:paraId="21D51F6D">
      <w:pPr>
        <w:ind w:left="1" w:firstLine="480"/>
        <w:rPr>
          <w:rFonts w:hint="eastAsia" w:ascii="仿宋_GB2312" w:hAnsi="宋体" w:eastAsia="仿宋_GB2312"/>
          <w:color w:val="auto"/>
          <w:sz w:val="32"/>
          <w:szCs w:val="32"/>
        </w:rPr>
      </w:pPr>
      <w:r>
        <w:rPr>
          <w:rFonts w:hint="eastAsia" w:ascii="仿宋_GB2312" w:hAnsi="宋体" w:eastAsia="仿宋_GB2312"/>
          <w:color w:val="auto"/>
          <w:sz w:val="32"/>
          <w:szCs w:val="32"/>
        </w:rPr>
        <w:t>③工程物探（含管线探测）费，</w:t>
      </w:r>
      <w:r>
        <w:rPr>
          <w:rFonts w:hint="eastAsia" w:ascii="仿宋_GB2312" w:hAnsi="宋体" w:eastAsia="仿宋_GB2312"/>
          <w:color w:val="auto"/>
          <w:sz w:val="32"/>
          <w:szCs w:val="32"/>
          <w:lang w:val="zh-CN"/>
        </w:rPr>
        <w:t>参照广东省工程勘察设计行业协会2019年4月12日印发的《房屋建筑和市政基础设施工程设计收费导则》中所附的《工程勘察设计收费标准》（2002年修订本）标准计算</w:t>
      </w:r>
      <w:r>
        <w:rPr>
          <w:rFonts w:hint="eastAsia" w:ascii="仿宋_GB2312" w:hAnsi="宋体" w:eastAsia="仿宋_GB2312"/>
          <w:color w:val="auto"/>
          <w:sz w:val="32"/>
          <w:szCs w:val="32"/>
          <w:u w:val="single"/>
          <w:lang w:val="zh-CN"/>
        </w:rPr>
        <w:t>下浮20%后再下浮</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宋体" w:eastAsia="仿宋_GB2312"/>
          <w:color w:val="auto"/>
          <w:sz w:val="32"/>
          <w:szCs w:val="32"/>
          <w:u w:val="single"/>
          <w:lang w:val="zh-CN"/>
        </w:rPr>
        <w:t>%（投标下浮率）结算</w:t>
      </w:r>
      <w:r>
        <w:rPr>
          <w:rFonts w:hint="eastAsia" w:ascii="仿宋_GB2312" w:hAnsi="宋体" w:eastAsia="仿宋_GB2312"/>
          <w:color w:val="auto"/>
          <w:sz w:val="32"/>
          <w:szCs w:val="32"/>
        </w:rPr>
        <w:t>。</w:t>
      </w:r>
      <w:r>
        <w:rPr>
          <w:rFonts w:hint="eastAsia" w:ascii="仿宋_GB2312" w:eastAsia="仿宋_GB2312"/>
          <w:color w:val="auto"/>
          <w:sz w:val="32"/>
          <w:szCs w:val="32"/>
        </w:rPr>
        <w:t>同一管沟，相同种类的管线只按延长公里计费一次；同一管沟，不同种类的管线，可分别计费。</w:t>
      </w:r>
      <w:r>
        <w:rPr>
          <w:rFonts w:hint="eastAsia" w:ascii="仿宋_GB2312" w:hAnsi="宋体" w:eastAsia="仿宋_GB2312"/>
          <w:color w:val="auto"/>
          <w:sz w:val="32"/>
          <w:szCs w:val="32"/>
        </w:rPr>
        <w:t>在合同实施期间工程物探费按实际完成工作量调整，但费率浮动幅度不变。</w:t>
      </w:r>
    </w:p>
    <w:p w14:paraId="20727A64">
      <w:pPr>
        <w:ind w:left="1" w:firstLine="707" w:firstLineChars="221"/>
        <w:rPr>
          <w:rFonts w:hint="eastAsia" w:ascii="仿宋_GB2312" w:hAnsi="宋体" w:eastAsia="仿宋_GB2312"/>
          <w:color w:val="auto"/>
          <w:sz w:val="32"/>
          <w:szCs w:val="32"/>
        </w:rPr>
      </w:pPr>
      <w:r>
        <w:rPr>
          <w:rFonts w:hint="eastAsia" w:ascii="仿宋_GB2312" w:hAnsi="宋体" w:eastAsia="仿宋_GB2312"/>
          <w:color w:val="auto"/>
          <w:sz w:val="32"/>
          <w:szCs w:val="32"/>
        </w:rPr>
        <w:t>以上费用均已包括所有实物工作收费、技术工作收费、税金、临时占用土地、青苗补偿、交通工具费用、修筑钻机通行简易道路、海事通航维护及影响勘察施工正常进行发生的有关费用等全部费用。</w:t>
      </w:r>
    </w:p>
    <w:p w14:paraId="5D4C6CB8">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4.4 付费方式</w:t>
      </w:r>
    </w:p>
    <w:p w14:paraId="4C005624">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4.4.1工程勘察费分期支付，若承包人为联合体，勘察费由发包人统一支付给主办单位。</w:t>
      </w:r>
    </w:p>
    <w:p w14:paraId="618A8355">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4.4.2合同生效后，承包人提交经审核通过的《勘察设计工作大纲》和完整支付申请资料交发包人送番禺区财政部门审批同意后十五个工作日内，发包人向承包人支付合同暂定勘察费的15%作为预付款，计</w:t>
      </w:r>
      <w:r>
        <w:rPr>
          <w:rFonts w:hint="eastAsia" w:ascii="仿宋_GB2312" w:hAnsi="宋体" w:eastAsia="仿宋_GB2312"/>
          <w:b/>
          <w:color w:val="auto"/>
          <w:sz w:val="32"/>
          <w:szCs w:val="32"/>
        </w:rPr>
        <w:t>¥</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宋体" w:eastAsia="仿宋_GB2312"/>
          <w:color w:val="auto"/>
          <w:sz w:val="32"/>
          <w:szCs w:val="32"/>
        </w:rPr>
        <w:t>元,本合同结算时，预付款抵作勘察费）。</w:t>
      </w:r>
    </w:p>
    <w:p w14:paraId="314F8715">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4.4.3</w:t>
      </w:r>
      <w:r>
        <w:rPr>
          <w:rFonts w:hint="eastAsia" w:ascii="仿宋_GB2312" w:hAnsi="仿宋_GB2312" w:eastAsia="仿宋_GB2312" w:cs="仿宋_GB2312"/>
          <w:color w:val="auto"/>
          <w:sz w:val="32"/>
          <w:szCs w:val="32"/>
          <w:u w:val="single"/>
        </w:rPr>
        <w:t>测量阶段和勘察阶段竣工并在承包人提交成果、概算经评审后，承包人提交完整支付申请资料交发包人送番禺区财政部门审批同意后十五个工作日内，发包人向承包人支付至经概算</w:t>
      </w:r>
      <w:r>
        <w:rPr>
          <w:rFonts w:hint="eastAsia" w:ascii="仿宋_GB2312" w:hAnsi="仿宋_GB2312" w:eastAsia="仿宋_GB2312" w:cs="仿宋_GB2312"/>
          <w:color w:val="auto"/>
          <w:sz w:val="32"/>
          <w:szCs w:val="32"/>
          <w:u w:val="single"/>
          <w:lang w:eastAsia="zh-CN"/>
        </w:rPr>
        <w:t>修订合同价的</w:t>
      </w:r>
      <w:r>
        <w:rPr>
          <w:rFonts w:hint="eastAsia" w:ascii="仿宋_GB2312" w:hAnsi="仿宋_GB2312" w:eastAsia="仿宋_GB2312" w:cs="仿宋_GB2312"/>
          <w:color w:val="auto"/>
          <w:sz w:val="32"/>
          <w:szCs w:val="32"/>
          <w:u w:val="single"/>
        </w:rPr>
        <w:t>65%，若有扣款，在此次支付时扣除</w:t>
      </w:r>
      <w:r>
        <w:rPr>
          <w:rFonts w:hint="eastAsia" w:ascii="仿宋_GB2312" w:hAnsi="宋体" w:eastAsia="仿宋_GB2312"/>
          <w:color w:val="auto"/>
          <w:sz w:val="32"/>
          <w:szCs w:val="32"/>
        </w:rPr>
        <w:t>。</w:t>
      </w:r>
    </w:p>
    <w:p w14:paraId="57588DD1">
      <w:pPr>
        <w:ind w:left="1" w:firstLine="640" w:firstLineChars="200"/>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4.4.4 工程竣工验收合格、勘察费经结算评审后，承包人提交完整支付申请资料交发包人送番禺区财政部门审批同意后十五个工作日内，发包人向承包人支付余款。</w:t>
      </w:r>
    </w:p>
    <w:p w14:paraId="3633C6B3">
      <w:pPr>
        <w:ind w:left="1" w:firstLine="640" w:firstLineChars="200"/>
        <w:rPr>
          <w:rFonts w:hint="eastAsia" w:ascii="仿宋_GB2312" w:hAnsi="宋体" w:eastAsia="仿宋_GB2312"/>
          <w:color w:val="auto"/>
          <w:sz w:val="32"/>
          <w:szCs w:val="32"/>
          <w:u w:val="single"/>
        </w:rPr>
      </w:pPr>
      <w:r>
        <w:rPr>
          <w:rFonts w:hint="eastAsia" w:ascii="仿宋_GB2312" w:hAnsi="宋体" w:eastAsia="仿宋_GB2312"/>
          <w:color w:val="auto"/>
          <w:sz w:val="32"/>
          <w:szCs w:val="32"/>
        </w:rPr>
        <w:t>4.4.5 发包人要求增加本合同约定以外文件份数时，承包人员收晒印工本费。发包人每月定期结算晒印工本费。晒印工本费单价如下：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1262"/>
        <w:gridCol w:w="1088"/>
        <w:gridCol w:w="1420"/>
        <w:gridCol w:w="1420"/>
        <w:gridCol w:w="1420"/>
      </w:tblGrid>
      <w:tr w14:paraId="3ECD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12" w:type="dxa"/>
            <w:noWrap w:val="0"/>
            <w:vAlign w:val="top"/>
          </w:tcPr>
          <w:p w14:paraId="0D2DB086">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纸张规格</w:t>
            </w:r>
          </w:p>
        </w:tc>
        <w:tc>
          <w:tcPr>
            <w:tcW w:w="1262" w:type="dxa"/>
            <w:noWrap w:val="0"/>
            <w:vAlign w:val="top"/>
          </w:tcPr>
          <w:p w14:paraId="01A49326">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A0</w:t>
            </w:r>
          </w:p>
        </w:tc>
        <w:tc>
          <w:tcPr>
            <w:tcW w:w="1088" w:type="dxa"/>
            <w:noWrap w:val="0"/>
            <w:vAlign w:val="top"/>
          </w:tcPr>
          <w:p w14:paraId="76C9184E">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A1</w:t>
            </w:r>
          </w:p>
        </w:tc>
        <w:tc>
          <w:tcPr>
            <w:tcW w:w="1420" w:type="dxa"/>
            <w:noWrap w:val="0"/>
            <w:vAlign w:val="top"/>
          </w:tcPr>
          <w:p w14:paraId="76889356">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A2</w:t>
            </w:r>
          </w:p>
        </w:tc>
        <w:tc>
          <w:tcPr>
            <w:tcW w:w="1420" w:type="dxa"/>
            <w:noWrap w:val="0"/>
            <w:vAlign w:val="top"/>
          </w:tcPr>
          <w:p w14:paraId="554645FF">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A3</w:t>
            </w:r>
          </w:p>
        </w:tc>
        <w:tc>
          <w:tcPr>
            <w:tcW w:w="1420" w:type="dxa"/>
            <w:noWrap w:val="0"/>
            <w:vAlign w:val="top"/>
          </w:tcPr>
          <w:p w14:paraId="0F221EAA">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A4</w:t>
            </w:r>
          </w:p>
        </w:tc>
      </w:tr>
      <w:tr w14:paraId="7679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12" w:type="dxa"/>
            <w:noWrap w:val="0"/>
            <w:vAlign w:val="top"/>
          </w:tcPr>
          <w:p w14:paraId="5774BC86">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单价（元/张）</w:t>
            </w:r>
          </w:p>
        </w:tc>
        <w:tc>
          <w:tcPr>
            <w:tcW w:w="1262" w:type="dxa"/>
            <w:noWrap w:val="0"/>
            <w:vAlign w:val="top"/>
          </w:tcPr>
          <w:p w14:paraId="0FC030A1">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6.00</w:t>
            </w:r>
          </w:p>
        </w:tc>
        <w:tc>
          <w:tcPr>
            <w:tcW w:w="1088" w:type="dxa"/>
            <w:noWrap w:val="0"/>
            <w:vAlign w:val="top"/>
          </w:tcPr>
          <w:p w14:paraId="6F4B7505">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3.00</w:t>
            </w:r>
          </w:p>
        </w:tc>
        <w:tc>
          <w:tcPr>
            <w:tcW w:w="1420" w:type="dxa"/>
            <w:noWrap w:val="0"/>
            <w:vAlign w:val="top"/>
          </w:tcPr>
          <w:p w14:paraId="72864CFB">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1.50</w:t>
            </w:r>
          </w:p>
        </w:tc>
        <w:tc>
          <w:tcPr>
            <w:tcW w:w="1420" w:type="dxa"/>
            <w:noWrap w:val="0"/>
            <w:vAlign w:val="top"/>
          </w:tcPr>
          <w:p w14:paraId="2C097EDE">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0.50</w:t>
            </w:r>
          </w:p>
        </w:tc>
        <w:tc>
          <w:tcPr>
            <w:tcW w:w="1420" w:type="dxa"/>
            <w:noWrap w:val="0"/>
            <w:vAlign w:val="top"/>
          </w:tcPr>
          <w:p w14:paraId="52C22D4E">
            <w:pPr>
              <w:jc w:val="center"/>
              <w:rPr>
                <w:rFonts w:hint="eastAsia" w:ascii="仿宋_GB2312" w:hAnsi="宋体" w:eastAsia="仿宋_GB2312"/>
                <w:color w:val="auto"/>
                <w:sz w:val="32"/>
                <w:szCs w:val="32"/>
              </w:rPr>
            </w:pPr>
            <w:r>
              <w:rPr>
                <w:rFonts w:hint="eastAsia" w:ascii="仿宋_GB2312" w:hAnsi="宋体" w:eastAsia="仿宋_GB2312"/>
                <w:color w:val="auto"/>
                <w:sz w:val="32"/>
                <w:szCs w:val="32"/>
              </w:rPr>
              <w:t>0.10</w:t>
            </w:r>
          </w:p>
        </w:tc>
      </w:tr>
    </w:tbl>
    <w:p w14:paraId="17430245">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4.4.6 双方委托银行代收代付有关费用。</w:t>
      </w:r>
    </w:p>
    <w:p w14:paraId="66CD7E47">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4.4.7详见《勘察设计质量管理细则》及《勘察设计工作考核管理细则》。</w:t>
      </w:r>
    </w:p>
    <w:p w14:paraId="7F2A236E">
      <w:pPr>
        <w:ind w:left="1" w:firstLine="480"/>
        <w:rPr>
          <w:rFonts w:hint="eastAsia" w:ascii="仿宋_GB2312" w:hAnsi="宋体" w:eastAsia="仿宋_GB2312"/>
          <w:color w:val="auto"/>
          <w:sz w:val="32"/>
          <w:szCs w:val="32"/>
        </w:rPr>
      </w:pPr>
    </w:p>
    <w:p w14:paraId="739D5AAE">
      <w:pPr>
        <w:ind w:left="1" w:firstLine="480"/>
        <w:rPr>
          <w:rFonts w:hint="eastAsia" w:ascii="仿宋_GB2312" w:hAnsi="宋体" w:eastAsia="仿宋_GB2312"/>
          <w:color w:val="auto"/>
          <w:sz w:val="32"/>
          <w:szCs w:val="32"/>
        </w:rPr>
      </w:pPr>
      <w:r>
        <w:rPr>
          <w:rFonts w:hint="eastAsia" w:ascii="仿宋_GB2312" w:hAnsi="宋体" w:eastAsia="仿宋_GB2312"/>
          <w:b/>
          <w:color w:val="auto"/>
          <w:sz w:val="32"/>
          <w:szCs w:val="32"/>
        </w:rPr>
        <w:t>第五条</w:t>
      </w:r>
      <w:r>
        <w:rPr>
          <w:rFonts w:hint="eastAsia" w:ascii="仿宋_GB2312" w:hAnsi="宋体" w:eastAsia="仿宋_GB2312"/>
          <w:color w:val="auto"/>
          <w:sz w:val="32"/>
          <w:szCs w:val="32"/>
        </w:rPr>
        <w:t>：</w:t>
      </w:r>
      <w:r>
        <w:rPr>
          <w:rFonts w:hint="eastAsia" w:ascii="仿宋_GB2312" w:hAnsi="宋体" w:eastAsia="仿宋_GB2312"/>
          <w:b/>
          <w:bCs/>
          <w:color w:val="auto"/>
          <w:sz w:val="32"/>
          <w:szCs w:val="32"/>
        </w:rPr>
        <w:t>发包人、承包人责任</w:t>
      </w:r>
    </w:p>
    <w:p w14:paraId="721EBCC1">
      <w:pPr>
        <w:ind w:left="1" w:firstLine="480"/>
        <w:outlineLvl w:val="0"/>
        <w:rPr>
          <w:rFonts w:hint="eastAsia" w:ascii="仿宋_GB2312" w:hAnsi="宋体" w:eastAsia="仿宋_GB2312"/>
          <w:color w:val="auto"/>
          <w:sz w:val="32"/>
          <w:szCs w:val="32"/>
        </w:rPr>
      </w:pPr>
      <w:r>
        <w:rPr>
          <w:rFonts w:hint="eastAsia" w:ascii="仿宋_GB2312" w:hAnsi="宋体" w:eastAsia="仿宋_GB2312"/>
          <w:color w:val="auto"/>
          <w:sz w:val="32"/>
          <w:szCs w:val="32"/>
        </w:rPr>
        <w:t>5.1 发包人责任</w:t>
      </w:r>
    </w:p>
    <w:p w14:paraId="522CBDC0">
      <w:pPr>
        <w:ind w:left="1" w:firstLine="480"/>
        <w:rPr>
          <w:rFonts w:hint="eastAsia" w:ascii="仿宋_GB2312" w:hAnsi="宋体" w:eastAsia="仿宋_GB2312"/>
          <w:color w:val="auto"/>
          <w:sz w:val="32"/>
          <w:szCs w:val="32"/>
        </w:rPr>
      </w:pPr>
      <w:r>
        <w:rPr>
          <w:rFonts w:hint="eastAsia" w:ascii="仿宋_GB2312" w:hAnsi="宋体" w:eastAsia="仿宋_GB2312"/>
          <w:color w:val="auto"/>
          <w:sz w:val="32"/>
          <w:szCs w:val="32"/>
        </w:rPr>
        <w:t>5.1.1 发包人委托任务时，必须以书面形式向承包人明确勘察任务及技术要求，并按第二条规定提供文件资料。</w:t>
      </w:r>
    </w:p>
    <w:p w14:paraId="06624E89">
      <w:pPr>
        <w:ind w:left="1" w:firstLine="482"/>
        <w:rPr>
          <w:rFonts w:hint="eastAsia" w:ascii="仿宋_GB2312" w:hAnsi="宋体" w:eastAsia="仿宋_GB2312"/>
          <w:color w:val="auto"/>
          <w:sz w:val="32"/>
          <w:szCs w:val="32"/>
        </w:rPr>
      </w:pPr>
      <w:r>
        <w:rPr>
          <w:rFonts w:hint="eastAsia" w:ascii="仿宋_GB2312" w:hAnsi="宋体" w:eastAsia="仿宋_GB2312"/>
          <w:color w:val="auto"/>
          <w:sz w:val="32"/>
          <w:szCs w:val="32"/>
        </w:rPr>
        <w:t>5.1.2 工程勘察前，若发包人负责提供施工用材料的，应根据承包人提出的工程用料计划，按时提供各种材料及其产品合格证明，并承担费用和运到现场，派人与承包人的人员一起验收。</w:t>
      </w:r>
    </w:p>
    <w:p w14:paraId="1DDB089F">
      <w:pPr>
        <w:ind w:left="1" w:firstLine="482"/>
        <w:rPr>
          <w:rFonts w:hint="eastAsia" w:ascii="仿宋_GB2312" w:hAnsi="宋体" w:eastAsia="仿宋_GB2312"/>
          <w:color w:val="auto"/>
          <w:sz w:val="32"/>
          <w:szCs w:val="32"/>
        </w:rPr>
      </w:pPr>
      <w:r>
        <w:rPr>
          <w:rFonts w:hint="eastAsia" w:ascii="仿宋_GB2312" w:hAnsi="宋体" w:eastAsia="仿宋_GB2312"/>
          <w:color w:val="auto"/>
          <w:sz w:val="32"/>
          <w:szCs w:val="32"/>
        </w:rPr>
        <w:t>5.1.3勘察过程中由发包人提出的变更，经办理正式变更手续后，发包人应按商定的金额支付增加的工作量的勘察费。</w:t>
      </w:r>
    </w:p>
    <w:p w14:paraId="47C84AF5">
      <w:pPr>
        <w:ind w:left="1" w:firstLine="482"/>
        <w:rPr>
          <w:rFonts w:hint="eastAsia" w:ascii="仿宋_GB2312" w:hAnsi="宋体" w:eastAsia="仿宋_GB2312"/>
          <w:color w:val="auto"/>
          <w:sz w:val="32"/>
          <w:szCs w:val="32"/>
        </w:rPr>
      </w:pPr>
      <w:r>
        <w:rPr>
          <w:rFonts w:hint="eastAsia" w:ascii="仿宋_GB2312" w:hAnsi="宋体" w:eastAsia="仿宋_GB2312"/>
          <w:color w:val="auto"/>
          <w:sz w:val="32"/>
          <w:szCs w:val="32"/>
        </w:rPr>
        <w:t>5.1.4 由于发包人原因造成承包人停、窝工，工期顺延。</w:t>
      </w:r>
    </w:p>
    <w:p w14:paraId="6BF76334">
      <w:pPr>
        <w:ind w:left="1" w:firstLine="482"/>
        <w:rPr>
          <w:rFonts w:hint="eastAsia" w:ascii="仿宋_GB2312" w:hAnsi="宋体" w:eastAsia="仿宋_GB2312"/>
          <w:color w:val="auto"/>
          <w:sz w:val="32"/>
          <w:szCs w:val="32"/>
        </w:rPr>
      </w:pPr>
      <w:r>
        <w:rPr>
          <w:rFonts w:hint="eastAsia" w:ascii="仿宋_GB2312" w:hAnsi="宋体" w:eastAsia="仿宋_GB2312"/>
          <w:color w:val="auto"/>
          <w:sz w:val="32"/>
          <w:szCs w:val="32"/>
        </w:rPr>
        <w:t>5.1.5 发包人应保护承包人的勘察方案、报告书、文件、资料图纸、数据、特殊工艺（方法）、专利技术和合理化建设，未经承包人同意，发包人不得复制、不得泄露、不得擅自修改、传送或向第三个转让或用于本合同外的项目；如发生上述情况，发包人应负法律责任，承包人有权索赔。</w:t>
      </w:r>
    </w:p>
    <w:p w14:paraId="208409D3">
      <w:pPr>
        <w:ind w:left="1" w:firstLine="482"/>
        <w:rPr>
          <w:rFonts w:hint="eastAsia" w:ascii="仿宋_GB2312" w:hAnsi="宋体" w:eastAsia="仿宋_GB2312"/>
          <w:color w:val="auto"/>
          <w:sz w:val="32"/>
          <w:szCs w:val="32"/>
        </w:rPr>
      </w:pPr>
      <w:r>
        <w:rPr>
          <w:rFonts w:hint="eastAsia" w:ascii="仿宋_GB2312" w:hAnsi="宋体" w:eastAsia="仿宋_GB2312"/>
          <w:color w:val="auto"/>
          <w:sz w:val="32"/>
          <w:szCs w:val="32"/>
        </w:rPr>
        <w:t>5.1.6 本合同有关条款规定和补充协议中发包人应负的其它责任。</w:t>
      </w:r>
    </w:p>
    <w:p w14:paraId="38B6E7DF">
      <w:pPr>
        <w:ind w:left="1" w:firstLine="482"/>
        <w:outlineLvl w:val="0"/>
        <w:rPr>
          <w:rFonts w:hint="eastAsia" w:ascii="仿宋_GB2312" w:hAnsi="宋体" w:eastAsia="仿宋_GB2312"/>
          <w:color w:val="auto"/>
          <w:sz w:val="32"/>
          <w:szCs w:val="32"/>
        </w:rPr>
      </w:pPr>
      <w:r>
        <w:rPr>
          <w:rFonts w:hint="eastAsia" w:ascii="仿宋_GB2312" w:hAnsi="宋体" w:eastAsia="仿宋_GB2312"/>
          <w:color w:val="auto"/>
          <w:sz w:val="32"/>
          <w:szCs w:val="32"/>
        </w:rPr>
        <w:t>5.2 承包人责任</w:t>
      </w:r>
    </w:p>
    <w:p w14:paraId="0D1DFF3B">
      <w:pPr>
        <w:ind w:left="1" w:firstLine="482"/>
        <w:rPr>
          <w:rFonts w:hint="eastAsia" w:ascii="仿宋_GB2312" w:hAnsi="宋体" w:eastAsia="仿宋_GB2312"/>
          <w:color w:val="auto"/>
          <w:sz w:val="32"/>
          <w:szCs w:val="32"/>
        </w:rPr>
      </w:pPr>
      <w:r>
        <w:rPr>
          <w:rFonts w:hint="eastAsia" w:ascii="仿宋_GB2312" w:hAnsi="宋体" w:eastAsia="仿宋_GB2312"/>
          <w:color w:val="auto"/>
          <w:sz w:val="32"/>
          <w:szCs w:val="32"/>
        </w:rPr>
        <w:t>5.2.1承包人应按国家技术规范、标准、规程、本合同的约定、设计单位技术要求编制勘察方案，经设计单位、发包人审定后的勘察方案进行勘察工作。测量控制点埋设应按《城市测量规范》要求埋设，测量方案须经发包人确认方可实施。按本合同规定的时间提交质量合格的勘察成果资料，并对其负责。</w:t>
      </w:r>
    </w:p>
    <w:p w14:paraId="3C5F5A5B">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5.2.2 承包人须保证项目负责人和各专业负责人自始至终亲自审核和签署本项目的勘察文件，对勘察质量负责，如不能履行，则发包人可取消合同，承包人须赔偿发包人的损失。</w:t>
      </w:r>
    </w:p>
    <w:p w14:paraId="403D5790">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5.2.3 所有岩样均应放入统一规格的岩样盒内，岩样盒上应注明钻孔编号，各岩性变化处均应标明相应深度，并现场拍照，上述图片均应附在勘察报告中。</w:t>
      </w:r>
    </w:p>
    <w:p w14:paraId="2EB855F9">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5.2.4 承包人应加强钻探现场岩样的保护工作，未经发包人或发包人指定人员现场查验，不得自行处理。</w:t>
      </w:r>
    </w:p>
    <w:p w14:paraId="669AE2ED">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5.2.5 承包人自行解决勘察现场的工作条件和出现的问题。</w:t>
      </w:r>
    </w:p>
    <w:p w14:paraId="572457A7">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5.2.6由于承包人提供的勘察成果资料质量不合格，承包人应负责无偿给予补充完善使其达到质量合格；若承包人无力补充完善，需另委托其他单位时，承包人应承担全部勘察费用；或因勘察成果与实际不符而造成重大经济损失或工程事故时，承包人除应负法律责任和免收直接受损失部分的勘察费外，并向发包人赔偿直接经济损失的50%，赔偿限额为勘察设计费的100%；若勘察成果与现场不符，实际钻孔数或钻孔深度不符，将按不符的每孔扣勘察费2%；若造成第三方损失，应依法向人民法院起诉，并根据判决结果承担责任。</w:t>
      </w:r>
    </w:p>
    <w:p w14:paraId="49D53C28">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5.2.7 在工程勘察前，派人与发包人的人员一起</w:t>
      </w:r>
      <w:r>
        <w:rPr>
          <w:rFonts w:hint="eastAsia" w:ascii="仿宋_GB2312" w:hAnsi="宋体" w:eastAsia="仿宋_GB2312"/>
          <w:color w:val="auto"/>
          <w:sz w:val="32"/>
          <w:szCs w:val="32"/>
          <w:lang w:val="zh-CN"/>
        </w:rPr>
        <w:t>现场踏勘，进行项目用地放线标识，并用无人机进行拍摄成影像资料提供给发包人；同时</w:t>
      </w:r>
      <w:r>
        <w:rPr>
          <w:rFonts w:hint="eastAsia" w:ascii="仿宋_GB2312" w:hAnsi="宋体" w:eastAsia="仿宋_GB2312"/>
          <w:color w:val="auto"/>
          <w:sz w:val="32"/>
          <w:szCs w:val="32"/>
        </w:rPr>
        <w:t>验收发包人提供的材料。</w:t>
      </w:r>
    </w:p>
    <w:p w14:paraId="33CD6956">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5.2.8 勘察过程中，根据工程的岩土工程条件（或工作现场地形地貌、地岳和水文地质条件）及技术规范要求，向发包人提出增减工作量或修改勘察工作的意见，并在发包人同意的前提下办理正式变更手续。</w:t>
      </w:r>
    </w:p>
    <w:p w14:paraId="0E4FAE42">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5.2.9由承包人收集勘察工作范围地下已有埋藏物的资料（如电力、电讯电缆、各种管道、人防设施、洞室等）及具体位置分布图。</w:t>
      </w:r>
    </w:p>
    <w:p w14:paraId="0E498B7E">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5.2.10 在现场工作的承包人的人员，应遵守发包人的安全保卫及其有关的规章制度，承担其有关资料保密义务。</w:t>
      </w:r>
    </w:p>
    <w:p w14:paraId="793B80A2">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5.2.11 承包人负责占道、破路等报批工作，必须执行勘察占道预告、应急、救援联动机制，及时发布预警信息，保障安全生产预防和落实应急处理。</w:t>
      </w:r>
    </w:p>
    <w:p w14:paraId="680B10F0">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5.2.11.1若勘察占道，勘察单位负责在道路施工现场设置施工围蔽，并在围蔽上公示勘察单位名称及联系人电话。</w:t>
      </w:r>
    </w:p>
    <w:p w14:paraId="015F64C1">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5.2.11.2 勘察单位负责对因勘察占道施工，道路路面开裂发生、发展情况的监测、预报和预警工作。</w:t>
      </w:r>
    </w:p>
    <w:p w14:paraId="5697564E">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5.2.11.3. 勘察单位配合预警响应，协调配合有关单位开展路面局部小型塌陷时间应急处置工作，及时收集、报告有关信息。</w:t>
      </w:r>
    </w:p>
    <w:p w14:paraId="159A87BD">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5.2.11.4. 勘察单位配合勘察占道事件（故）先期紧急应急处置、抢险救援，派专人对危险区域进行看护，并进行围挡、隔离、封闭。</w:t>
      </w:r>
    </w:p>
    <w:p w14:paraId="7DB26077">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5.2.11.5. 勘察占道突发事件（故）发生后，勘察单位应当第一时间向项目建设单位报告。</w:t>
      </w:r>
    </w:p>
    <w:p w14:paraId="424B71E3">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5.2.11.6. 勘察单位配合勘察占道突发事件（故）发生后现场应急处置、抢险救援，负责对其施工红线范围内受事故影响的道路、桥梁等市政设施的修复，确保设施结构安全完好。</w:t>
      </w:r>
    </w:p>
    <w:p w14:paraId="0F9123B4">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5.2.11.7. 承包人配合勘察占道突发事件（故）调查处理。</w:t>
      </w:r>
    </w:p>
    <w:p w14:paraId="12A257AD">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5.2.12 钻孔点桩位定位后需通知发包人到场确认，每一孔位开钻前及终孔时需通知发包人到场确认工程量并以此作为结算依据。管线探测过程需有发包人跟踪。</w:t>
      </w:r>
    </w:p>
    <w:p w14:paraId="3AFA3214">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5.2.13 施工阶段若需补钻、加钻，勘察工作完成后，需回灌封堵所有钻孔并通过发包人验收。</w:t>
      </w:r>
    </w:p>
    <w:p w14:paraId="2848DAAE">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5.2.14 承包人除按合同要求向发包人移交测量成果资料外，还需提供测量原始记录手薄、电子文件，如：水准测量上交手薄，全站仪测图提供dat文件，GPS测量提供GPS测量仪的电子文件，并附解算软件。</w:t>
      </w:r>
    </w:p>
    <w:p w14:paraId="11CFC19D">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5.2.15 承包人需配合设计单位对勘察成果的校对工作，且需配合设计咨询单位和审图单位对勘察成果的审查工作。</w:t>
      </w:r>
    </w:p>
    <w:p w14:paraId="7DEE083C">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5.2.16 本合同有关条款规定和补充协议中承包人应负的其它责任。</w:t>
      </w:r>
    </w:p>
    <w:p w14:paraId="06F6C524">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5.2.17承包人须配合发包人现场踏勘，进行项目用地放线标识，并用无人机进行拍摄成影像资料提供给发包人。</w:t>
      </w:r>
    </w:p>
    <w:p w14:paraId="4CAB4447">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5.2.18勘察单位若勘察占道，负责在道路施工现场设置施工围蔽，并在围蔽上公示勘察单位名称及联系人电话。</w:t>
      </w:r>
    </w:p>
    <w:p w14:paraId="2B0D1E13">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5.2.19勘察单位负责对因勘察占道施工，道路路面开裂发生、发展情况的监测、预报和预警工作。</w:t>
      </w:r>
    </w:p>
    <w:p w14:paraId="588DEE43">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5.2.20勘察单位配合预警响应，协调配合有关单位开展路面局部小型塌陷时间应急处置工作，及时收集、报告有关信息。</w:t>
      </w:r>
    </w:p>
    <w:p w14:paraId="086831AF">
      <w:pPr>
        <w:ind w:left="1" w:firstLine="636" w:firstLineChars="199"/>
        <w:rPr>
          <w:rFonts w:hint="eastAsia" w:ascii="仿宋_GB2312" w:hAnsi="宋体" w:eastAsia="仿宋_GB2312"/>
          <w:color w:val="auto"/>
          <w:sz w:val="32"/>
          <w:szCs w:val="32"/>
        </w:rPr>
      </w:pPr>
      <w:r>
        <w:rPr>
          <w:rFonts w:hint="eastAsia" w:ascii="仿宋_GB2312" w:hAnsi="宋体" w:eastAsia="仿宋_GB2312"/>
          <w:color w:val="auto"/>
          <w:sz w:val="32"/>
          <w:szCs w:val="32"/>
        </w:rPr>
        <w:t>5.2.21勘察单位配合勘察占道事件（故）先期紧急应急处置、抢险救援，派专人对危险区域进行看护，并进行围挡、隔离、封闭。</w:t>
      </w:r>
    </w:p>
    <w:p w14:paraId="7DF78D1A">
      <w:pPr>
        <w:ind w:left="1" w:firstLine="636" w:firstLineChars="199"/>
        <w:rPr>
          <w:rFonts w:hint="eastAsia" w:ascii="仿宋_GB2312" w:hAnsi="宋体" w:eastAsia="仿宋_GB2312"/>
          <w:color w:val="auto"/>
          <w:sz w:val="32"/>
          <w:szCs w:val="32"/>
        </w:rPr>
      </w:pPr>
      <w:r>
        <w:rPr>
          <w:rFonts w:hint="eastAsia" w:ascii="仿宋_GB2312" w:hAnsi="宋体" w:eastAsia="仿宋_GB2312"/>
          <w:color w:val="auto"/>
          <w:sz w:val="32"/>
          <w:szCs w:val="32"/>
        </w:rPr>
        <w:t>5.2.22勘察占道突发事件（故）发生后，勘察单位应当第一时间向项目建设单位报告。</w:t>
      </w:r>
    </w:p>
    <w:p w14:paraId="5FE84AB0">
      <w:pPr>
        <w:ind w:left="1" w:firstLine="636" w:firstLineChars="199"/>
        <w:rPr>
          <w:rFonts w:hint="eastAsia" w:ascii="仿宋_GB2312" w:hAnsi="宋体" w:eastAsia="仿宋_GB2312"/>
          <w:color w:val="auto"/>
          <w:sz w:val="32"/>
          <w:szCs w:val="32"/>
        </w:rPr>
      </w:pPr>
      <w:r>
        <w:rPr>
          <w:rFonts w:hint="eastAsia" w:ascii="仿宋_GB2312" w:hAnsi="宋体" w:eastAsia="仿宋_GB2312"/>
          <w:color w:val="auto"/>
          <w:sz w:val="32"/>
          <w:szCs w:val="32"/>
        </w:rPr>
        <w:t>5.2.23勘察单位配合勘察占道突发事件（故）发生后现场应急处置、抢险救援，负责对其施工红线范围内受事故影响的道路、桥梁等市政设施的修复，确保设施结构安全完好。</w:t>
      </w:r>
    </w:p>
    <w:p w14:paraId="3B3499DB">
      <w:pPr>
        <w:ind w:left="1" w:firstLine="636" w:firstLineChars="199"/>
        <w:rPr>
          <w:rFonts w:hint="eastAsia" w:ascii="仿宋_GB2312" w:hAnsi="宋体" w:eastAsia="仿宋_GB2312"/>
          <w:color w:val="auto"/>
          <w:sz w:val="32"/>
          <w:szCs w:val="32"/>
        </w:rPr>
      </w:pPr>
      <w:r>
        <w:rPr>
          <w:rFonts w:hint="eastAsia" w:ascii="仿宋_GB2312" w:hAnsi="宋体" w:eastAsia="仿宋_GB2312"/>
          <w:color w:val="auto"/>
          <w:sz w:val="32"/>
          <w:szCs w:val="32"/>
        </w:rPr>
        <w:t>5.2.24勘察单位配合勘察占道突发事件（故）调查处理。</w:t>
      </w:r>
    </w:p>
    <w:p w14:paraId="5166E551">
      <w:pPr>
        <w:ind w:left="1" w:firstLine="636" w:firstLineChars="199"/>
        <w:rPr>
          <w:rFonts w:hint="eastAsia" w:ascii="仿宋_GB2312" w:hAnsi="宋体" w:eastAsia="仿宋_GB2312"/>
          <w:color w:val="auto"/>
          <w:sz w:val="32"/>
          <w:szCs w:val="32"/>
        </w:rPr>
      </w:pPr>
      <w:r>
        <w:rPr>
          <w:rFonts w:hint="eastAsia" w:ascii="仿宋_GB2312" w:hAnsi="宋体" w:eastAsia="仿宋_GB2312"/>
          <w:b/>
          <w:color w:val="auto"/>
          <w:sz w:val="32"/>
          <w:szCs w:val="32"/>
        </w:rPr>
        <w:t>第六条</w:t>
      </w:r>
      <w:r>
        <w:rPr>
          <w:rFonts w:hint="eastAsia" w:ascii="仿宋_GB2312" w:hAnsi="宋体" w:eastAsia="仿宋_GB2312"/>
          <w:b/>
          <w:bCs/>
          <w:color w:val="auto"/>
          <w:sz w:val="32"/>
          <w:szCs w:val="32"/>
        </w:rPr>
        <w:t>：违约责任</w:t>
      </w:r>
    </w:p>
    <w:p w14:paraId="7840D833">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6.1 由于发包人的原因造成停、窝工，发包人应将工期按实际受影响的时间顺延，并付给承包人来回进出场费。</w:t>
      </w:r>
    </w:p>
    <w:p w14:paraId="03FA2918">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6.2 由于承包人原因造成勘察成果资料质量不合格，不能满足技术要求时，其返工勘察费用由承包人承担。如果承包人未能按时按质提供给发包人，每延迟一天，发包人则扣除勘察总费用的百分之一作罚金。误期损害赔偿费的最高限额为最终合同价格的30%。若承包人在发包人指定的期限内仍不能提供合格的勘察成果资料的，发包人有权解除本合同，未付的勘察费用无须再付。发包人另聘他人完成相关工作的费用由承包人承担。</w:t>
      </w:r>
    </w:p>
    <w:p w14:paraId="6C8D9BF1">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6.3 合同履行期间，由于工程停建而终止合同或发包人要求解除合同时，承包人未进行勘察工作的，不退还发包人已付定金。已进行勘察工作的，按实际完成的工作量向承包人支付勘察费。</w:t>
      </w:r>
    </w:p>
    <w:p w14:paraId="61EFC8D4">
      <w:pPr>
        <w:ind w:left="1"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6.4 本合同签订后，发包人不履行合同时，无权要求返还定金；承包人不履行合同时，双倍返还定金，并赔偿甲方的损失。</w:t>
      </w:r>
    </w:p>
    <w:p w14:paraId="1C63432F">
      <w:pPr>
        <w:ind w:left="1" w:firstLine="480"/>
        <w:rPr>
          <w:rFonts w:hint="eastAsia" w:ascii="仿宋_GB2312" w:hAnsi="宋体" w:eastAsia="仿宋_GB2312"/>
          <w:color w:val="auto"/>
          <w:sz w:val="32"/>
          <w:szCs w:val="32"/>
        </w:rPr>
      </w:pPr>
    </w:p>
    <w:p w14:paraId="3EE22475">
      <w:pPr>
        <w:ind w:left="1" w:firstLine="636" w:firstLineChars="199"/>
        <w:rPr>
          <w:rFonts w:hint="eastAsia" w:ascii="仿宋_GB2312" w:hAnsi="宋体" w:eastAsia="仿宋_GB2312"/>
          <w:color w:val="auto"/>
          <w:sz w:val="32"/>
          <w:szCs w:val="32"/>
        </w:rPr>
      </w:pPr>
      <w:r>
        <w:rPr>
          <w:rFonts w:hint="eastAsia" w:ascii="仿宋_GB2312" w:hAnsi="宋体" w:eastAsia="仿宋_GB2312"/>
          <w:b/>
          <w:color w:val="auto"/>
          <w:sz w:val="32"/>
          <w:szCs w:val="32"/>
        </w:rPr>
        <w:t>第七条</w:t>
      </w:r>
      <w:r>
        <w:rPr>
          <w:rFonts w:hint="eastAsia" w:ascii="仿宋_GB2312" w:hAnsi="宋体" w:eastAsia="仿宋_GB2312"/>
          <w:color w:val="auto"/>
          <w:sz w:val="32"/>
          <w:szCs w:val="32"/>
        </w:rPr>
        <w:t>：本合同未尽事宜，经发包人与承包人协商一致，签订补充协议，补充协议与本合同具有同等效力。</w:t>
      </w:r>
    </w:p>
    <w:p w14:paraId="3085C9AD">
      <w:pPr>
        <w:ind w:left="1" w:firstLine="636" w:firstLineChars="199"/>
        <w:rPr>
          <w:rFonts w:hint="eastAsia" w:ascii="仿宋_GB2312" w:hAnsi="宋体" w:eastAsia="仿宋_GB2312"/>
          <w:b/>
          <w:color w:val="auto"/>
          <w:sz w:val="32"/>
          <w:szCs w:val="32"/>
        </w:rPr>
      </w:pPr>
    </w:p>
    <w:p w14:paraId="44C246F0">
      <w:pPr>
        <w:ind w:left="1" w:firstLine="636" w:firstLineChars="199"/>
        <w:rPr>
          <w:rFonts w:hint="eastAsia" w:ascii="仿宋_GB2312" w:hAnsi="宋体" w:eastAsia="仿宋_GB2312"/>
          <w:color w:val="auto"/>
          <w:sz w:val="32"/>
          <w:szCs w:val="32"/>
        </w:rPr>
      </w:pPr>
      <w:r>
        <w:rPr>
          <w:rFonts w:hint="eastAsia" w:ascii="仿宋_GB2312" w:hAnsi="宋体" w:eastAsia="仿宋_GB2312"/>
          <w:b/>
          <w:color w:val="auto"/>
          <w:sz w:val="32"/>
          <w:szCs w:val="32"/>
        </w:rPr>
        <w:t>第八条</w:t>
      </w:r>
      <w:r>
        <w:rPr>
          <w:rFonts w:hint="eastAsia" w:ascii="仿宋_GB2312" w:hAnsi="宋体" w:eastAsia="仿宋_GB2312"/>
          <w:color w:val="auto"/>
          <w:sz w:val="32"/>
          <w:szCs w:val="32"/>
        </w:rPr>
        <w:t xml:space="preserve">：其它约定事项：本合同项下的勘察成果资料的知识产权归属发包人所有。 </w:t>
      </w:r>
    </w:p>
    <w:p w14:paraId="30EB79BC">
      <w:pPr>
        <w:ind w:left="1" w:firstLine="480"/>
        <w:rPr>
          <w:rFonts w:hint="eastAsia" w:ascii="仿宋_GB2312" w:hAnsi="宋体" w:eastAsia="仿宋_GB2312"/>
          <w:color w:val="auto"/>
          <w:sz w:val="32"/>
          <w:szCs w:val="32"/>
        </w:rPr>
      </w:pPr>
    </w:p>
    <w:p w14:paraId="6D625696">
      <w:pPr>
        <w:ind w:left="1" w:firstLine="636" w:firstLineChars="199"/>
        <w:rPr>
          <w:rFonts w:hint="eastAsia" w:ascii="仿宋_GB2312" w:hAnsi="宋体" w:eastAsia="仿宋_GB2312"/>
          <w:color w:val="auto"/>
          <w:sz w:val="32"/>
          <w:szCs w:val="32"/>
        </w:rPr>
      </w:pPr>
      <w:r>
        <w:rPr>
          <w:rFonts w:hint="eastAsia" w:ascii="仿宋_GB2312" w:hAnsi="宋体" w:eastAsia="仿宋_GB2312"/>
          <w:b/>
          <w:color w:val="auto"/>
          <w:sz w:val="32"/>
          <w:szCs w:val="32"/>
        </w:rPr>
        <w:t>第九条</w:t>
      </w:r>
      <w:r>
        <w:rPr>
          <w:rFonts w:hint="eastAsia" w:ascii="仿宋_GB2312" w:hAnsi="宋体" w:eastAsia="仿宋_GB2312"/>
          <w:color w:val="auto"/>
          <w:sz w:val="32"/>
          <w:szCs w:val="32"/>
        </w:rPr>
        <w:t>：本合同发生争议，发包人、勘察人应及时协商解决，也可由当地建设行政主管部门调解，协商或调解不成时，发包人、勘察人同意依法向人民法院起诉。</w:t>
      </w:r>
    </w:p>
    <w:p w14:paraId="6F90DC9D">
      <w:pPr>
        <w:ind w:left="1" w:firstLine="480"/>
        <w:jc w:val="left"/>
        <w:outlineLvl w:val="0"/>
        <w:rPr>
          <w:rFonts w:hint="eastAsia" w:ascii="仿宋_GB2312" w:hAnsi="宋体" w:eastAsia="仿宋_GB2312"/>
          <w:color w:val="auto"/>
          <w:sz w:val="32"/>
          <w:szCs w:val="32"/>
        </w:rPr>
      </w:pPr>
      <w:r>
        <w:rPr>
          <w:rFonts w:hint="eastAsia" w:ascii="仿宋_GB2312" w:hAnsi="宋体" w:eastAsia="仿宋_GB2312"/>
          <w:color w:val="auto"/>
          <w:sz w:val="32"/>
          <w:szCs w:val="32"/>
        </w:rPr>
        <w:t>（以下无正文）</w:t>
      </w:r>
    </w:p>
    <w:p w14:paraId="27B159F4">
      <w:pPr>
        <w:spacing w:line="360" w:lineRule="auto"/>
        <w:rPr>
          <w:rFonts w:hint="eastAsia" w:ascii="宋体" w:hAnsi="宋体"/>
          <w:b/>
          <w:color w:val="auto"/>
          <w:sz w:val="24"/>
        </w:rPr>
      </w:pPr>
      <w:r>
        <w:rPr>
          <w:rFonts w:ascii="宋体" w:hAnsi="宋体"/>
          <w:color w:val="auto"/>
          <w:sz w:val="28"/>
          <w:szCs w:val="28"/>
        </w:rPr>
        <w:br w:type="page"/>
      </w:r>
      <w:r>
        <w:rPr>
          <w:rFonts w:hint="eastAsia" w:ascii="宋体" w:hAnsi="宋体"/>
          <w:b/>
          <w:color w:val="auto"/>
          <w:sz w:val="24"/>
        </w:rPr>
        <w:t>合同附件1：</w:t>
      </w:r>
    </w:p>
    <w:p w14:paraId="3B539D81">
      <w:pPr>
        <w:spacing w:line="360" w:lineRule="auto"/>
        <w:jc w:val="center"/>
        <w:rPr>
          <w:rFonts w:ascii="宋体" w:hAnsi="宋体"/>
          <w:b/>
          <w:color w:val="auto"/>
          <w:sz w:val="36"/>
          <w:szCs w:val="36"/>
        </w:rPr>
      </w:pPr>
      <w:r>
        <w:rPr>
          <w:rFonts w:hint="eastAsia" w:ascii="宋体" w:hAnsi="宋体"/>
          <w:b/>
          <w:color w:val="auto"/>
          <w:sz w:val="36"/>
          <w:szCs w:val="36"/>
        </w:rPr>
        <w:t>勘察设计工作考核管理细则</w:t>
      </w:r>
    </w:p>
    <w:p w14:paraId="58F7A283">
      <w:pPr>
        <w:spacing w:line="360" w:lineRule="auto"/>
        <w:outlineLvl w:val="0"/>
        <w:rPr>
          <w:rFonts w:hint="eastAsia" w:ascii="仿宋_GB2312" w:hAnsi="宋体" w:eastAsia="仿宋_GB2312"/>
          <w:color w:val="auto"/>
          <w:sz w:val="32"/>
          <w:szCs w:val="32"/>
        </w:rPr>
      </w:pPr>
      <w:r>
        <w:rPr>
          <w:rFonts w:hint="eastAsia" w:ascii="宋体" w:hAnsi="宋体"/>
          <w:color w:val="auto"/>
          <w:sz w:val="28"/>
          <w:szCs w:val="28"/>
        </w:rPr>
        <w:t xml:space="preserve">   </w:t>
      </w:r>
      <w:r>
        <w:rPr>
          <w:rFonts w:hint="eastAsia" w:ascii="宋体" w:hAnsi="宋体"/>
          <w:b/>
          <w:color w:val="auto"/>
          <w:sz w:val="28"/>
          <w:szCs w:val="28"/>
        </w:rPr>
        <w:t xml:space="preserve"> </w:t>
      </w:r>
      <w:r>
        <w:rPr>
          <w:rFonts w:hint="eastAsia" w:ascii="仿宋_GB2312" w:hAnsi="宋体" w:eastAsia="仿宋_GB2312"/>
          <w:b/>
          <w:color w:val="auto"/>
          <w:sz w:val="32"/>
          <w:szCs w:val="32"/>
        </w:rPr>
        <w:t>一、总则</w:t>
      </w:r>
    </w:p>
    <w:p w14:paraId="0889B511">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1、建设单位应树立努力、自觉和主动为设计单位创造设计条件的服务思想和意识，并付诸行动。建设单位将在合同中制定设计奖励办法，根据工程的设计情况和各方面的评价，对能够精心设计、努力创优并取得实际成效的设计单位及设计单位人员给予奖励。</w:t>
      </w:r>
    </w:p>
    <w:p w14:paraId="407DF730">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2、设计单位在设计工作中应注意设计成果的及时和有效，设计过程中应考虑与相关专业的接口配合，注意互提资料的齐全、稳定、深度和提交时间能满足资料使用者的需要。</w:t>
      </w:r>
    </w:p>
    <w:p w14:paraId="1A7FF960">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3、设计单位应保证电子文件资料与图纸文件一致，若有错漏或与原图纸不一致，造成损失设计单位应负相应法律责任。</w:t>
      </w:r>
    </w:p>
    <w:p w14:paraId="39926EC0">
      <w:pPr>
        <w:spacing w:line="360" w:lineRule="auto"/>
        <w:outlineLvl w:val="0"/>
        <w:rPr>
          <w:rFonts w:hint="eastAsia" w:ascii="仿宋_GB2312" w:hAnsi="宋体" w:eastAsia="仿宋_GB2312"/>
          <w:b/>
          <w:color w:val="auto"/>
          <w:sz w:val="32"/>
          <w:szCs w:val="32"/>
        </w:rPr>
      </w:pPr>
      <w:r>
        <w:rPr>
          <w:rFonts w:hint="eastAsia" w:ascii="仿宋_GB2312" w:hAnsi="宋体" w:eastAsia="仿宋_GB2312"/>
          <w:color w:val="auto"/>
          <w:sz w:val="32"/>
          <w:szCs w:val="32"/>
        </w:rPr>
        <w:t xml:space="preserve">    </w:t>
      </w:r>
      <w:r>
        <w:rPr>
          <w:rFonts w:hint="eastAsia" w:ascii="仿宋_GB2312" w:hAnsi="宋体" w:eastAsia="仿宋_GB2312"/>
          <w:b/>
          <w:color w:val="auto"/>
          <w:sz w:val="32"/>
          <w:szCs w:val="32"/>
        </w:rPr>
        <w:t>二、设计单位职员的更换</w:t>
      </w:r>
    </w:p>
    <w:p w14:paraId="5BB8702E">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在项目设计期间，设计单位主要技术骨干应保持相对稳定，未经建设单位书面同意不得自行撤换，如确需撤换，必须经建设单位及相关部门审批。更换人员未经建设单位审批或承接人员的资格条件低于被更换人的，则按缺勤处理，建设单位对设计单位按每人次扣减合同金额的1%进行处罚。</w:t>
      </w:r>
    </w:p>
    <w:p w14:paraId="45FB2FDC">
      <w:pPr>
        <w:spacing w:line="360" w:lineRule="auto"/>
        <w:outlineLvl w:val="0"/>
        <w:rPr>
          <w:rFonts w:hint="eastAsia" w:ascii="仿宋_GB2312" w:hAnsi="宋体" w:eastAsia="仿宋_GB2312"/>
          <w:b/>
          <w:color w:val="auto"/>
          <w:sz w:val="32"/>
          <w:szCs w:val="32"/>
        </w:rPr>
      </w:pPr>
      <w:r>
        <w:rPr>
          <w:rFonts w:hint="eastAsia" w:ascii="仿宋_GB2312" w:hAnsi="宋体" w:eastAsia="仿宋_GB2312"/>
          <w:color w:val="auto"/>
          <w:sz w:val="32"/>
          <w:szCs w:val="32"/>
        </w:rPr>
        <w:t xml:space="preserve">   </w:t>
      </w:r>
      <w:r>
        <w:rPr>
          <w:rFonts w:hint="eastAsia" w:ascii="仿宋_GB2312" w:hAnsi="宋体" w:eastAsia="仿宋_GB2312"/>
          <w:b/>
          <w:color w:val="auto"/>
          <w:sz w:val="32"/>
          <w:szCs w:val="32"/>
        </w:rPr>
        <w:t>三、方案设计</w:t>
      </w:r>
    </w:p>
    <w:p w14:paraId="59AF5059">
      <w:pPr>
        <w:spacing w:line="360" w:lineRule="auto"/>
        <w:ind w:firstLine="555"/>
        <w:rPr>
          <w:rFonts w:hint="eastAsia" w:ascii="仿宋_GB2312" w:hAnsi="宋体" w:eastAsia="仿宋_GB2312"/>
          <w:color w:val="auto"/>
          <w:sz w:val="32"/>
          <w:szCs w:val="32"/>
        </w:rPr>
      </w:pPr>
      <w:r>
        <w:rPr>
          <w:rFonts w:hint="eastAsia" w:ascii="仿宋_GB2312" w:hAnsi="宋体" w:eastAsia="仿宋_GB2312"/>
          <w:color w:val="auto"/>
          <w:sz w:val="32"/>
          <w:szCs w:val="32"/>
        </w:rPr>
        <w:t>方案设计（含管线综合、管线迁改）中因设计单位未按征询规划、交通、水利、市政、海事、航道等行政主管部门和沿线镇、街、单位等的回复意见进行修改设计，造成方案设计存在较严重错漏或因设计深度不够、资料不足、方案缺陷或设计质量低劣或不配合报建工作导致并未通过方案设计审查时，设计单位应无偿修改设计，直至通过审查。因设计单位原因造成方案报建不通过而退件的，建设单位对设计单位按退件次数进行处罚，每次按设计合同价的2%扣除设计费。因修改设计相应延迟提交设计文件，每延期一天按合同价款的0.3%扣除勘察设计费；如未按评审意见和发包人要求修改方案，则建设单位有权解除合同，并要求设计单位返还已支付的设计费用及双倍返还已支付的定金。</w:t>
      </w:r>
    </w:p>
    <w:p w14:paraId="586D36D9">
      <w:pPr>
        <w:spacing w:line="360" w:lineRule="auto"/>
        <w:outlineLvl w:val="0"/>
        <w:rPr>
          <w:rFonts w:hint="eastAsia" w:ascii="仿宋_GB2312" w:hAnsi="宋体" w:eastAsia="仿宋_GB2312"/>
          <w:b/>
          <w:color w:val="auto"/>
          <w:sz w:val="32"/>
          <w:szCs w:val="32"/>
        </w:rPr>
      </w:pPr>
      <w:r>
        <w:rPr>
          <w:rFonts w:hint="eastAsia" w:ascii="仿宋_GB2312" w:hAnsi="宋体" w:eastAsia="仿宋_GB2312"/>
          <w:color w:val="auto"/>
          <w:sz w:val="32"/>
          <w:szCs w:val="32"/>
        </w:rPr>
        <w:t xml:space="preserve">   </w:t>
      </w:r>
      <w:r>
        <w:rPr>
          <w:rFonts w:hint="eastAsia" w:ascii="仿宋_GB2312" w:hAnsi="宋体" w:eastAsia="仿宋_GB2312"/>
          <w:b/>
          <w:color w:val="auto"/>
          <w:sz w:val="32"/>
          <w:szCs w:val="32"/>
        </w:rPr>
        <w:t xml:space="preserve"> 四、初步设计</w:t>
      </w:r>
    </w:p>
    <w:p w14:paraId="27D18340">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1、初步勘察设计过程中，勘察设计人应收集项目沿线详尽资料，包括地形、地物、综合管线等，及时整理初步勘察成果资料提请建设单位组织验收。如因设计单位对实际情况不了解或资料不齐全而造成拆迁、管线迁移需增加的费用超出10%或影响到工程顺利推进，勘察设计单位将承担所增加工程费用的20%，从合同价款中扣除，对本条勘察设计单位所承担的增加工程费用最高限额为设计费总额。</w:t>
      </w:r>
    </w:p>
    <w:p w14:paraId="5FA870E0">
      <w:pPr>
        <w:spacing w:line="360" w:lineRule="auto"/>
        <w:ind w:firstLine="570"/>
        <w:rPr>
          <w:rFonts w:hint="eastAsia" w:ascii="仿宋_GB2312" w:hAnsi="宋体" w:eastAsia="仿宋_GB2312"/>
          <w:color w:val="auto"/>
          <w:sz w:val="32"/>
          <w:szCs w:val="32"/>
        </w:rPr>
      </w:pPr>
      <w:r>
        <w:rPr>
          <w:rFonts w:hint="eastAsia" w:ascii="仿宋_GB2312" w:hAnsi="宋体" w:eastAsia="仿宋_GB2312"/>
          <w:color w:val="auto"/>
          <w:sz w:val="32"/>
          <w:szCs w:val="32"/>
        </w:rPr>
        <w:t>2、初步设计完成后，如果因设计深度不够、资料不足、方案缺陷或设计质量低劣而未通过初步勘察设计验收、审查时，设计单位应无偿补充勘察、修改设计，直至通过验收、审查。因设计单位原因造成初步设计审查、验收不通过的，建设单位对设计单位按不通过次数进行处罚，每次按合同价的2%扣除设计费。因补充勘察、修改设计延迟提交设计文件按合同条款进行处罚；如未按评审（审查）意见和建设单位要求修改设计，则建设单位可解除合同，并要求设计单位返还已支付的设计费用及双倍返还已支付的定金。</w:t>
      </w:r>
    </w:p>
    <w:p w14:paraId="2541A2FE">
      <w:pPr>
        <w:spacing w:line="360" w:lineRule="auto"/>
        <w:ind w:firstLine="570"/>
        <w:rPr>
          <w:rFonts w:hint="eastAsia" w:ascii="仿宋_GB2312" w:hAnsi="宋体" w:eastAsia="仿宋_GB2312"/>
          <w:color w:val="auto"/>
          <w:sz w:val="32"/>
          <w:szCs w:val="32"/>
        </w:rPr>
      </w:pPr>
      <w:r>
        <w:rPr>
          <w:rFonts w:hint="eastAsia" w:ascii="仿宋_GB2312" w:hAnsi="宋体" w:eastAsia="仿宋_GB2312"/>
          <w:color w:val="auto"/>
          <w:sz w:val="32"/>
          <w:szCs w:val="32"/>
        </w:rPr>
        <w:t>3、设计单位必须按建设单位要求的限额进行施工图设计，保证施工图预算不超过初步设计概算，如发现施工图预算超过初步设计概算的（以财局审定的结果为准），建设单位按设计合同价的5%扣除设计单位的设计费。</w:t>
      </w:r>
    </w:p>
    <w:p w14:paraId="071636C7">
      <w:pPr>
        <w:spacing w:line="360" w:lineRule="auto"/>
        <w:ind w:firstLine="627" w:firstLineChars="196"/>
        <w:outlineLvl w:val="0"/>
        <w:rPr>
          <w:rFonts w:hint="eastAsia" w:ascii="仿宋_GB2312" w:hAnsi="宋体" w:eastAsia="仿宋_GB2312"/>
          <w:b/>
          <w:color w:val="auto"/>
          <w:sz w:val="32"/>
          <w:szCs w:val="32"/>
        </w:rPr>
      </w:pPr>
      <w:r>
        <w:rPr>
          <w:rFonts w:hint="eastAsia" w:ascii="仿宋_GB2312" w:hAnsi="宋体" w:eastAsia="仿宋_GB2312"/>
          <w:b/>
          <w:color w:val="auto"/>
          <w:sz w:val="32"/>
          <w:szCs w:val="32"/>
        </w:rPr>
        <w:t>五、施工图设计</w:t>
      </w:r>
    </w:p>
    <w:p w14:paraId="094ABD5E">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1、对施工过程中因勘测设计失误或漏项而变更设计、补充设计或引发工程事故，按《勘察设计质量管理细则》的“第七条”执行。</w:t>
      </w:r>
    </w:p>
    <w:p w14:paraId="48DFDF7E">
      <w:pPr>
        <w:spacing w:line="360" w:lineRule="auto"/>
        <w:ind w:firstLine="570"/>
        <w:rPr>
          <w:rFonts w:hint="eastAsia" w:ascii="仿宋_GB2312" w:hAnsi="宋体" w:eastAsia="仿宋_GB2312"/>
          <w:color w:val="auto"/>
          <w:sz w:val="32"/>
          <w:szCs w:val="32"/>
        </w:rPr>
      </w:pPr>
      <w:r>
        <w:rPr>
          <w:rFonts w:hint="eastAsia" w:ascii="仿宋_GB2312" w:hAnsi="宋体" w:eastAsia="仿宋_GB2312"/>
          <w:color w:val="auto"/>
          <w:sz w:val="32"/>
          <w:szCs w:val="32"/>
        </w:rPr>
        <w:t>2、施工图设计完成后，如果因设计深度不够、资料不足、方案缺限或设计质量低劣而未通过详细勘察设计验收、审查时，设计单位应无偿补充勘察、修改设计，直至通过验收、审查。因设计单位原因造成施工图审查不通过的，建设单位对设计单位按退件次数进行处罚，每次按设计合同价的2%进行扣除设计费。因补充勘察、修改设计延迟提交设计文件的，每延迟一天按合同价款的0.3%扣除勘察设计费；如未按评审（审查）意见和建设单位要求修改设计，则建设单位可解除合同，并要求设计单位返还已支付的设计费用及双倍返还已支付的定金。</w:t>
      </w:r>
    </w:p>
    <w:p w14:paraId="3372BE91">
      <w:pPr>
        <w:spacing w:line="360" w:lineRule="auto"/>
        <w:ind w:firstLine="570"/>
        <w:rPr>
          <w:rFonts w:hint="eastAsia" w:ascii="仿宋_GB2312" w:hAnsi="宋体" w:eastAsia="仿宋_GB2312"/>
          <w:color w:val="auto"/>
          <w:sz w:val="32"/>
          <w:szCs w:val="32"/>
        </w:rPr>
      </w:pPr>
      <w:r>
        <w:rPr>
          <w:rFonts w:hint="eastAsia" w:ascii="仿宋_GB2312" w:hAnsi="宋体" w:eastAsia="仿宋_GB2312"/>
          <w:color w:val="auto"/>
          <w:sz w:val="32"/>
          <w:szCs w:val="32"/>
        </w:rPr>
        <w:t>3、设计单位必须按建设单位要求的限额进行施工图设计，保证施工图预算不超过初步设计概算，如发现施工图预算超过初步设计概算的（以财局审定的结果为准），建设单位按设计合同价的5%扣除设计单位的设计费。</w:t>
      </w:r>
    </w:p>
    <w:p w14:paraId="0F955126">
      <w:pPr>
        <w:spacing w:line="360" w:lineRule="auto"/>
        <w:ind w:firstLine="570"/>
        <w:rPr>
          <w:rFonts w:hint="eastAsia" w:ascii="仿宋_GB2312" w:hAnsi="宋体" w:eastAsia="仿宋_GB2312"/>
          <w:color w:val="auto"/>
          <w:sz w:val="32"/>
          <w:szCs w:val="32"/>
        </w:rPr>
      </w:pPr>
      <w:r>
        <w:rPr>
          <w:rFonts w:hint="eastAsia" w:ascii="仿宋_GB2312" w:hAnsi="宋体" w:eastAsia="仿宋_GB2312"/>
          <w:color w:val="auto"/>
          <w:sz w:val="32"/>
          <w:szCs w:val="32"/>
        </w:rPr>
        <w:t>4、设计单位在施工图设计时必须充分详细全面了解工程现场地上、地下及周边的所有情况，确保施工图设计与现场地形、地物等实际相符。如出现地质勘察报告与实际地质条件不符或因设计原因造成无法按图施工，而引起设计变更，增加工程费用的，增加费用占施工合同总价5～10%的，将按照增加费用占施工合同总价的比例相应扣减设计费，增加费用超过施工合同总价10%的，将按照增加费用的比例双倍扣减设计费。</w:t>
      </w:r>
    </w:p>
    <w:p w14:paraId="7DF69E4E">
      <w:pPr>
        <w:spacing w:line="360" w:lineRule="auto"/>
        <w:outlineLvl w:val="0"/>
        <w:rPr>
          <w:rFonts w:hint="eastAsia" w:ascii="仿宋_GB2312" w:hAnsi="宋体" w:eastAsia="仿宋_GB2312"/>
          <w:b/>
          <w:color w:val="auto"/>
          <w:sz w:val="32"/>
          <w:szCs w:val="32"/>
        </w:rPr>
      </w:pPr>
      <w:r>
        <w:rPr>
          <w:rFonts w:hint="eastAsia" w:ascii="仿宋_GB2312" w:hAnsi="宋体" w:eastAsia="仿宋_GB2312"/>
          <w:color w:val="auto"/>
          <w:sz w:val="32"/>
          <w:szCs w:val="32"/>
        </w:rPr>
        <w:t xml:space="preserve">    </w:t>
      </w:r>
      <w:r>
        <w:rPr>
          <w:rFonts w:hint="eastAsia" w:ascii="仿宋_GB2312" w:hAnsi="宋体" w:eastAsia="仿宋_GB2312"/>
          <w:b/>
          <w:color w:val="auto"/>
          <w:sz w:val="32"/>
          <w:szCs w:val="32"/>
        </w:rPr>
        <w:t>六、施工期间</w:t>
      </w:r>
    </w:p>
    <w:p w14:paraId="5046E747">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1、设计单位应按上述“第二点”要求在施工期间建立稳定的施工配合小组并配齐相关专业人员（即合同中的“现场指导与监督人员”）。施工配合小组一旦确定，未经建设单位同意不得调离。对不称职的人员，建设单位有权要求撤换。</w:t>
      </w:r>
    </w:p>
    <w:p w14:paraId="20C09E3A">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2、结构专业设计代表必须按要求出席建设单位或总监主持的重要会议（如工地例会）。</w:t>
      </w:r>
    </w:p>
    <w:p w14:paraId="19FE97C9">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如违反上述规定按下述条款处理：</w:t>
      </w:r>
    </w:p>
    <w:p w14:paraId="66D7EDDE">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(1)结构专业设计代表无故缺席会议，建设单位对设计单位处罚3000元/次；</w:t>
      </w:r>
    </w:p>
    <w:p w14:paraId="3DB70E79">
      <w:pPr>
        <w:spacing w:line="360" w:lineRule="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(2)设计单位未能在建设单位和设计单位约定的时间内给予答复、完成变更设计的，每拖期7个日历天（不足7天按7天计），建设单位将按施工配合阶段费用总金额的5%扣除设计单位的违约金，最高扣除的违约金不超过勘察设计费用总额的20%：</w:t>
      </w:r>
    </w:p>
    <w:p w14:paraId="51406B4C">
      <w:pPr>
        <w:spacing w:line="360" w:lineRule="auto"/>
        <w:ind w:firstLine="656" w:firstLineChars="205"/>
        <w:rPr>
          <w:rFonts w:hint="eastAsia" w:ascii="宋体" w:hAnsi="宋体"/>
          <w:b/>
          <w:color w:val="auto"/>
          <w:sz w:val="24"/>
        </w:rPr>
      </w:pPr>
      <w:r>
        <w:rPr>
          <w:rFonts w:hint="eastAsia" w:ascii="仿宋_GB2312" w:hAnsi="宋体" w:eastAsia="仿宋_GB2312"/>
          <w:color w:val="auto"/>
          <w:sz w:val="32"/>
          <w:szCs w:val="32"/>
        </w:rPr>
        <w:t>(3)多次违反上述规定的，视设计单位违约并按合同相应条款处理。</w:t>
      </w:r>
      <w:r>
        <w:rPr>
          <w:rFonts w:ascii="宋体" w:hAnsi="宋体"/>
          <w:b/>
          <w:color w:val="auto"/>
          <w:sz w:val="28"/>
          <w:szCs w:val="28"/>
        </w:rPr>
        <w:br w:type="page"/>
      </w:r>
      <w:r>
        <w:rPr>
          <w:rFonts w:hint="eastAsia" w:ascii="宋体" w:hAnsi="宋体"/>
          <w:b/>
          <w:color w:val="auto"/>
          <w:sz w:val="24"/>
        </w:rPr>
        <w:t>合同附件2：</w:t>
      </w:r>
    </w:p>
    <w:p w14:paraId="01FA5C55">
      <w:pPr>
        <w:spacing w:line="360" w:lineRule="auto"/>
        <w:jc w:val="center"/>
        <w:rPr>
          <w:rFonts w:ascii="宋体" w:hAnsi="宋体"/>
          <w:b/>
          <w:color w:val="auto"/>
          <w:sz w:val="44"/>
          <w:szCs w:val="44"/>
        </w:rPr>
      </w:pPr>
      <w:r>
        <w:rPr>
          <w:rFonts w:hint="eastAsia" w:ascii="宋体" w:hAnsi="宋体"/>
          <w:b/>
          <w:color w:val="auto"/>
          <w:sz w:val="44"/>
          <w:szCs w:val="44"/>
        </w:rPr>
        <w:t>勘察设计质量管理细则</w:t>
      </w:r>
    </w:p>
    <w:p w14:paraId="4303BC5A">
      <w:pPr>
        <w:spacing w:line="360" w:lineRule="auto"/>
        <w:ind w:firstLine="656" w:firstLineChars="205"/>
        <w:rPr>
          <w:rFonts w:hint="eastAsia" w:ascii="仿宋_GB2312" w:hAnsi="宋体" w:eastAsia="仿宋_GB2312"/>
          <w:color w:val="auto"/>
          <w:sz w:val="32"/>
          <w:szCs w:val="32"/>
        </w:rPr>
      </w:pPr>
      <w:r>
        <w:rPr>
          <w:rFonts w:hint="eastAsia" w:ascii="仿宋_GB2312" w:hAnsi="宋体" w:eastAsia="仿宋_GB2312"/>
          <w:color w:val="auto"/>
          <w:sz w:val="32"/>
          <w:szCs w:val="32"/>
        </w:rPr>
        <w:t>一、设计单位质量管理的基本要求</w:t>
      </w:r>
    </w:p>
    <w:p w14:paraId="70D96958">
      <w:pPr>
        <w:spacing w:line="360" w:lineRule="auto"/>
        <w:ind w:firstLine="656" w:firstLineChars="205"/>
        <w:rPr>
          <w:rFonts w:hint="eastAsia" w:ascii="仿宋_GB2312" w:hAnsi="宋体" w:eastAsia="仿宋_GB2312"/>
          <w:color w:val="auto"/>
          <w:sz w:val="32"/>
          <w:szCs w:val="32"/>
        </w:rPr>
      </w:pPr>
      <w:r>
        <w:rPr>
          <w:rFonts w:hint="eastAsia" w:ascii="仿宋_GB2312" w:hAnsi="宋体" w:eastAsia="仿宋_GB2312"/>
          <w:color w:val="auto"/>
          <w:sz w:val="32"/>
          <w:szCs w:val="32"/>
        </w:rPr>
        <w:t>勘察设计单位必须建立健全质量保证体系，严格执行国家颁发的标准、规范，加强设计阶段基础资料的收集，认真做好初步设计和施工图设计文件的审核，明确各阶段的责任人，确保全过程设计质量。设计必须多方案比选，对因设计漏项或深度不够引发的质量问题或造成的重大设计变更要追究设计单位的法律责任。</w:t>
      </w:r>
    </w:p>
    <w:p w14:paraId="3BDFE2B9">
      <w:pPr>
        <w:spacing w:line="360" w:lineRule="auto"/>
        <w:ind w:firstLine="656" w:firstLineChars="205"/>
        <w:rPr>
          <w:rFonts w:hint="eastAsia" w:ascii="仿宋_GB2312" w:hAnsi="宋体" w:eastAsia="仿宋_GB2312"/>
          <w:color w:val="auto"/>
          <w:sz w:val="32"/>
          <w:szCs w:val="32"/>
        </w:rPr>
      </w:pPr>
      <w:r>
        <w:rPr>
          <w:rFonts w:hint="eastAsia" w:ascii="仿宋_GB2312" w:hAnsi="宋体" w:eastAsia="仿宋_GB2312"/>
          <w:color w:val="auto"/>
          <w:sz w:val="32"/>
          <w:szCs w:val="32"/>
        </w:rPr>
        <w:t>二、设计文件应满足合同要求，同时必须完整齐全、符合现行的设计文件编制办法及有关标准、规范要求。</w:t>
      </w:r>
    </w:p>
    <w:p w14:paraId="6F95E9CB">
      <w:pPr>
        <w:spacing w:line="360" w:lineRule="auto"/>
        <w:ind w:firstLine="656" w:firstLineChars="205"/>
        <w:rPr>
          <w:rFonts w:hint="eastAsia" w:ascii="仿宋_GB2312" w:hAnsi="宋体" w:eastAsia="仿宋_GB2312"/>
          <w:color w:val="auto"/>
          <w:sz w:val="32"/>
          <w:szCs w:val="32"/>
        </w:rPr>
      </w:pPr>
      <w:r>
        <w:rPr>
          <w:rFonts w:hint="eastAsia" w:ascii="仿宋_GB2312" w:hAnsi="宋体" w:eastAsia="仿宋_GB2312"/>
          <w:color w:val="auto"/>
          <w:sz w:val="32"/>
          <w:szCs w:val="32"/>
        </w:rPr>
        <w:t>三、勘察设计单位对勘察成果承担责任。勘察设计单位应遵照《岩土工程勘察规范》、《民用建筑设计通则》、《汽车库、修车库、停车场设计防火规范》、《城市道路和建筑物无障碍设计规范》、《建筑结构可靠度设计统一标准》、《建筑结构制图标准》、《建筑结构荷载规范》、《建筑抗震设计规范》、《混凝土结构设计规范》、《建筑地基基础设计规范》等相关规范、通则开展勘探、测量及设计工作。</w:t>
      </w:r>
    </w:p>
    <w:p w14:paraId="1B2DCF2C">
      <w:pPr>
        <w:spacing w:line="360" w:lineRule="auto"/>
        <w:ind w:firstLine="435"/>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四、勘察设计单位在开展勘察工作前要根据对工程场地条件的初步判断或收集相近场地的地质资料编制勘察工作大纲，遇到基底岩层起伏较大、岩性变化较大时钻探布孔数应靠近规范上限，勘察工作大纲要满足设计要求，杜绝因布孔不足等原因造成设计变更较大的情况。勘察工作大纲应报建设单位审核，但无论建设单位审核结果如何都不免除也不减少勘察设计单位所应承担的法律责任。如在勘察过程中发现地质条件变化较大需要调整勘察工作大纲则应报建设单位认可。</w:t>
      </w:r>
    </w:p>
    <w:p w14:paraId="1FAB05FF">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五、勘察设计单位必须按勘察规范和经建设单位审核的勘察工作大纲认真开展地质勘探工作，保证地质勘探成果真实反映工程场地地质、水文条件，并以此作为设计依据。如勘察单位未执行勘察规范和勘察工作大纲，发生擅自减少布孔数、钻孔深度不足、取样有误等弄虚作假、工作失误等情况，造成施工过程中发生较大变更的，要承担相应的赔偿及其他法律责任。</w:t>
      </w:r>
    </w:p>
    <w:p w14:paraId="1626A7AD">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六、勘察设计单位应按照勘察规范和勘察工作大纲开展测量工作，所测量的原地面线应真实反映工程场地地貌，如开工后施工复测与设计测量成果出入较大，勘察设计单位要承担相应赔偿责任。</w:t>
      </w:r>
    </w:p>
    <w:p w14:paraId="4CF69A30">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七、勘察设计单位必须配合设计咨询单位对地质勘察过程的监理和对地质勘察成果的审查工作。</w:t>
      </w:r>
    </w:p>
    <w:p w14:paraId="6301E9C0">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八、勘察设计单位违反强制性规定或存在勘察设计质量缺陷需承担的责任：</w:t>
      </w:r>
    </w:p>
    <w:p w14:paraId="527D2E65">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1、凡违反国家、省建设工程勘察设计管理条例，有下列行为之一的，扣减勘察设计合同总价的10%；</w:t>
      </w:r>
    </w:p>
    <w:p w14:paraId="2B010E6A">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(1)勘察单位未按照工程建设强制性标准进行勘察的；</w:t>
      </w:r>
    </w:p>
    <w:p w14:paraId="2745696C">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(2)设计单位未根据勘察成果文件进行工程设计的；</w:t>
      </w:r>
    </w:p>
    <w:p w14:paraId="12322797">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(3)设计单位指定建筑材料人、建筑构配件的生产厂、供应商的；</w:t>
      </w:r>
    </w:p>
    <w:p w14:paraId="64EE0F8D">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(4)设计单位未按照工程建设强制性标准进行设计的。</w:t>
      </w:r>
    </w:p>
    <w:p w14:paraId="0ED57351">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有前款所列行为，造成工程质量事故的，报行政主管部门处理；造成损失的，还需承担赔偿责任。</w:t>
      </w:r>
    </w:p>
    <w:p w14:paraId="08A27D40">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2、因勘察设计质量造成一般工程质量事故的(造成重伤2人以下或直接经济损失在10万元以下者)，建设单位上报行政主管部门处理，同时勘察设计单位需承担全额赔偿责任。</w:t>
      </w:r>
    </w:p>
    <w:p w14:paraId="04F0CB26">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3、因勘察设计质量造成重大工程质量事故的(造成死亡1人以上，或重伤3人以上，或直接经济损失10万元以上者)，建设单位上报行政主管部门处理，并建议行政主管部门暂停勘察设计单位在番禺区的投标资格；同时勘察设计单位需承担全额赔偿责任。</w:t>
      </w:r>
    </w:p>
    <w:p w14:paraId="1B267F43">
      <w:pPr>
        <w:spacing w:line="360" w:lineRule="auto"/>
        <w:ind w:firstLine="656" w:firstLineChars="205"/>
        <w:rPr>
          <w:rFonts w:hint="eastAsia" w:ascii="仿宋_GB2312" w:hAnsi="宋体" w:eastAsia="仿宋_GB2312"/>
          <w:color w:val="auto"/>
          <w:sz w:val="32"/>
          <w:szCs w:val="32"/>
        </w:rPr>
      </w:pPr>
      <w:r>
        <w:rPr>
          <w:rFonts w:hint="eastAsia" w:ascii="仿宋_GB2312" w:hAnsi="宋体" w:eastAsia="仿宋_GB2312"/>
          <w:color w:val="auto"/>
          <w:sz w:val="32"/>
          <w:szCs w:val="32"/>
        </w:rPr>
        <w:t>4、因勘察设计深度不足、考虑不周等勘察设计单位原因造成工程变更引起工程造价增加，经建设单位自行审核认定或委托有资质第三方评审确定属勘察设计单位责任的，首先由勘察设计单位无偿进行变更设计，同时勘察设计单位应被扣除相应设计费，增加费用占施工合同总价5～10%的，将按照增加费用占施工合同总价的比例相应扣减设计费，增加费用超过施工合同总价10%的，将按照增加费用的比例双倍扣减设计费。</w:t>
      </w:r>
    </w:p>
    <w:p w14:paraId="71F38E68">
      <w:pPr>
        <w:spacing w:line="360" w:lineRule="auto"/>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九、勘察设计单位必须认真做好设计的后续服务受各阶段的技术交底工作。施工过程中应派出设计代表驻现场指导和配合施工。因技术交底或变更设计不及时引发的工程质量问题由设计单位负责。</w:t>
      </w:r>
    </w:p>
    <w:p w14:paraId="6E662CDE">
      <w:pPr>
        <w:jc w:val="left"/>
        <w:rPr>
          <w:rFonts w:hint="eastAsia" w:ascii="宋体" w:hAnsi="宋体"/>
          <w:b/>
          <w:color w:val="auto"/>
          <w:sz w:val="24"/>
        </w:rPr>
      </w:pPr>
      <w:r>
        <w:rPr>
          <w:rFonts w:ascii="宋体" w:hAnsi="宋体"/>
          <w:color w:val="auto"/>
          <w:sz w:val="28"/>
          <w:szCs w:val="28"/>
        </w:rPr>
        <w:br w:type="page"/>
      </w:r>
      <w:r>
        <w:rPr>
          <w:rFonts w:hint="eastAsia" w:ascii="宋体" w:hAnsi="宋体"/>
          <w:b/>
          <w:color w:val="auto"/>
          <w:sz w:val="24"/>
        </w:rPr>
        <w:t>合同附件3：</w:t>
      </w:r>
    </w:p>
    <w:p w14:paraId="61D3BD0A">
      <w:pPr>
        <w:jc w:val="center"/>
        <w:rPr>
          <w:rFonts w:ascii="方正小标宋简体" w:eastAsia="方正小标宋简体"/>
          <w:color w:val="auto"/>
          <w:sz w:val="44"/>
          <w:szCs w:val="44"/>
        </w:rPr>
      </w:pPr>
      <w:r>
        <w:rPr>
          <w:rFonts w:hint="eastAsia" w:ascii="方正小标宋简体" w:eastAsia="方正小标宋简体"/>
          <w:color w:val="auto"/>
          <w:sz w:val="44"/>
          <w:szCs w:val="44"/>
        </w:rPr>
        <w:t>建设工程设计服务考核评分汇总表</w:t>
      </w:r>
    </w:p>
    <w:p w14:paraId="4D604B2A">
      <w:pPr>
        <w:jc w:val="center"/>
        <w:rPr>
          <w:rFonts w:ascii="方正小标宋简体" w:eastAsia="方正小标宋简体"/>
          <w:color w:val="auto"/>
          <w:sz w:val="44"/>
          <w:szCs w:val="4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994"/>
        <w:gridCol w:w="1984"/>
        <w:gridCol w:w="2013"/>
        <w:gridCol w:w="1418"/>
      </w:tblGrid>
      <w:tr w14:paraId="4009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3" w:hRule="atLeast"/>
        </w:trPr>
        <w:tc>
          <w:tcPr>
            <w:tcW w:w="1375" w:type="dxa"/>
            <w:vMerge w:val="restart"/>
            <w:noWrap w:val="0"/>
            <w:vAlign w:val="center"/>
          </w:tcPr>
          <w:p w14:paraId="78047E6E">
            <w:pPr>
              <w:jc w:val="center"/>
              <w:rPr>
                <w:rFonts w:ascii="仿宋_GB2312" w:eastAsia="仿宋_GB2312"/>
                <w:color w:val="auto"/>
                <w:szCs w:val="21"/>
              </w:rPr>
            </w:pPr>
            <w:r>
              <w:rPr>
                <w:rFonts w:hint="eastAsia" w:ascii="仿宋_GB2312" w:eastAsia="仿宋_GB2312"/>
                <w:color w:val="auto"/>
                <w:szCs w:val="21"/>
              </w:rPr>
              <w:t>总计得分（满分分值为1</w:t>
            </w:r>
            <w:r>
              <w:rPr>
                <w:rFonts w:ascii="仿宋_GB2312" w:eastAsia="仿宋_GB2312"/>
                <w:color w:val="auto"/>
                <w:szCs w:val="21"/>
              </w:rPr>
              <w:t>00</w:t>
            </w:r>
            <w:r>
              <w:rPr>
                <w:rFonts w:hint="eastAsia" w:ascii="仿宋_GB2312" w:eastAsia="仿宋_GB2312"/>
                <w:color w:val="auto"/>
                <w:szCs w:val="21"/>
              </w:rPr>
              <w:t>）</w:t>
            </w:r>
          </w:p>
        </w:tc>
        <w:tc>
          <w:tcPr>
            <w:tcW w:w="7409" w:type="dxa"/>
            <w:gridSpan w:val="4"/>
            <w:noWrap w:val="0"/>
            <w:vAlign w:val="center"/>
          </w:tcPr>
          <w:p w14:paraId="58ACEEC4">
            <w:pPr>
              <w:jc w:val="center"/>
              <w:rPr>
                <w:rFonts w:ascii="仿宋_GB2312" w:eastAsia="仿宋_GB2312"/>
                <w:color w:val="auto"/>
                <w:szCs w:val="21"/>
              </w:rPr>
            </w:pPr>
            <w:r>
              <w:rPr>
                <w:rFonts w:hint="eastAsia" w:ascii="仿宋_GB2312" w:eastAsia="仿宋_GB2312"/>
                <w:color w:val="auto"/>
                <w:szCs w:val="21"/>
              </w:rPr>
              <w:t>阶段及分值</w:t>
            </w:r>
          </w:p>
        </w:tc>
      </w:tr>
      <w:tr w14:paraId="7963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51" w:hRule="atLeast"/>
        </w:trPr>
        <w:tc>
          <w:tcPr>
            <w:tcW w:w="1375" w:type="dxa"/>
            <w:vMerge w:val="continue"/>
            <w:noWrap w:val="0"/>
            <w:vAlign w:val="center"/>
          </w:tcPr>
          <w:p w14:paraId="0067FE63">
            <w:pPr>
              <w:jc w:val="left"/>
              <w:rPr>
                <w:rFonts w:ascii="仿宋_GB2312" w:eastAsia="仿宋_GB2312"/>
                <w:color w:val="auto"/>
                <w:szCs w:val="21"/>
              </w:rPr>
            </w:pPr>
          </w:p>
        </w:tc>
        <w:tc>
          <w:tcPr>
            <w:tcW w:w="1994" w:type="dxa"/>
            <w:noWrap w:val="0"/>
            <w:vAlign w:val="center"/>
          </w:tcPr>
          <w:p w14:paraId="3ADA8331">
            <w:pPr>
              <w:jc w:val="center"/>
              <w:rPr>
                <w:rFonts w:ascii="仿宋_GB2312" w:eastAsia="仿宋_GB2312"/>
                <w:color w:val="auto"/>
                <w:szCs w:val="21"/>
              </w:rPr>
            </w:pPr>
            <w:r>
              <w:rPr>
                <w:rFonts w:hint="eastAsia" w:ascii="仿宋_GB2312" w:eastAsia="仿宋_GB2312"/>
                <w:color w:val="auto"/>
                <w:szCs w:val="21"/>
              </w:rPr>
              <w:t>初步设计及概算阶段（满分分值为40分）</w:t>
            </w:r>
          </w:p>
        </w:tc>
        <w:tc>
          <w:tcPr>
            <w:tcW w:w="1984" w:type="dxa"/>
            <w:noWrap w:val="0"/>
            <w:vAlign w:val="center"/>
          </w:tcPr>
          <w:p w14:paraId="1AA345F2">
            <w:pPr>
              <w:jc w:val="center"/>
              <w:rPr>
                <w:rFonts w:ascii="仿宋_GB2312" w:eastAsia="仿宋_GB2312"/>
                <w:color w:val="auto"/>
                <w:szCs w:val="21"/>
              </w:rPr>
            </w:pPr>
            <w:r>
              <w:rPr>
                <w:rFonts w:hint="eastAsia" w:ascii="仿宋_GB2312" w:eastAsia="仿宋_GB2312"/>
                <w:color w:val="auto"/>
                <w:szCs w:val="21"/>
              </w:rPr>
              <w:t>施工图阶段（满分分值为35分）</w:t>
            </w:r>
          </w:p>
        </w:tc>
        <w:tc>
          <w:tcPr>
            <w:tcW w:w="2013" w:type="dxa"/>
            <w:noWrap w:val="0"/>
            <w:vAlign w:val="center"/>
          </w:tcPr>
          <w:p w14:paraId="7EF1CCD3">
            <w:pPr>
              <w:jc w:val="center"/>
              <w:rPr>
                <w:rFonts w:ascii="仿宋_GB2312" w:eastAsia="仿宋_GB2312"/>
                <w:color w:val="auto"/>
                <w:szCs w:val="21"/>
              </w:rPr>
            </w:pPr>
            <w:r>
              <w:rPr>
                <w:rFonts w:hint="eastAsia" w:ascii="仿宋_GB2312" w:eastAsia="仿宋_GB2312"/>
                <w:color w:val="auto"/>
                <w:szCs w:val="21"/>
              </w:rPr>
              <w:t>施工图配合阶段（满分分值为25分）</w:t>
            </w:r>
          </w:p>
        </w:tc>
        <w:tc>
          <w:tcPr>
            <w:tcW w:w="1418" w:type="dxa"/>
            <w:noWrap w:val="0"/>
            <w:vAlign w:val="center"/>
          </w:tcPr>
          <w:p w14:paraId="00D4827A">
            <w:pPr>
              <w:jc w:val="center"/>
              <w:rPr>
                <w:rFonts w:ascii="仿宋_GB2312" w:eastAsia="仿宋_GB2312"/>
                <w:color w:val="auto"/>
                <w:szCs w:val="21"/>
              </w:rPr>
            </w:pPr>
            <w:r>
              <w:rPr>
                <w:rFonts w:hint="eastAsia" w:ascii="仿宋_GB2312" w:eastAsia="仿宋_GB2312"/>
                <w:color w:val="auto"/>
                <w:szCs w:val="21"/>
              </w:rPr>
              <w:t>最后得分</w:t>
            </w:r>
          </w:p>
        </w:tc>
      </w:tr>
      <w:tr w14:paraId="3BEA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8" w:hRule="atLeast"/>
        </w:trPr>
        <w:tc>
          <w:tcPr>
            <w:tcW w:w="1375" w:type="dxa"/>
            <w:noWrap w:val="0"/>
            <w:vAlign w:val="center"/>
          </w:tcPr>
          <w:p w14:paraId="7B66F9B9">
            <w:pPr>
              <w:jc w:val="center"/>
              <w:rPr>
                <w:rFonts w:ascii="仿宋_GB2312" w:eastAsia="仿宋_GB2312"/>
                <w:color w:val="auto"/>
                <w:szCs w:val="21"/>
              </w:rPr>
            </w:pPr>
            <w:r>
              <w:rPr>
                <w:rFonts w:hint="eastAsia" w:ascii="仿宋_GB2312" w:eastAsia="仿宋_GB2312"/>
                <w:color w:val="auto"/>
                <w:szCs w:val="21"/>
              </w:rPr>
              <w:t>累计</w:t>
            </w:r>
          </w:p>
        </w:tc>
        <w:tc>
          <w:tcPr>
            <w:tcW w:w="1994" w:type="dxa"/>
            <w:noWrap w:val="0"/>
            <w:vAlign w:val="center"/>
          </w:tcPr>
          <w:p w14:paraId="01B7C24B">
            <w:pPr>
              <w:jc w:val="left"/>
              <w:rPr>
                <w:rFonts w:ascii="仿宋_GB2312" w:eastAsia="仿宋_GB2312"/>
                <w:color w:val="auto"/>
                <w:szCs w:val="21"/>
              </w:rPr>
            </w:pPr>
          </w:p>
        </w:tc>
        <w:tc>
          <w:tcPr>
            <w:tcW w:w="1984" w:type="dxa"/>
            <w:noWrap w:val="0"/>
            <w:vAlign w:val="center"/>
          </w:tcPr>
          <w:p w14:paraId="3B60F2D4">
            <w:pPr>
              <w:jc w:val="left"/>
              <w:rPr>
                <w:rFonts w:ascii="仿宋_GB2312" w:eastAsia="仿宋_GB2312"/>
                <w:color w:val="auto"/>
                <w:szCs w:val="21"/>
              </w:rPr>
            </w:pPr>
          </w:p>
        </w:tc>
        <w:tc>
          <w:tcPr>
            <w:tcW w:w="2013" w:type="dxa"/>
            <w:noWrap w:val="0"/>
            <w:vAlign w:val="center"/>
          </w:tcPr>
          <w:p w14:paraId="1E9FD1DB">
            <w:pPr>
              <w:jc w:val="left"/>
              <w:rPr>
                <w:rFonts w:ascii="仿宋_GB2312" w:eastAsia="仿宋_GB2312"/>
                <w:color w:val="auto"/>
                <w:szCs w:val="21"/>
              </w:rPr>
            </w:pPr>
          </w:p>
        </w:tc>
        <w:tc>
          <w:tcPr>
            <w:tcW w:w="1418" w:type="dxa"/>
            <w:noWrap w:val="0"/>
            <w:vAlign w:val="center"/>
          </w:tcPr>
          <w:p w14:paraId="4A131B4A">
            <w:pPr>
              <w:jc w:val="left"/>
              <w:rPr>
                <w:rFonts w:ascii="仿宋_GB2312" w:eastAsia="仿宋_GB2312"/>
                <w:color w:val="auto"/>
                <w:szCs w:val="21"/>
              </w:rPr>
            </w:pPr>
          </w:p>
        </w:tc>
      </w:tr>
    </w:tbl>
    <w:p w14:paraId="70D60CBD">
      <w:pPr>
        <w:jc w:val="left"/>
        <w:rPr>
          <w:rFonts w:ascii="仿宋_GB2312" w:eastAsia="仿宋_GB2312"/>
          <w:color w:val="auto"/>
          <w:sz w:val="32"/>
          <w:szCs w:val="32"/>
        </w:rPr>
      </w:pPr>
    </w:p>
    <w:p w14:paraId="61B88966">
      <w:pPr>
        <w:widowControl/>
        <w:jc w:val="left"/>
        <w:rPr>
          <w:rFonts w:ascii="仿宋_GB2312" w:eastAsia="仿宋_GB2312"/>
          <w:color w:val="auto"/>
          <w:sz w:val="32"/>
          <w:szCs w:val="32"/>
        </w:rPr>
      </w:pPr>
      <w:r>
        <w:rPr>
          <w:rFonts w:ascii="仿宋_GB2312" w:eastAsia="仿宋_GB2312"/>
          <w:color w:val="auto"/>
          <w:sz w:val="32"/>
          <w:szCs w:val="32"/>
        </w:rPr>
        <w:br w:type="page"/>
      </w:r>
    </w:p>
    <w:p w14:paraId="0C6936E6">
      <w:pPr>
        <w:rPr>
          <w:rFonts w:hint="eastAsia" w:ascii="方正小标宋简体" w:eastAsia="方正小标宋简体"/>
          <w:color w:val="auto"/>
          <w:sz w:val="44"/>
          <w:szCs w:val="44"/>
        </w:rPr>
      </w:pPr>
      <w:r>
        <w:rPr>
          <w:rFonts w:hint="eastAsia" w:ascii="宋体" w:hAnsi="宋体"/>
          <w:b/>
          <w:color w:val="auto"/>
          <w:sz w:val="24"/>
        </w:rPr>
        <w:t>合同附件4：</w:t>
      </w:r>
    </w:p>
    <w:p w14:paraId="138244D0">
      <w:pPr>
        <w:jc w:val="center"/>
        <w:rPr>
          <w:rFonts w:ascii="方正小标宋简体" w:eastAsia="方正小标宋简体"/>
          <w:color w:val="auto"/>
          <w:sz w:val="44"/>
          <w:szCs w:val="44"/>
        </w:rPr>
      </w:pPr>
      <w:r>
        <w:rPr>
          <w:rFonts w:hint="eastAsia" w:ascii="方正小标宋简体" w:eastAsia="方正小标宋简体"/>
          <w:color w:val="auto"/>
          <w:sz w:val="44"/>
          <w:szCs w:val="44"/>
        </w:rPr>
        <w:t>初步设计阶段服务考核评分表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2977"/>
        <w:gridCol w:w="1275"/>
        <w:gridCol w:w="851"/>
        <w:gridCol w:w="1213"/>
      </w:tblGrid>
      <w:tr w14:paraId="437C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noWrap w:val="0"/>
            <w:vAlign w:val="center"/>
          </w:tcPr>
          <w:p w14:paraId="655889FF">
            <w:pPr>
              <w:jc w:val="center"/>
              <w:rPr>
                <w:rFonts w:ascii="仿宋_GB2312" w:eastAsia="仿宋_GB2312"/>
                <w:color w:val="auto"/>
                <w:szCs w:val="21"/>
              </w:rPr>
            </w:pPr>
            <w:r>
              <w:rPr>
                <w:rFonts w:hint="eastAsia" w:ascii="仿宋_GB2312" w:eastAsia="仿宋_GB2312"/>
                <w:color w:val="auto"/>
                <w:szCs w:val="21"/>
              </w:rPr>
              <w:t>序号</w:t>
            </w:r>
          </w:p>
        </w:tc>
        <w:tc>
          <w:tcPr>
            <w:tcW w:w="1134" w:type="dxa"/>
            <w:noWrap w:val="0"/>
            <w:vAlign w:val="center"/>
          </w:tcPr>
          <w:p w14:paraId="10214609">
            <w:pPr>
              <w:jc w:val="center"/>
              <w:rPr>
                <w:rFonts w:ascii="仿宋_GB2312" w:eastAsia="仿宋_GB2312"/>
                <w:color w:val="auto"/>
                <w:szCs w:val="21"/>
              </w:rPr>
            </w:pPr>
            <w:r>
              <w:rPr>
                <w:rFonts w:hint="eastAsia" w:ascii="仿宋_GB2312" w:eastAsia="仿宋_GB2312"/>
                <w:color w:val="auto"/>
                <w:szCs w:val="21"/>
              </w:rPr>
              <w:t>考核项目</w:t>
            </w:r>
          </w:p>
        </w:tc>
        <w:tc>
          <w:tcPr>
            <w:tcW w:w="2977" w:type="dxa"/>
            <w:noWrap w:val="0"/>
            <w:vAlign w:val="center"/>
          </w:tcPr>
          <w:p w14:paraId="5CF22CB9">
            <w:pPr>
              <w:jc w:val="center"/>
              <w:rPr>
                <w:rFonts w:ascii="仿宋_GB2312" w:eastAsia="仿宋_GB2312"/>
                <w:color w:val="auto"/>
                <w:szCs w:val="21"/>
              </w:rPr>
            </w:pPr>
            <w:r>
              <w:rPr>
                <w:rFonts w:hint="eastAsia" w:ascii="仿宋_GB2312" w:eastAsia="仿宋_GB2312"/>
                <w:color w:val="auto"/>
                <w:szCs w:val="21"/>
              </w:rPr>
              <w:t>考核子项</w:t>
            </w:r>
          </w:p>
        </w:tc>
        <w:tc>
          <w:tcPr>
            <w:tcW w:w="1275" w:type="dxa"/>
            <w:noWrap w:val="0"/>
            <w:vAlign w:val="center"/>
          </w:tcPr>
          <w:p w14:paraId="6EDB5BC3">
            <w:pPr>
              <w:jc w:val="center"/>
              <w:rPr>
                <w:rFonts w:ascii="仿宋_GB2312" w:eastAsia="仿宋_GB2312"/>
                <w:color w:val="auto"/>
                <w:szCs w:val="21"/>
              </w:rPr>
            </w:pPr>
            <w:r>
              <w:rPr>
                <w:rFonts w:hint="eastAsia" w:ascii="仿宋_GB2312" w:eastAsia="仿宋_GB2312"/>
                <w:color w:val="auto"/>
                <w:szCs w:val="21"/>
              </w:rPr>
              <w:t>应得分数</w:t>
            </w:r>
          </w:p>
        </w:tc>
        <w:tc>
          <w:tcPr>
            <w:tcW w:w="851" w:type="dxa"/>
            <w:noWrap w:val="0"/>
            <w:vAlign w:val="center"/>
          </w:tcPr>
          <w:p w14:paraId="5D3D8C05">
            <w:pPr>
              <w:jc w:val="center"/>
              <w:rPr>
                <w:rFonts w:ascii="仿宋_GB2312" w:eastAsia="仿宋_GB2312"/>
                <w:color w:val="auto"/>
                <w:szCs w:val="21"/>
              </w:rPr>
            </w:pPr>
            <w:r>
              <w:rPr>
                <w:rFonts w:hint="eastAsia" w:ascii="仿宋_GB2312" w:eastAsia="仿宋_GB2312"/>
                <w:color w:val="auto"/>
                <w:szCs w:val="21"/>
              </w:rPr>
              <w:t>扣分数</w:t>
            </w:r>
          </w:p>
        </w:tc>
        <w:tc>
          <w:tcPr>
            <w:tcW w:w="1213" w:type="dxa"/>
            <w:noWrap w:val="0"/>
            <w:vAlign w:val="center"/>
          </w:tcPr>
          <w:p w14:paraId="550D2627">
            <w:pPr>
              <w:jc w:val="center"/>
              <w:rPr>
                <w:rFonts w:ascii="仿宋_GB2312" w:eastAsia="仿宋_GB2312"/>
                <w:color w:val="auto"/>
                <w:szCs w:val="21"/>
              </w:rPr>
            </w:pPr>
            <w:r>
              <w:rPr>
                <w:rFonts w:hint="eastAsia" w:ascii="仿宋_GB2312" w:eastAsia="仿宋_GB2312"/>
                <w:color w:val="auto"/>
                <w:szCs w:val="21"/>
              </w:rPr>
              <w:t>实得分数</w:t>
            </w:r>
          </w:p>
        </w:tc>
      </w:tr>
      <w:tr w14:paraId="74B1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noWrap w:val="0"/>
            <w:vAlign w:val="center"/>
          </w:tcPr>
          <w:p w14:paraId="2301345D">
            <w:pPr>
              <w:jc w:val="left"/>
              <w:rPr>
                <w:rFonts w:ascii="仿宋_GB2312" w:eastAsia="仿宋_GB2312"/>
                <w:color w:val="auto"/>
                <w:szCs w:val="21"/>
              </w:rPr>
            </w:pPr>
            <w:r>
              <w:rPr>
                <w:rFonts w:hint="eastAsia" w:ascii="仿宋_GB2312" w:eastAsia="仿宋_GB2312"/>
                <w:color w:val="auto"/>
                <w:szCs w:val="21"/>
              </w:rPr>
              <w:t>1</w:t>
            </w:r>
          </w:p>
        </w:tc>
        <w:tc>
          <w:tcPr>
            <w:tcW w:w="1134" w:type="dxa"/>
            <w:vMerge w:val="restart"/>
            <w:noWrap w:val="0"/>
            <w:vAlign w:val="center"/>
          </w:tcPr>
          <w:p w14:paraId="5F810821">
            <w:pPr>
              <w:jc w:val="left"/>
              <w:rPr>
                <w:rFonts w:ascii="仿宋_GB2312" w:eastAsia="仿宋_GB2312"/>
                <w:color w:val="auto"/>
                <w:szCs w:val="21"/>
              </w:rPr>
            </w:pPr>
            <w:r>
              <w:rPr>
                <w:rFonts w:hint="eastAsia" w:ascii="仿宋_GB2312" w:eastAsia="仿宋_GB2312"/>
                <w:color w:val="auto"/>
                <w:szCs w:val="21"/>
              </w:rPr>
              <w:t>工作要求</w:t>
            </w:r>
          </w:p>
        </w:tc>
        <w:tc>
          <w:tcPr>
            <w:tcW w:w="2977" w:type="dxa"/>
            <w:noWrap w:val="0"/>
            <w:vAlign w:val="center"/>
          </w:tcPr>
          <w:p w14:paraId="171ED851">
            <w:pPr>
              <w:jc w:val="left"/>
              <w:rPr>
                <w:rFonts w:ascii="仿宋_GB2312" w:eastAsia="仿宋_GB2312"/>
                <w:color w:val="auto"/>
                <w:szCs w:val="21"/>
              </w:rPr>
            </w:pPr>
            <w:r>
              <w:rPr>
                <w:rFonts w:hint="eastAsia" w:ascii="仿宋_GB2312" w:eastAsia="仿宋_GB2312"/>
                <w:color w:val="auto"/>
                <w:szCs w:val="21"/>
              </w:rPr>
              <w:t>1.未按合同约定时间或双方确定的进度计划时间完成初步设计及概算编制的，迟一天扣5分，总分20分</w:t>
            </w:r>
          </w:p>
        </w:tc>
        <w:tc>
          <w:tcPr>
            <w:tcW w:w="1275" w:type="dxa"/>
            <w:noWrap w:val="0"/>
            <w:vAlign w:val="center"/>
          </w:tcPr>
          <w:p w14:paraId="5739A7E6">
            <w:pPr>
              <w:jc w:val="left"/>
              <w:rPr>
                <w:rFonts w:ascii="仿宋_GB2312" w:eastAsia="仿宋_GB2312"/>
                <w:color w:val="auto"/>
                <w:szCs w:val="21"/>
              </w:rPr>
            </w:pPr>
          </w:p>
        </w:tc>
        <w:tc>
          <w:tcPr>
            <w:tcW w:w="851" w:type="dxa"/>
            <w:noWrap w:val="0"/>
            <w:vAlign w:val="center"/>
          </w:tcPr>
          <w:p w14:paraId="31606DD0">
            <w:pPr>
              <w:jc w:val="left"/>
              <w:rPr>
                <w:rFonts w:ascii="仿宋_GB2312" w:eastAsia="仿宋_GB2312"/>
                <w:color w:val="auto"/>
                <w:szCs w:val="21"/>
              </w:rPr>
            </w:pPr>
          </w:p>
        </w:tc>
        <w:tc>
          <w:tcPr>
            <w:tcW w:w="1213" w:type="dxa"/>
            <w:vMerge w:val="restart"/>
            <w:noWrap w:val="0"/>
            <w:vAlign w:val="center"/>
          </w:tcPr>
          <w:p w14:paraId="72F4EB2B">
            <w:pPr>
              <w:jc w:val="left"/>
              <w:rPr>
                <w:rFonts w:ascii="仿宋_GB2312" w:eastAsia="仿宋_GB2312"/>
                <w:color w:val="auto"/>
                <w:szCs w:val="21"/>
              </w:rPr>
            </w:pPr>
          </w:p>
        </w:tc>
      </w:tr>
      <w:tr w14:paraId="082E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6C23D25B">
            <w:pPr>
              <w:jc w:val="left"/>
              <w:rPr>
                <w:rFonts w:ascii="仿宋_GB2312" w:eastAsia="仿宋_GB2312"/>
                <w:color w:val="auto"/>
                <w:szCs w:val="21"/>
              </w:rPr>
            </w:pPr>
          </w:p>
        </w:tc>
        <w:tc>
          <w:tcPr>
            <w:tcW w:w="1134" w:type="dxa"/>
            <w:vMerge w:val="continue"/>
            <w:noWrap w:val="0"/>
            <w:vAlign w:val="center"/>
          </w:tcPr>
          <w:p w14:paraId="56CE2D87">
            <w:pPr>
              <w:jc w:val="left"/>
              <w:rPr>
                <w:rFonts w:ascii="仿宋_GB2312" w:eastAsia="仿宋_GB2312"/>
                <w:color w:val="auto"/>
                <w:szCs w:val="21"/>
              </w:rPr>
            </w:pPr>
          </w:p>
        </w:tc>
        <w:tc>
          <w:tcPr>
            <w:tcW w:w="2977" w:type="dxa"/>
            <w:noWrap w:val="0"/>
            <w:vAlign w:val="center"/>
          </w:tcPr>
          <w:p w14:paraId="2AD7EA6D">
            <w:pPr>
              <w:jc w:val="left"/>
              <w:rPr>
                <w:rFonts w:ascii="仿宋_GB2312" w:eastAsia="仿宋_GB2312"/>
                <w:color w:val="auto"/>
                <w:szCs w:val="21"/>
              </w:rPr>
            </w:pPr>
            <w:r>
              <w:rPr>
                <w:rFonts w:hint="eastAsia" w:ascii="仿宋_GB2312" w:eastAsia="仿宋_GB2312"/>
                <w:color w:val="auto"/>
                <w:szCs w:val="21"/>
              </w:rPr>
              <w:t>2.概算编制出现漏项、单价严重偏差、计价依据不准确、超立项的每项扣5分，总分20分</w:t>
            </w:r>
          </w:p>
        </w:tc>
        <w:tc>
          <w:tcPr>
            <w:tcW w:w="1275" w:type="dxa"/>
            <w:noWrap w:val="0"/>
            <w:vAlign w:val="center"/>
          </w:tcPr>
          <w:p w14:paraId="4E1BFCEA">
            <w:pPr>
              <w:jc w:val="left"/>
              <w:rPr>
                <w:rFonts w:ascii="仿宋_GB2312" w:eastAsia="仿宋_GB2312"/>
                <w:color w:val="auto"/>
                <w:szCs w:val="21"/>
              </w:rPr>
            </w:pPr>
          </w:p>
        </w:tc>
        <w:tc>
          <w:tcPr>
            <w:tcW w:w="851" w:type="dxa"/>
            <w:noWrap w:val="0"/>
            <w:vAlign w:val="center"/>
          </w:tcPr>
          <w:p w14:paraId="5F13263A">
            <w:pPr>
              <w:jc w:val="left"/>
              <w:rPr>
                <w:rFonts w:ascii="仿宋_GB2312" w:eastAsia="仿宋_GB2312"/>
                <w:color w:val="auto"/>
                <w:szCs w:val="21"/>
              </w:rPr>
            </w:pPr>
          </w:p>
        </w:tc>
        <w:tc>
          <w:tcPr>
            <w:tcW w:w="1213" w:type="dxa"/>
            <w:vMerge w:val="continue"/>
            <w:noWrap w:val="0"/>
            <w:vAlign w:val="center"/>
          </w:tcPr>
          <w:p w14:paraId="6D5B4221">
            <w:pPr>
              <w:jc w:val="left"/>
              <w:rPr>
                <w:rFonts w:ascii="仿宋_GB2312" w:eastAsia="仿宋_GB2312"/>
                <w:color w:val="auto"/>
                <w:szCs w:val="21"/>
              </w:rPr>
            </w:pPr>
          </w:p>
        </w:tc>
      </w:tr>
      <w:tr w14:paraId="615F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48B7DBAD">
            <w:pPr>
              <w:jc w:val="left"/>
              <w:rPr>
                <w:rFonts w:ascii="仿宋_GB2312" w:eastAsia="仿宋_GB2312"/>
                <w:color w:val="auto"/>
                <w:szCs w:val="21"/>
              </w:rPr>
            </w:pPr>
          </w:p>
        </w:tc>
        <w:tc>
          <w:tcPr>
            <w:tcW w:w="1134" w:type="dxa"/>
            <w:vMerge w:val="continue"/>
            <w:noWrap w:val="0"/>
            <w:vAlign w:val="center"/>
          </w:tcPr>
          <w:p w14:paraId="0499E1B6">
            <w:pPr>
              <w:jc w:val="left"/>
              <w:rPr>
                <w:rFonts w:ascii="仿宋_GB2312" w:eastAsia="仿宋_GB2312"/>
                <w:color w:val="auto"/>
                <w:szCs w:val="21"/>
              </w:rPr>
            </w:pPr>
          </w:p>
        </w:tc>
        <w:tc>
          <w:tcPr>
            <w:tcW w:w="2977" w:type="dxa"/>
            <w:noWrap w:val="0"/>
            <w:vAlign w:val="center"/>
          </w:tcPr>
          <w:p w14:paraId="7645BF5D">
            <w:pPr>
              <w:jc w:val="left"/>
              <w:rPr>
                <w:rFonts w:ascii="仿宋_GB2312" w:eastAsia="仿宋_GB2312"/>
                <w:color w:val="auto"/>
                <w:szCs w:val="21"/>
              </w:rPr>
            </w:pPr>
            <w:r>
              <w:rPr>
                <w:rFonts w:hint="eastAsia" w:ascii="仿宋_GB2312" w:eastAsia="仿宋_GB2312"/>
                <w:color w:val="auto"/>
                <w:szCs w:val="21"/>
              </w:rPr>
              <w:t>3.初步设计经专家评审不通过的扣20分，总分20分。</w:t>
            </w:r>
          </w:p>
        </w:tc>
        <w:tc>
          <w:tcPr>
            <w:tcW w:w="1275" w:type="dxa"/>
            <w:noWrap w:val="0"/>
            <w:vAlign w:val="center"/>
          </w:tcPr>
          <w:p w14:paraId="579EAFD5">
            <w:pPr>
              <w:jc w:val="left"/>
              <w:rPr>
                <w:rFonts w:ascii="仿宋_GB2312" w:eastAsia="仿宋_GB2312"/>
                <w:color w:val="auto"/>
                <w:szCs w:val="21"/>
              </w:rPr>
            </w:pPr>
          </w:p>
        </w:tc>
        <w:tc>
          <w:tcPr>
            <w:tcW w:w="851" w:type="dxa"/>
            <w:noWrap w:val="0"/>
            <w:vAlign w:val="center"/>
          </w:tcPr>
          <w:p w14:paraId="5DCF9DC0">
            <w:pPr>
              <w:jc w:val="left"/>
              <w:rPr>
                <w:rFonts w:ascii="仿宋_GB2312" w:eastAsia="仿宋_GB2312"/>
                <w:color w:val="auto"/>
                <w:szCs w:val="21"/>
              </w:rPr>
            </w:pPr>
          </w:p>
        </w:tc>
        <w:tc>
          <w:tcPr>
            <w:tcW w:w="1213" w:type="dxa"/>
            <w:vMerge w:val="continue"/>
            <w:noWrap w:val="0"/>
            <w:vAlign w:val="center"/>
          </w:tcPr>
          <w:p w14:paraId="2AE092C1">
            <w:pPr>
              <w:jc w:val="left"/>
              <w:rPr>
                <w:rFonts w:ascii="仿宋_GB2312" w:eastAsia="仿宋_GB2312"/>
                <w:color w:val="auto"/>
                <w:szCs w:val="21"/>
              </w:rPr>
            </w:pPr>
          </w:p>
        </w:tc>
      </w:tr>
      <w:tr w14:paraId="1F28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46" w:type="dxa"/>
            <w:vMerge w:val="continue"/>
            <w:noWrap w:val="0"/>
            <w:vAlign w:val="center"/>
          </w:tcPr>
          <w:p w14:paraId="6F4B85D0">
            <w:pPr>
              <w:jc w:val="left"/>
              <w:rPr>
                <w:rFonts w:ascii="仿宋_GB2312" w:eastAsia="仿宋_GB2312"/>
                <w:color w:val="auto"/>
                <w:szCs w:val="21"/>
              </w:rPr>
            </w:pPr>
          </w:p>
        </w:tc>
        <w:tc>
          <w:tcPr>
            <w:tcW w:w="1134" w:type="dxa"/>
            <w:vMerge w:val="continue"/>
            <w:noWrap w:val="0"/>
            <w:vAlign w:val="center"/>
          </w:tcPr>
          <w:p w14:paraId="37657A3C">
            <w:pPr>
              <w:jc w:val="left"/>
              <w:rPr>
                <w:rFonts w:ascii="仿宋_GB2312" w:eastAsia="仿宋_GB2312"/>
                <w:color w:val="auto"/>
                <w:szCs w:val="21"/>
              </w:rPr>
            </w:pPr>
          </w:p>
        </w:tc>
        <w:tc>
          <w:tcPr>
            <w:tcW w:w="2977" w:type="dxa"/>
            <w:noWrap w:val="0"/>
            <w:vAlign w:val="center"/>
          </w:tcPr>
          <w:p w14:paraId="4941ADA4">
            <w:pPr>
              <w:jc w:val="left"/>
              <w:rPr>
                <w:rFonts w:ascii="仿宋_GB2312" w:eastAsia="仿宋_GB2312"/>
                <w:color w:val="auto"/>
                <w:szCs w:val="21"/>
              </w:rPr>
            </w:pPr>
            <w:r>
              <w:rPr>
                <w:rFonts w:hint="eastAsia" w:ascii="仿宋_GB2312" w:eastAsia="仿宋_GB2312"/>
                <w:color w:val="auto"/>
                <w:szCs w:val="21"/>
              </w:rPr>
              <w:t>4.未按合同约定时间或双方确定的进度计划时间根据专家意见及相关单位意见完成初步设计修改（含对意见回复）的, 迟一天扣5分，总分20分。</w:t>
            </w:r>
          </w:p>
        </w:tc>
        <w:tc>
          <w:tcPr>
            <w:tcW w:w="1275" w:type="dxa"/>
            <w:noWrap w:val="0"/>
            <w:vAlign w:val="center"/>
          </w:tcPr>
          <w:p w14:paraId="469D6C9C">
            <w:pPr>
              <w:jc w:val="left"/>
              <w:rPr>
                <w:rFonts w:ascii="仿宋_GB2312" w:eastAsia="仿宋_GB2312"/>
                <w:color w:val="auto"/>
                <w:szCs w:val="21"/>
              </w:rPr>
            </w:pPr>
          </w:p>
        </w:tc>
        <w:tc>
          <w:tcPr>
            <w:tcW w:w="851" w:type="dxa"/>
            <w:noWrap w:val="0"/>
            <w:vAlign w:val="center"/>
          </w:tcPr>
          <w:p w14:paraId="5E308E64">
            <w:pPr>
              <w:jc w:val="left"/>
              <w:rPr>
                <w:rFonts w:ascii="仿宋_GB2312" w:eastAsia="仿宋_GB2312"/>
                <w:color w:val="auto"/>
                <w:szCs w:val="21"/>
              </w:rPr>
            </w:pPr>
          </w:p>
        </w:tc>
        <w:tc>
          <w:tcPr>
            <w:tcW w:w="1213" w:type="dxa"/>
            <w:vMerge w:val="continue"/>
            <w:noWrap w:val="0"/>
            <w:vAlign w:val="center"/>
          </w:tcPr>
          <w:p w14:paraId="580DB783">
            <w:pPr>
              <w:jc w:val="left"/>
              <w:rPr>
                <w:rFonts w:ascii="仿宋_GB2312" w:eastAsia="仿宋_GB2312"/>
                <w:color w:val="auto"/>
                <w:szCs w:val="21"/>
              </w:rPr>
            </w:pPr>
          </w:p>
        </w:tc>
      </w:tr>
      <w:tr w14:paraId="48AE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5EAD9ED0">
            <w:pPr>
              <w:jc w:val="left"/>
              <w:rPr>
                <w:rFonts w:ascii="仿宋_GB2312" w:eastAsia="仿宋_GB2312"/>
                <w:color w:val="auto"/>
                <w:szCs w:val="21"/>
              </w:rPr>
            </w:pPr>
          </w:p>
        </w:tc>
        <w:tc>
          <w:tcPr>
            <w:tcW w:w="1134" w:type="dxa"/>
            <w:vMerge w:val="continue"/>
            <w:noWrap w:val="0"/>
            <w:vAlign w:val="center"/>
          </w:tcPr>
          <w:p w14:paraId="4FB185AC">
            <w:pPr>
              <w:jc w:val="left"/>
              <w:rPr>
                <w:rFonts w:ascii="仿宋_GB2312" w:eastAsia="仿宋_GB2312"/>
                <w:color w:val="auto"/>
                <w:szCs w:val="21"/>
              </w:rPr>
            </w:pPr>
          </w:p>
        </w:tc>
        <w:tc>
          <w:tcPr>
            <w:tcW w:w="2977" w:type="dxa"/>
            <w:noWrap w:val="0"/>
            <w:vAlign w:val="center"/>
          </w:tcPr>
          <w:p w14:paraId="70BA07BA">
            <w:pPr>
              <w:jc w:val="left"/>
              <w:rPr>
                <w:rFonts w:ascii="仿宋_GB2312" w:eastAsia="仿宋_GB2312"/>
                <w:color w:val="auto"/>
                <w:szCs w:val="21"/>
              </w:rPr>
            </w:pPr>
            <w:r>
              <w:rPr>
                <w:rFonts w:hint="eastAsia" w:ascii="仿宋_GB2312" w:eastAsia="仿宋_GB2312"/>
                <w:color w:val="auto"/>
                <w:szCs w:val="21"/>
              </w:rPr>
              <w:t>5.概算评审过程中，因设计原因每补充资料一次的扣1</w:t>
            </w:r>
            <w:r>
              <w:rPr>
                <w:rFonts w:ascii="仿宋_GB2312" w:eastAsia="仿宋_GB2312"/>
                <w:color w:val="auto"/>
                <w:szCs w:val="21"/>
              </w:rPr>
              <w:t>0</w:t>
            </w:r>
            <w:r>
              <w:rPr>
                <w:rFonts w:hint="eastAsia" w:ascii="仿宋_GB2312" w:eastAsia="仿宋_GB2312"/>
                <w:color w:val="auto"/>
                <w:szCs w:val="21"/>
              </w:rPr>
              <w:t>分，总分2</w:t>
            </w:r>
            <w:r>
              <w:rPr>
                <w:rFonts w:ascii="仿宋_GB2312" w:eastAsia="仿宋_GB2312"/>
                <w:color w:val="auto"/>
                <w:szCs w:val="21"/>
              </w:rPr>
              <w:t>0</w:t>
            </w:r>
            <w:r>
              <w:rPr>
                <w:rFonts w:hint="eastAsia" w:ascii="仿宋_GB2312" w:eastAsia="仿宋_GB2312"/>
                <w:color w:val="auto"/>
                <w:szCs w:val="21"/>
              </w:rPr>
              <w:t>分</w:t>
            </w:r>
          </w:p>
        </w:tc>
        <w:tc>
          <w:tcPr>
            <w:tcW w:w="1275" w:type="dxa"/>
            <w:noWrap w:val="0"/>
            <w:vAlign w:val="center"/>
          </w:tcPr>
          <w:p w14:paraId="07167A97">
            <w:pPr>
              <w:jc w:val="left"/>
              <w:rPr>
                <w:rFonts w:ascii="仿宋_GB2312" w:eastAsia="仿宋_GB2312"/>
                <w:color w:val="auto"/>
                <w:szCs w:val="21"/>
              </w:rPr>
            </w:pPr>
          </w:p>
        </w:tc>
        <w:tc>
          <w:tcPr>
            <w:tcW w:w="851" w:type="dxa"/>
            <w:noWrap w:val="0"/>
            <w:vAlign w:val="center"/>
          </w:tcPr>
          <w:p w14:paraId="2FDB05F5">
            <w:pPr>
              <w:jc w:val="left"/>
              <w:rPr>
                <w:rFonts w:ascii="仿宋_GB2312" w:eastAsia="仿宋_GB2312"/>
                <w:color w:val="auto"/>
                <w:szCs w:val="21"/>
              </w:rPr>
            </w:pPr>
          </w:p>
        </w:tc>
        <w:tc>
          <w:tcPr>
            <w:tcW w:w="1213" w:type="dxa"/>
            <w:vMerge w:val="continue"/>
            <w:noWrap w:val="0"/>
            <w:vAlign w:val="center"/>
          </w:tcPr>
          <w:p w14:paraId="5DAFC5DD">
            <w:pPr>
              <w:jc w:val="left"/>
              <w:rPr>
                <w:rFonts w:ascii="仿宋_GB2312" w:eastAsia="仿宋_GB2312"/>
                <w:color w:val="auto"/>
                <w:szCs w:val="21"/>
              </w:rPr>
            </w:pPr>
          </w:p>
        </w:tc>
      </w:tr>
    </w:tbl>
    <w:p w14:paraId="13F4D475">
      <w:pPr>
        <w:jc w:val="left"/>
        <w:rPr>
          <w:rFonts w:ascii="仿宋_GB2312" w:eastAsia="仿宋_GB2312"/>
          <w:color w:val="auto"/>
          <w:sz w:val="44"/>
          <w:szCs w:val="44"/>
        </w:rPr>
      </w:pPr>
    </w:p>
    <w:p w14:paraId="50BFE814">
      <w:pPr>
        <w:widowControl/>
        <w:jc w:val="left"/>
        <w:rPr>
          <w:rFonts w:ascii="仿宋_GB2312" w:eastAsia="仿宋_GB2312"/>
          <w:color w:val="auto"/>
          <w:sz w:val="44"/>
          <w:szCs w:val="44"/>
        </w:rPr>
      </w:pPr>
      <w:r>
        <w:rPr>
          <w:rFonts w:ascii="仿宋_GB2312" w:eastAsia="仿宋_GB2312"/>
          <w:color w:val="auto"/>
          <w:sz w:val="44"/>
          <w:szCs w:val="44"/>
        </w:rPr>
        <w:br w:type="page"/>
      </w:r>
    </w:p>
    <w:p w14:paraId="65C90E63">
      <w:pPr>
        <w:rPr>
          <w:rFonts w:hint="eastAsia" w:ascii="宋体" w:hAnsi="宋体"/>
          <w:b/>
          <w:color w:val="auto"/>
          <w:sz w:val="24"/>
        </w:rPr>
      </w:pPr>
      <w:r>
        <w:rPr>
          <w:rFonts w:hint="eastAsia" w:ascii="宋体" w:hAnsi="宋体"/>
          <w:b/>
          <w:color w:val="auto"/>
          <w:sz w:val="24"/>
        </w:rPr>
        <w:t>合同附件</w:t>
      </w:r>
      <w:r>
        <w:rPr>
          <w:rFonts w:hint="eastAsia" w:ascii="宋体" w:hAnsi="宋体"/>
          <w:b/>
          <w:color w:val="auto"/>
          <w:sz w:val="24"/>
          <w:lang w:val="en-US" w:eastAsia="zh-CN"/>
        </w:rPr>
        <w:t>5</w:t>
      </w:r>
      <w:r>
        <w:rPr>
          <w:rFonts w:hint="eastAsia" w:ascii="宋体" w:hAnsi="宋体"/>
          <w:b/>
          <w:color w:val="auto"/>
          <w:sz w:val="24"/>
        </w:rPr>
        <w:t>：</w:t>
      </w:r>
    </w:p>
    <w:p w14:paraId="57DBC168">
      <w:pPr>
        <w:jc w:val="center"/>
        <w:rPr>
          <w:rFonts w:ascii="方正小标宋简体" w:eastAsia="方正小标宋简体"/>
          <w:color w:val="auto"/>
          <w:sz w:val="44"/>
          <w:szCs w:val="44"/>
        </w:rPr>
      </w:pPr>
      <w:r>
        <w:rPr>
          <w:rFonts w:hint="eastAsia" w:ascii="方正小标宋简体" w:eastAsia="方正小标宋简体"/>
          <w:color w:val="auto"/>
          <w:sz w:val="44"/>
          <w:szCs w:val="44"/>
        </w:rPr>
        <w:t>施工图设计阶段服务考核评分表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2977"/>
        <w:gridCol w:w="1275"/>
        <w:gridCol w:w="851"/>
        <w:gridCol w:w="1213"/>
      </w:tblGrid>
      <w:tr w14:paraId="5BE7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noWrap w:val="0"/>
            <w:vAlign w:val="center"/>
          </w:tcPr>
          <w:p w14:paraId="7D1EAD44">
            <w:pPr>
              <w:jc w:val="center"/>
              <w:rPr>
                <w:rFonts w:ascii="仿宋_GB2312" w:eastAsia="仿宋_GB2312"/>
                <w:color w:val="auto"/>
                <w:szCs w:val="21"/>
              </w:rPr>
            </w:pPr>
            <w:r>
              <w:rPr>
                <w:rFonts w:hint="eastAsia" w:ascii="仿宋_GB2312" w:eastAsia="仿宋_GB2312"/>
                <w:color w:val="auto"/>
                <w:szCs w:val="21"/>
              </w:rPr>
              <w:t>序号</w:t>
            </w:r>
          </w:p>
        </w:tc>
        <w:tc>
          <w:tcPr>
            <w:tcW w:w="1134" w:type="dxa"/>
            <w:noWrap w:val="0"/>
            <w:vAlign w:val="center"/>
          </w:tcPr>
          <w:p w14:paraId="2AA831FE">
            <w:pPr>
              <w:jc w:val="center"/>
              <w:rPr>
                <w:rFonts w:ascii="仿宋_GB2312" w:eastAsia="仿宋_GB2312"/>
                <w:color w:val="auto"/>
                <w:szCs w:val="21"/>
              </w:rPr>
            </w:pPr>
            <w:r>
              <w:rPr>
                <w:rFonts w:hint="eastAsia" w:ascii="仿宋_GB2312" w:eastAsia="仿宋_GB2312"/>
                <w:color w:val="auto"/>
                <w:szCs w:val="21"/>
              </w:rPr>
              <w:t>考核项目</w:t>
            </w:r>
          </w:p>
        </w:tc>
        <w:tc>
          <w:tcPr>
            <w:tcW w:w="2977" w:type="dxa"/>
            <w:noWrap w:val="0"/>
            <w:vAlign w:val="center"/>
          </w:tcPr>
          <w:p w14:paraId="37C34603">
            <w:pPr>
              <w:jc w:val="center"/>
              <w:rPr>
                <w:rFonts w:ascii="仿宋_GB2312" w:eastAsia="仿宋_GB2312"/>
                <w:color w:val="auto"/>
                <w:szCs w:val="21"/>
              </w:rPr>
            </w:pPr>
            <w:r>
              <w:rPr>
                <w:rFonts w:hint="eastAsia" w:ascii="仿宋_GB2312" w:eastAsia="仿宋_GB2312"/>
                <w:color w:val="auto"/>
                <w:szCs w:val="21"/>
              </w:rPr>
              <w:t>考核子项</w:t>
            </w:r>
          </w:p>
        </w:tc>
        <w:tc>
          <w:tcPr>
            <w:tcW w:w="1275" w:type="dxa"/>
            <w:noWrap w:val="0"/>
            <w:vAlign w:val="center"/>
          </w:tcPr>
          <w:p w14:paraId="67253238">
            <w:pPr>
              <w:jc w:val="center"/>
              <w:rPr>
                <w:rFonts w:ascii="仿宋_GB2312" w:eastAsia="仿宋_GB2312"/>
                <w:color w:val="auto"/>
                <w:szCs w:val="21"/>
              </w:rPr>
            </w:pPr>
            <w:r>
              <w:rPr>
                <w:rFonts w:hint="eastAsia" w:ascii="仿宋_GB2312" w:eastAsia="仿宋_GB2312"/>
                <w:color w:val="auto"/>
                <w:szCs w:val="21"/>
              </w:rPr>
              <w:t>应得分数</w:t>
            </w:r>
          </w:p>
        </w:tc>
        <w:tc>
          <w:tcPr>
            <w:tcW w:w="851" w:type="dxa"/>
            <w:noWrap w:val="0"/>
            <w:vAlign w:val="center"/>
          </w:tcPr>
          <w:p w14:paraId="59E700C5">
            <w:pPr>
              <w:jc w:val="center"/>
              <w:rPr>
                <w:rFonts w:ascii="仿宋_GB2312" w:eastAsia="仿宋_GB2312"/>
                <w:color w:val="auto"/>
                <w:szCs w:val="21"/>
              </w:rPr>
            </w:pPr>
            <w:r>
              <w:rPr>
                <w:rFonts w:hint="eastAsia" w:ascii="仿宋_GB2312" w:eastAsia="仿宋_GB2312"/>
                <w:color w:val="auto"/>
                <w:szCs w:val="21"/>
              </w:rPr>
              <w:t>扣分数</w:t>
            </w:r>
          </w:p>
        </w:tc>
        <w:tc>
          <w:tcPr>
            <w:tcW w:w="1213" w:type="dxa"/>
            <w:noWrap w:val="0"/>
            <w:vAlign w:val="center"/>
          </w:tcPr>
          <w:p w14:paraId="5977CEED">
            <w:pPr>
              <w:jc w:val="center"/>
              <w:rPr>
                <w:rFonts w:ascii="仿宋_GB2312" w:eastAsia="仿宋_GB2312"/>
                <w:color w:val="auto"/>
                <w:szCs w:val="21"/>
              </w:rPr>
            </w:pPr>
            <w:r>
              <w:rPr>
                <w:rFonts w:hint="eastAsia" w:ascii="仿宋_GB2312" w:eastAsia="仿宋_GB2312"/>
                <w:color w:val="auto"/>
                <w:szCs w:val="21"/>
              </w:rPr>
              <w:t>实得分数</w:t>
            </w:r>
          </w:p>
        </w:tc>
      </w:tr>
      <w:tr w14:paraId="1BB4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noWrap w:val="0"/>
            <w:vAlign w:val="center"/>
          </w:tcPr>
          <w:p w14:paraId="2A6F1A4D">
            <w:pPr>
              <w:jc w:val="left"/>
              <w:rPr>
                <w:rFonts w:ascii="仿宋_GB2312" w:eastAsia="仿宋_GB2312"/>
                <w:color w:val="auto"/>
                <w:szCs w:val="21"/>
              </w:rPr>
            </w:pPr>
            <w:r>
              <w:rPr>
                <w:rFonts w:hint="eastAsia" w:ascii="仿宋_GB2312" w:eastAsia="仿宋_GB2312"/>
                <w:color w:val="auto"/>
                <w:szCs w:val="21"/>
              </w:rPr>
              <w:t>1</w:t>
            </w:r>
          </w:p>
        </w:tc>
        <w:tc>
          <w:tcPr>
            <w:tcW w:w="1134" w:type="dxa"/>
            <w:vMerge w:val="restart"/>
            <w:noWrap w:val="0"/>
            <w:vAlign w:val="center"/>
          </w:tcPr>
          <w:p w14:paraId="13B6FF90">
            <w:pPr>
              <w:jc w:val="left"/>
              <w:rPr>
                <w:rFonts w:ascii="仿宋_GB2312" w:eastAsia="仿宋_GB2312"/>
                <w:color w:val="auto"/>
                <w:szCs w:val="21"/>
              </w:rPr>
            </w:pPr>
            <w:r>
              <w:rPr>
                <w:rFonts w:hint="eastAsia" w:ascii="仿宋_GB2312" w:eastAsia="仿宋_GB2312"/>
                <w:color w:val="auto"/>
                <w:szCs w:val="21"/>
              </w:rPr>
              <w:t>工作要求</w:t>
            </w:r>
          </w:p>
        </w:tc>
        <w:tc>
          <w:tcPr>
            <w:tcW w:w="2977" w:type="dxa"/>
            <w:noWrap w:val="0"/>
            <w:vAlign w:val="center"/>
          </w:tcPr>
          <w:p w14:paraId="2471D744">
            <w:pPr>
              <w:jc w:val="left"/>
              <w:rPr>
                <w:rFonts w:ascii="仿宋_GB2312" w:eastAsia="仿宋_GB2312"/>
                <w:color w:val="auto"/>
                <w:szCs w:val="21"/>
              </w:rPr>
            </w:pPr>
            <w:r>
              <w:rPr>
                <w:rFonts w:hint="eastAsia" w:ascii="仿宋_GB2312" w:eastAsia="仿宋_GB2312"/>
                <w:color w:val="auto"/>
                <w:szCs w:val="21"/>
              </w:rPr>
              <w:t>1.施工图设计未按合同约定时间或双方确定的进度计划时间完成提交成果的,迟一天扣5分，总分20分。</w:t>
            </w:r>
          </w:p>
        </w:tc>
        <w:tc>
          <w:tcPr>
            <w:tcW w:w="1275" w:type="dxa"/>
            <w:noWrap w:val="0"/>
            <w:vAlign w:val="center"/>
          </w:tcPr>
          <w:p w14:paraId="576E6EAE">
            <w:pPr>
              <w:jc w:val="left"/>
              <w:rPr>
                <w:rFonts w:ascii="仿宋_GB2312" w:eastAsia="仿宋_GB2312"/>
                <w:color w:val="auto"/>
                <w:szCs w:val="21"/>
              </w:rPr>
            </w:pPr>
          </w:p>
        </w:tc>
        <w:tc>
          <w:tcPr>
            <w:tcW w:w="851" w:type="dxa"/>
            <w:noWrap w:val="0"/>
            <w:vAlign w:val="center"/>
          </w:tcPr>
          <w:p w14:paraId="44C21C24">
            <w:pPr>
              <w:jc w:val="left"/>
              <w:rPr>
                <w:rFonts w:ascii="仿宋_GB2312" w:eastAsia="仿宋_GB2312"/>
                <w:color w:val="auto"/>
                <w:szCs w:val="21"/>
              </w:rPr>
            </w:pPr>
          </w:p>
        </w:tc>
        <w:tc>
          <w:tcPr>
            <w:tcW w:w="1213" w:type="dxa"/>
            <w:vMerge w:val="restart"/>
            <w:noWrap w:val="0"/>
            <w:vAlign w:val="center"/>
          </w:tcPr>
          <w:p w14:paraId="545C4BEA">
            <w:pPr>
              <w:jc w:val="left"/>
              <w:rPr>
                <w:rFonts w:ascii="仿宋_GB2312" w:eastAsia="仿宋_GB2312"/>
                <w:color w:val="auto"/>
                <w:szCs w:val="21"/>
              </w:rPr>
            </w:pPr>
          </w:p>
        </w:tc>
      </w:tr>
      <w:tr w14:paraId="0F4D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73AD51A8">
            <w:pPr>
              <w:jc w:val="left"/>
              <w:rPr>
                <w:rFonts w:ascii="仿宋_GB2312" w:eastAsia="仿宋_GB2312"/>
                <w:color w:val="auto"/>
                <w:szCs w:val="21"/>
              </w:rPr>
            </w:pPr>
          </w:p>
        </w:tc>
        <w:tc>
          <w:tcPr>
            <w:tcW w:w="1134" w:type="dxa"/>
            <w:vMerge w:val="continue"/>
            <w:noWrap w:val="0"/>
            <w:vAlign w:val="center"/>
          </w:tcPr>
          <w:p w14:paraId="46AC0B43">
            <w:pPr>
              <w:jc w:val="left"/>
              <w:rPr>
                <w:rFonts w:ascii="仿宋_GB2312" w:eastAsia="仿宋_GB2312"/>
                <w:color w:val="auto"/>
                <w:szCs w:val="21"/>
              </w:rPr>
            </w:pPr>
          </w:p>
        </w:tc>
        <w:tc>
          <w:tcPr>
            <w:tcW w:w="2977" w:type="dxa"/>
            <w:noWrap w:val="0"/>
            <w:vAlign w:val="center"/>
          </w:tcPr>
          <w:p w14:paraId="06DC0CC6">
            <w:pPr>
              <w:jc w:val="left"/>
              <w:rPr>
                <w:rFonts w:ascii="仿宋_GB2312" w:eastAsia="仿宋_GB2312"/>
                <w:color w:val="auto"/>
                <w:szCs w:val="21"/>
              </w:rPr>
            </w:pPr>
            <w:r>
              <w:rPr>
                <w:rFonts w:hint="eastAsia" w:ascii="仿宋_GB2312" w:eastAsia="仿宋_GB2312"/>
                <w:color w:val="auto"/>
                <w:szCs w:val="21"/>
              </w:rPr>
              <w:t>2.施工图审查出现违反强制条文的扣20分，总分20分。</w:t>
            </w:r>
          </w:p>
        </w:tc>
        <w:tc>
          <w:tcPr>
            <w:tcW w:w="1275" w:type="dxa"/>
            <w:noWrap w:val="0"/>
            <w:vAlign w:val="center"/>
          </w:tcPr>
          <w:p w14:paraId="2E519FF2">
            <w:pPr>
              <w:jc w:val="left"/>
              <w:rPr>
                <w:rFonts w:ascii="仿宋_GB2312" w:eastAsia="仿宋_GB2312"/>
                <w:color w:val="auto"/>
                <w:szCs w:val="21"/>
              </w:rPr>
            </w:pPr>
          </w:p>
        </w:tc>
        <w:tc>
          <w:tcPr>
            <w:tcW w:w="851" w:type="dxa"/>
            <w:noWrap w:val="0"/>
            <w:vAlign w:val="center"/>
          </w:tcPr>
          <w:p w14:paraId="0994EA46">
            <w:pPr>
              <w:jc w:val="left"/>
              <w:rPr>
                <w:rFonts w:ascii="仿宋_GB2312" w:eastAsia="仿宋_GB2312"/>
                <w:color w:val="auto"/>
                <w:szCs w:val="21"/>
              </w:rPr>
            </w:pPr>
          </w:p>
        </w:tc>
        <w:tc>
          <w:tcPr>
            <w:tcW w:w="1213" w:type="dxa"/>
            <w:vMerge w:val="continue"/>
            <w:noWrap w:val="0"/>
            <w:vAlign w:val="center"/>
          </w:tcPr>
          <w:p w14:paraId="4822B321">
            <w:pPr>
              <w:jc w:val="left"/>
              <w:rPr>
                <w:rFonts w:ascii="仿宋_GB2312" w:eastAsia="仿宋_GB2312"/>
                <w:color w:val="auto"/>
                <w:szCs w:val="21"/>
              </w:rPr>
            </w:pPr>
          </w:p>
        </w:tc>
      </w:tr>
      <w:tr w14:paraId="09D3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00F4F77F">
            <w:pPr>
              <w:jc w:val="left"/>
              <w:rPr>
                <w:rFonts w:ascii="仿宋_GB2312" w:eastAsia="仿宋_GB2312"/>
                <w:color w:val="auto"/>
                <w:szCs w:val="21"/>
              </w:rPr>
            </w:pPr>
          </w:p>
        </w:tc>
        <w:tc>
          <w:tcPr>
            <w:tcW w:w="1134" w:type="dxa"/>
            <w:vMerge w:val="continue"/>
            <w:noWrap w:val="0"/>
            <w:vAlign w:val="center"/>
          </w:tcPr>
          <w:p w14:paraId="65022B91">
            <w:pPr>
              <w:jc w:val="left"/>
              <w:rPr>
                <w:rFonts w:ascii="仿宋_GB2312" w:eastAsia="仿宋_GB2312"/>
                <w:color w:val="auto"/>
                <w:szCs w:val="21"/>
              </w:rPr>
            </w:pPr>
          </w:p>
        </w:tc>
        <w:tc>
          <w:tcPr>
            <w:tcW w:w="2977" w:type="dxa"/>
            <w:noWrap w:val="0"/>
            <w:vAlign w:val="center"/>
          </w:tcPr>
          <w:p w14:paraId="7E056086">
            <w:pPr>
              <w:jc w:val="left"/>
              <w:rPr>
                <w:rFonts w:ascii="仿宋_GB2312" w:eastAsia="仿宋_GB2312"/>
                <w:color w:val="auto"/>
                <w:szCs w:val="21"/>
              </w:rPr>
            </w:pPr>
            <w:r>
              <w:rPr>
                <w:rFonts w:hint="eastAsia" w:ascii="仿宋_GB2312" w:eastAsia="仿宋_GB2312"/>
                <w:color w:val="auto"/>
                <w:szCs w:val="21"/>
              </w:rPr>
              <w:t>3.未按合同约定时间或双方确定的进度计划时间根据审图意见及相关单位意见完成修改回复的，迟一天扣5分，总分20分。</w:t>
            </w:r>
          </w:p>
        </w:tc>
        <w:tc>
          <w:tcPr>
            <w:tcW w:w="1275" w:type="dxa"/>
            <w:noWrap w:val="0"/>
            <w:vAlign w:val="center"/>
          </w:tcPr>
          <w:p w14:paraId="52924E33">
            <w:pPr>
              <w:jc w:val="left"/>
              <w:rPr>
                <w:rFonts w:ascii="仿宋_GB2312" w:eastAsia="仿宋_GB2312"/>
                <w:color w:val="auto"/>
                <w:szCs w:val="21"/>
              </w:rPr>
            </w:pPr>
          </w:p>
        </w:tc>
        <w:tc>
          <w:tcPr>
            <w:tcW w:w="851" w:type="dxa"/>
            <w:noWrap w:val="0"/>
            <w:vAlign w:val="center"/>
          </w:tcPr>
          <w:p w14:paraId="644A2658">
            <w:pPr>
              <w:jc w:val="left"/>
              <w:rPr>
                <w:rFonts w:ascii="仿宋_GB2312" w:eastAsia="仿宋_GB2312"/>
                <w:color w:val="auto"/>
                <w:szCs w:val="21"/>
              </w:rPr>
            </w:pPr>
          </w:p>
        </w:tc>
        <w:tc>
          <w:tcPr>
            <w:tcW w:w="1213" w:type="dxa"/>
            <w:vMerge w:val="continue"/>
            <w:noWrap w:val="0"/>
            <w:vAlign w:val="center"/>
          </w:tcPr>
          <w:p w14:paraId="15D56512">
            <w:pPr>
              <w:jc w:val="left"/>
              <w:rPr>
                <w:rFonts w:ascii="仿宋_GB2312" w:eastAsia="仿宋_GB2312"/>
                <w:color w:val="auto"/>
                <w:szCs w:val="21"/>
              </w:rPr>
            </w:pPr>
          </w:p>
        </w:tc>
      </w:tr>
      <w:tr w14:paraId="1A5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46" w:type="dxa"/>
            <w:vMerge w:val="continue"/>
            <w:noWrap w:val="0"/>
            <w:vAlign w:val="center"/>
          </w:tcPr>
          <w:p w14:paraId="2DC493F5">
            <w:pPr>
              <w:jc w:val="left"/>
              <w:rPr>
                <w:rFonts w:ascii="仿宋_GB2312" w:eastAsia="仿宋_GB2312"/>
                <w:color w:val="auto"/>
                <w:szCs w:val="21"/>
              </w:rPr>
            </w:pPr>
          </w:p>
        </w:tc>
        <w:tc>
          <w:tcPr>
            <w:tcW w:w="1134" w:type="dxa"/>
            <w:vMerge w:val="continue"/>
            <w:noWrap w:val="0"/>
            <w:vAlign w:val="center"/>
          </w:tcPr>
          <w:p w14:paraId="20681D03">
            <w:pPr>
              <w:jc w:val="left"/>
              <w:rPr>
                <w:rFonts w:ascii="仿宋_GB2312" w:eastAsia="仿宋_GB2312"/>
                <w:color w:val="auto"/>
                <w:szCs w:val="21"/>
              </w:rPr>
            </w:pPr>
          </w:p>
        </w:tc>
        <w:tc>
          <w:tcPr>
            <w:tcW w:w="2977" w:type="dxa"/>
            <w:noWrap w:val="0"/>
            <w:vAlign w:val="center"/>
          </w:tcPr>
          <w:p w14:paraId="3E73A830">
            <w:pPr>
              <w:jc w:val="left"/>
              <w:rPr>
                <w:rFonts w:ascii="仿宋_GB2312" w:eastAsia="仿宋_GB2312"/>
                <w:color w:val="auto"/>
                <w:szCs w:val="21"/>
              </w:rPr>
            </w:pPr>
            <w:r>
              <w:rPr>
                <w:rFonts w:hint="eastAsia" w:ascii="仿宋_GB2312" w:eastAsia="仿宋_GB2312"/>
                <w:color w:val="auto"/>
                <w:szCs w:val="21"/>
              </w:rPr>
              <w:t>4.施工图审查不配合申报施工图联审系统的扣20分，总分20分。</w:t>
            </w:r>
          </w:p>
        </w:tc>
        <w:tc>
          <w:tcPr>
            <w:tcW w:w="1275" w:type="dxa"/>
            <w:noWrap w:val="0"/>
            <w:vAlign w:val="center"/>
          </w:tcPr>
          <w:p w14:paraId="5068F4B9">
            <w:pPr>
              <w:jc w:val="left"/>
              <w:rPr>
                <w:rFonts w:ascii="仿宋_GB2312" w:eastAsia="仿宋_GB2312"/>
                <w:color w:val="auto"/>
                <w:szCs w:val="21"/>
              </w:rPr>
            </w:pPr>
          </w:p>
        </w:tc>
        <w:tc>
          <w:tcPr>
            <w:tcW w:w="851" w:type="dxa"/>
            <w:noWrap w:val="0"/>
            <w:vAlign w:val="center"/>
          </w:tcPr>
          <w:p w14:paraId="09599D34">
            <w:pPr>
              <w:jc w:val="left"/>
              <w:rPr>
                <w:rFonts w:ascii="仿宋_GB2312" w:eastAsia="仿宋_GB2312"/>
                <w:color w:val="auto"/>
                <w:szCs w:val="21"/>
              </w:rPr>
            </w:pPr>
          </w:p>
        </w:tc>
        <w:tc>
          <w:tcPr>
            <w:tcW w:w="1213" w:type="dxa"/>
            <w:vMerge w:val="continue"/>
            <w:noWrap w:val="0"/>
            <w:vAlign w:val="center"/>
          </w:tcPr>
          <w:p w14:paraId="56473290">
            <w:pPr>
              <w:jc w:val="left"/>
              <w:rPr>
                <w:rFonts w:ascii="仿宋_GB2312" w:eastAsia="仿宋_GB2312"/>
                <w:color w:val="auto"/>
                <w:szCs w:val="21"/>
              </w:rPr>
            </w:pPr>
          </w:p>
        </w:tc>
      </w:tr>
      <w:tr w14:paraId="1C09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1A0B157B">
            <w:pPr>
              <w:jc w:val="left"/>
              <w:rPr>
                <w:rFonts w:ascii="仿宋_GB2312" w:eastAsia="仿宋_GB2312"/>
                <w:color w:val="auto"/>
                <w:szCs w:val="21"/>
              </w:rPr>
            </w:pPr>
          </w:p>
        </w:tc>
        <w:tc>
          <w:tcPr>
            <w:tcW w:w="1134" w:type="dxa"/>
            <w:vMerge w:val="continue"/>
            <w:noWrap w:val="0"/>
            <w:vAlign w:val="center"/>
          </w:tcPr>
          <w:p w14:paraId="48346594">
            <w:pPr>
              <w:jc w:val="left"/>
              <w:rPr>
                <w:rFonts w:ascii="仿宋_GB2312" w:eastAsia="仿宋_GB2312"/>
                <w:color w:val="auto"/>
                <w:szCs w:val="21"/>
              </w:rPr>
            </w:pPr>
          </w:p>
        </w:tc>
        <w:tc>
          <w:tcPr>
            <w:tcW w:w="2977" w:type="dxa"/>
            <w:noWrap w:val="0"/>
            <w:vAlign w:val="center"/>
          </w:tcPr>
          <w:p w14:paraId="15112296">
            <w:pPr>
              <w:jc w:val="left"/>
              <w:rPr>
                <w:rFonts w:ascii="仿宋_GB2312" w:eastAsia="仿宋_GB2312"/>
                <w:color w:val="auto"/>
                <w:szCs w:val="21"/>
              </w:rPr>
            </w:pPr>
            <w:r>
              <w:rPr>
                <w:rFonts w:hint="eastAsia" w:ascii="仿宋_GB2312" w:eastAsia="仿宋_GB2312"/>
                <w:color w:val="auto"/>
                <w:szCs w:val="21"/>
              </w:rPr>
              <w:t>5.施工图设计与现场不符合或设计漏项造成设计修改单项工程50万元以上的每项扣10分，50万元以上的每项扣20分，总分20分。</w:t>
            </w:r>
          </w:p>
        </w:tc>
        <w:tc>
          <w:tcPr>
            <w:tcW w:w="1275" w:type="dxa"/>
            <w:noWrap w:val="0"/>
            <w:vAlign w:val="center"/>
          </w:tcPr>
          <w:p w14:paraId="51CE933D">
            <w:pPr>
              <w:jc w:val="left"/>
              <w:rPr>
                <w:rFonts w:ascii="仿宋_GB2312" w:eastAsia="仿宋_GB2312"/>
                <w:color w:val="auto"/>
                <w:szCs w:val="21"/>
              </w:rPr>
            </w:pPr>
          </w:p>
        </w:tc>
        <w:tc>
          <w:tcPr>
            <w:tcW w:w="851" w:type="dxa"/>
            <w:noWrap w:val="0"/>
            <w:vAlign w:val="center"/>
          </w:tcPr>
          <w:p w14:paraId="7D8AD566">
            <w:pPr>
              <w:jc w:val="left"/>
              <w:rPr>
                <w:rFonts w:ascii="仿宋_GB2312" w:eastAsia="仿宋_GB2312"/>
                <w:color w:val="auto"/>
                <w:szCs w:val="21"/>
              </w:rPr>
            </w:pPr>
          </w:p>
        </w:tc>
        <w:tc>
          <w:tcPr>
            <w:tcW w:w="1213" w:type="dxa"/>
            <w:vMerge w:val="continue"/>
            <w:noWrap w:val="0"/>
            <w:vAlign w:val="center"/>
          </w:tcPr>
          <w:p w14:paraId="765661F9">
            <w:pPr>
              <w:jc w:val="left"/>
              <w:rPr>
                <w:rFonts w:ascii="仿宋_GB2312" w:eastAsia="仿宋_GB2312"/>
                <w:color w:val="auto"/>
                <w:szCs w:val="21"/>
              </w:rPr>
            </w:pPr>
          </w:p>
        </w:tc>
      </w:tr>
    </w:tbl>
    <w:p w14:paraId="1083F259">
      <w:pPr>
        <w:widowControl/>
        <w:jc w:val="left"/>
        <w:rPr>
          <w:rFonts w:ascii="仿宋_GB2312" w:eastAsia="仿宋_GB2312"/>
          <w:color w:val="auto"/>
          <w:sz w:val="44"/>
          <w:szCs w:val="44"/>
        </w:rPr>
      </w:pPr>
    </w:p>
    <w:p w14:paraId="1C089C17">
      <w:pPr>
        <w:widowControl/>
        <w:jc w:val="left"/>
        <w:rPr>
          <w:rFonts w:ascii="仿宋_GB2312" w:eastAsia="仿宋_GB2312"/>
          <w:color w:val="auto"/>
          <w:sz w:val="44"/>
          <w:szCs w:val="44"/>
        </w:rPr>
      </w:pPr>
      <w:r>
        <w:rPr>
          <w:rFonts w:ascii="仿宋_GB2312" w:eastAsia="仿宋_GB2312"/>
          <w:color w:val="auto"/>
          <w:sz w:val="44"/>
          <w:szCs w:val="44"/>
        </w:rPr>
        <w:br w:type="page"/>
      </w:r>
    </w:p>
    <w:p w14:paraId="19313D78">
      <w:pPr>
        <w:rPr>
          <w:rFonts w:hint="eastAsia" w:ascii="宋体" w:hAnsi="宋体"/>
          <w:b/>
          <w:color w:val="auto"/>
          <w:sz w:val="24"/>
        </w:rPr>
      </w:pPr>
      <w:r>
        <w:rPr>
          <w:rFonts w:hint="eastAsia" w:ascii="宋体" w:hAnsi="宋体"/>
          <w:b/>
          <w:color w:val="auto"/>
          <w:sz w:val="24"/>
        </w:rPr>
        <w:t>合同附件</w:t>
      </w:r>
      <w:r>
        <w:rPr>
          <w:rFonts w:hint="eastAsia" w:ascii="宋体" w:hAnsi="宋体"/>
          <w:b/>
          <w:color w:val="auto"/>
          <w:sz w:val="24"/>
          <w:lang w:val="en-US" w:eastAsia="zh-CN"/>
        </w:rPr>
        <w:t>6</w:t>
      </w:r>
      <w:r>
        <w:rPr>
          <w:rFonts w:hint="eastAsia" w:ascii="宋体" w:hAnsi="宋体"/>
          <w:b/>
          <w:color w:val="auto"/>
          <w:sz w:val="24"/>
        </w:rPr>
        <w:t>：</w:t>
      </w:r>
    </w:p>
    <w:p w14:paraId="6AA61DED">
      <w:pPr>
        <w:jc w:val="center"/>
        <w:rPr>
          <w:rFonts w:ascii="方正小标宋简体" w:eastAsia="方正小标宋简体"/>
          <w:color w:val="auto"/>
          <w:sz w:val="44"/>
          <w:szCs w:val="44"/>
        </w:rPr>
      </w:pPr>
      <w:r>
        <w:rPr>
          <w:rFonts w:hint="eastAsia" w:ascii="方正小标宋简体" w:eastAsia="方正小标宋简体"/>
          <w:color w:val="auto"/>
          <w:sz w:val="44"/>
          <w:szCs w:val="44"/>
        </w:rPr>
        <w:t>施工配合阶段设计服务考核评分表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2977"/>
        <w:gridCol w:w="1275"/>
        <w:gridCol w:w="851"/>
        <w:gridCol w:w="1213"/>
      </w:tblGrid>
      <w:tr w14:paraId="39C0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noWrap w:val="0"/>
            <w:vAlign w:val="center"/>
          </w:tcPr>
          <w:p w14:paraId="2B265193">
            <w:pPr>
              <w:jc w:val="center"/>
              <w:rPr>
                <w:rFonts w:ascii="仿宋_GB2312" w:eastAsia="仿宋_GB2312"/>
                <w:color w:val="auto"/>
                <w:szCs w:val="21"/>
              </w:rPr>
            </w:pPr>
            <w:r>
              <w:rPr>
                <w:rFonts w:hint="eastAsia" w:ascii="仿宋_GB2312" w:eastAsia="仿宋_GB2312"/>
                <w:color w:val="auto"/>
                <w:szCs w:val="21"/>
              </w:rPr>
              <w:t>序号</w:t>
            </w:r>
          </w:p>
        </w:tc>
        <w:tc>
          <w:tcPr>
            <w:tcW w:w="1134" w:type="dxa"/>
            <w:noWrap w:val="0"/>
            <w:vAlign w:val="center"/>
          </w:tcPr>
          <w:p w14:paraId="015C8C41">
            <w:pPr>
              <w:jc w:val="center"/>
              <w:rPr>
                <w:rFonts w:ascii="仿宋_GB2312" w:eastAsia="仿宋_GB2312"/>
                <w:color w:val="auto"/>
                <w:szCs w:val="21"/>
              </w:rPr>
            </w:pPr>
            <w:r>
              <w:rPr>
                <w:rFonts w:hint="eastAsia" w:ascii="仿宋_GB2312" w:eastAsia="仿宋_GB2312"/>
                <w:color w:val="auto"/>
                <w:szCs w:val="21"/>
              </w:rPr>
              <w:t>考核项目</w:t>
            </w:r>
          </w:p>
        </w:tc>
        <w:tc>
          <w:tcPr>
            <w:tcW w:w="2977" w:type="dxa"/>
            <w:noWrap w:val="0"/>
            <w:vAlign w:val="center"/>
          </w:tcPr>
          <w:p w14:paraId="5A747769">
            <w:pPr>
              <w:jc w:val="center"/>
              <w:rPr>
                <w:rFonts w:ascii="仿宋_GB2312" w:eastAsia="仿宋_GB2312"/>
                <w:color w:val="auto"/>
                <w:szCs w:val="21"/>
              </w:rPr>
            </w:pPr>
            <w:r>
              <w:rPr>
                <w:rFonts w:hint="eastAsia" w:ascii="仿宋_GB2312" w:eastAsia="仿宋_GB2312"/>
                <w:color w:val="auto"/>
                <w:szCs w:val="21"/>
              </w:rPr>
              <w:t>考核子项</w:t>
            </w:r>
          </w:p>
        </w:tc>
        <w:tc>
          <w:tcPr>
            <w:tcW w:w="1275" w:type="dxa"/>
            <w:noWrap w:val="0"/>
            <w:vAlign w:val="center"/>
          </w:tcPr>
          <w:p w14:paraId="25DE82C3">
            <w:pPr>
              <w:jc w:val="center"/>
              <w:rPr>
                <w:rFonts w:ascii="仿宋_GB2312" w:eastAsia="仿宋_GB2312"/>
                <w:color w:val="auto"/>
                <w:szCs w:val="21"/>
              </w:rPr>
            </w:pPr>
            <w:r>
              <w:rPr>
                <w:rFonts w:hint="eastAsia" w:ascii="仿宋_GB2312" w:eastAsia="仿宋_GB2312"/>
                <w:color w:val="auto"/>
                <w:szCs w:val="21"/>
              </w:rPr>
              <w:t>应得分数</w:t>
            </w:r>
          </w:p>
        </w:tc>
        <w:tc>
          <w:tcPr>
            <w:tcW w:w="851" w:type="dxa"/>
            <w:noWrap w:val="0"/>
            <w:vAlign w:val="center"/>
          </w:tcPr>
          <w:p w14:paraId="4756E405">
            <w:pPr>
              <w:jc w:val="center"/>
              <w:rPr>
                <w:rFonts w:ascii="仿宋_GB2312" w:eastAsia="仿宋_GB2312"/>
                <w:color w:val="auto"/>
                <w:szCs w:val="21"/>
              </w:rPr>
            </w:pPr>
            <w:r>
              <w:rPr>
                <w:rFonts w:hint="eastAsia" w:ascii="仿宋_GB2312" w:eastAsia="仿宋_GB2312"/>
                <w:color w:val="auto"/>
                <w:szCs w:val="21"/>
              </w:rPr>
              <w:t>扣分数</w:t>
            </w:r>
          </w:p>
        </w:tc>
        <w:tc>
          <w:tcPr>
            <w:tcW w:w="1213" w:type="dxa"/>
            <w:noWrap w:val="0"/>
            <w:vAlign w:val="center"/>
          </w:tcPr>
          <w:p w14:paraId="289AC631">
            <w:pPr>
              <w:jc w:val="center"/>
              <w:rPr>
                <w:rFonts w:ascii="仿宋_GB2312" w:eastAsia="仿宋_GB2312"/>
                <w:color w:val="auto"/>
                <w:szCs w:val="21"/>
              </w:rPr>
            </w:pPr>
            <w:r>
              <w:rPr>
                <w:rFonts w:hint="eastAsia" w:ascii="仿宋_GB2312" w:eastAsia="仿宋_GB2312"/>
                <w:color w:val="auto"/>
                <w:szCs w:val="21"/>
              </w:rPr>
              <w:t>实得分数</w:t>
            </w:r>
          </w:p>
        </w:tc>
      </w:tr>
      <w:tr w14:paraId="1E9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noWrap w:val="0"/>
            <w:vAlign w:val="center"/>
          </w:tcPr>
          <w:p w14:paraId="5B280705">
            <w:pPr>
              <w:jc w:val="left"/>
              <w:rPr>
                <w:rFonts w:ascii="仿宋_GB2312" w:eastAsia="仿宋_GB2312"/>
                <w:color w:val="auto"/>
                <w:szCs w:val="21"/>
              </w:rPr>
            </w:pPr>
            <w:r>
              <w:rPr>
                <w:rFonts w:hint="eastAsia" w:ascii="仿宋_GB2312" w:eastAsia="仿宋_GB2312"/>
                <w:color w:val="auto"/>
                <w:szCs w:val="21"/>
              </w:rPr>
              <w:t>1</w:t>
            </w:r>
          </w:p>
        </w:tc>
        <w:tc>
          <w:tcPr>
            <w:tcW w:w="1134" w:type="dxa"/>
            <w:vMerge w:val="restart"/>
            <w:noWrap w:val="0"/>
            <w:vAlign w:val="center"/>
          </w:tcPr>
          <w:p w14:paraId="3B05B40B">
            <w:pPr>
              <w:jc w:val="left"/>
              <w:rPr>
                <w:rFonts w:ascii="仿宋_GB2312" w:eastAsia="仿宋_GB2312"/>
                <w:color w:val="auto"/>
                <w:szCs w:val="21"/>
              </w:rPr>
            </w:pPr>
            <w:r>
              <w:rPr>
                <w:rFonts w:hint="eastAsia" w:ascii="仿宋_GB2312" w:eastAsia="仿宋_GB2312"/>
                <w:color w:val="auto"/>
                <w:szCs w:val="21"/>
              </w:rPr>
              <w:t>工作要求</w:t>
            </w:r>
          </w:p>
        </w:tc>
        <w:tc>
          <w:tcPr>
            <w:tcW w:w="2977" w:type="dxa"/>
            <w:noWrap w:val="0"/>
            <w:vAlign w:val="center"/>
          </w:tcPr>
          <w:p w14:paraId="4B265CEE">
            <w:pPr>
              <w:jc w:val="left"/>
              <w:rPr>
                <w:rFonts w:ascii="仿宋_GB2312" w:eastAsia="仿宋_GB2312"/>
                <w:color w:val="auto"/>
                <w:szCs w:val="21"/>
              </w:rPr>
            </w:pPr>
            <w:r>
              <w:rPr>
                <w:rFonts w:hint="eastAsia" w:ascii="仿宋_GB2312" w:eastAsia="仿宋_GB2312"/>
                <w:color w:val="auto"/>
                <w:szCs w:val="21"/>
              </w:rPr>
              <w:t>1.未按合同约定时间派设计代表驻施工现场配合的扣20分，总分20分。</w:t>
            </w:r>
          </w:p>
        </w:tc>
        <w:tc>
          <w:tcPr>
            <w:tcW w:w="1275" w:type="dxa"/>
            <w:noWrap w:val="0"/>
            <w:vAlign w:val="center"/>
          </w:tcPr>
          <w:p w14:paraId="4A6D9412">
            <w:pPr>
              <w:jc w:val="left"/>
              <w:rPr>
                <w:rFonts w:ascii="仿宋_GB2312" w:eastAsia="仿宋_GB2312"/>
                <w:color w:val="auto"/>
                <w:szCs w:val="21"/>
              </w:rPr>
            </w:pPr>
          </w:p>
        </w:tc>
        <w:tc>
          <w:tcPr>
            <w:tcW w:w="851" w:type="dxa"/>
            <w:noWrap w:val="0"/>
            <w:vAlign w:val="center"/>
          </w:tcPr>
          <w:p w14:paraId="5828F812">
            <w:pPr>
              <w:jc w:val="left"/>
              <w:rPr>
                <w:rFonts w:ascii="仿宋_GB2312" w:eastAsia="仿宋_GB2312"/>
                <w:color w:val="auto"/>
                <w:szCs w:val="21"/>
              </w:rPr>
            </w:pPr>
          </w:p>
        </w:tc>
        <w:tc>
          <w:tcPr>
            <w:tcW w:w="1213" w:type="dxa"/>
            <w:vMerge w:val="restart"/>
            <w:noWrap w:val="0"/>
            <w:vAlign w:val="center"/>
          </w:tcPr>
          <w:p w14:paraId="3C0B56BC">
            <w:pPr>
              <w:jc w:val="left"/>
              <w:rPr>
                <w:rFonts w:ascii="仿宋_GB2312" w:eastAsia="仿宋_GB2312"/>
                <w:color w:val="auto"/>
                <w:szCs w:val="21"/>
              </w:rPr>
            </w:pPr>
          </w:p>
        </w:tc>
      </w:tr>
      <w:tr w14:paraId="1831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5E4292A5">
            <w:pPr>
              <w:jc w:val="left"/>
              <w:rPr>
                <w:rFonts w:ascii="仿宋_GB2312" w:eastAsia="仿宋_GB2312"/>
                <w:color w:val="auto"/>
                <w:szCs w:val="21"/>
              </w:rPr>
            </w:pPr>
          </w:p>
        </w:tc>
        <w:tc>
          <w:tcPr>
            <w:tcW w:w="1134" w:type="dxa"/>
            <w:vMerge w:val="continue"/>
            <w:noWrap w:val="0"/>
            <w:vAlign w:val="center"/>
          </w:tcPr>
          <w:p w14:paraId="6F18DA1B">
            <w:pPr>
              <w:jc w:val="left"/>
              <w:rPr>
                <w:rFonts w:ascii="仿宋_GB2312" w:eastAsia="仿宋_GB2312"/>
                <w:color w:val="auto"/>
                <w:szCs w:val="21"/>
              </w:rPr>
            </w:pPr>
          </w:p>
        </w:tc>
        <w:tc>
          <w:tcPr>
            <w:tcW w:w="2977" w:type="dxa"/>
            <w:noWrap w:val="0"/>
            <w:vAlign w:val="center"/>
          </w:tcPr>
          <w:p w14:paraId="6A6CFB11">
            <w:pPr>
              <w:jc w:val="left"/>
              <w:rPr>
                <w:rFonts w:ascii="仿宋_GB2312" w:eastAsia="仿宋_GB2312"/>
                <w:color w:val="auto"/>
                <w:szCs w:val="21"/>
              </w:rPr>
            </w:pPr>
            <w:r>
              <w:rPr>
                <w:rFonts w:hint="eastAsia" w:ascii="仿宋_GB2312" w:eastAsia="仿宋_GB2312"/>
                <w:color w:val="auto"/>
                <w:szCs w:val="21"/>
              </w:rPr>
              <w:t>2.对现场提出的问题及联系单超过3个工作日不回复的扣20分，总分20分。</w:t>
            </w:r>
          </w:p>
        </w:tc>
        <w:tc>
          <w:tcPr>
            <w:tcW w:w="1275" w:type="dxa"/>
            <w:noWrap w:val="0"/>
            <w:vAlign w:val="center"/>
          </w:tcPr>
          <w:p w14:paraId="4196B6CC">
            <w:pPr>
              <w:jc w:val="left"/>
              <w:rPr>
                <w:rFonts w:ascii="仿宋_GB2312" w:eastAsia="仿宋_GB2312"/>
                <w:color w:val="auto"/>
                <w:szCs w:val="21"/>
              </w:rPr>
            </w:pPr>
          </w:p>
        </w:tc>
        <w:tc>
          <w:tcPr>
            <w:tcW w:w="851" w:type="dxa"/>
            <w:noWrap w:val="0"/>
            <w:vAlign w:val="center"/>
          </w:tcPr>
          <w:p w14:paraId="49FD646E">
            <w:pPr>
              <w:jc w:val="left"/>
              <w:rPr>
                <w:rFonts w:ascii="仿宋_GB2312" w:eastAsia="仿宋_GB2312"/>
                <w:color w:val="auto"/>
                <w:szCs w:val="21"/>
              </w:rPr>
            </w:pPr>
          </w:p>
        </w:tc>
        <w:tc>
          <w:tcPr>
            <w:tcW w:w="1213" w:type="dxa"/>
            <w:vMerge w:val="continue"/>
            <w:noWrap w:val="0"/>
            <w:vAlign w:val="center"/>
          </w:tcPr>
          <w:p w14:paraId="12C2C580">
            <w:pPr>
              <w:jc w:val="left"/>
              <w:rPr>
                <w:rFonts w:ascii="仿宋_GB2312" w:eastAsia="仿宋_GB2312"/>
                <w:color w:val="auto"/>
                <w:szCs w:val="21"/>
              </w:rPr>
            </w:pPr>
          </w:p>
        </w:tc>
      </w:tr>
      <w:tr w14:paraId="0976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4330B3CE">
            <w:pPr>
              <w:jc w:val="left"/>
              <w:rPr>
                <w:rFonts w:ascii="仿宋_GB2312" w:eastAsia="仿宋_GB2312"/>
                <w:color w:val="auto"/>
                <w:szCs w:val="21"/>
              </w:rPr>
            </w:pPr>
          </w:p>
        </w:tc>
        <w:tc>
          <w:tcPr>
            <w:tcW w:w="1134" w:type="dxa"/>
            <w:vMerge w:val="continue"/>
            <w:noWrap w:val="0"/>
            <w:vAlign w:val="center"/>
          </w:tcPr>
          <w:p w14:paraId="43655D0C">
            <w:pPr>
              <w:jc w:val="left"/>
              <w:rPr>
                <w:rFonts w:ascii="仿宋_GB2312" w:eastAsia="仿宋_GB2312"/>
                <w:color w:val="auto"/>
                <w:szCs w:val="21"/>
              </w:rPr>
            </w:pPr>
          </w:p>
        </w:tc>
        <w:tc>
          <w:tcPr>
            <w:tcW w:w="2977" w:type="dxa"/>
            <w:noWrap w:val="0"/>
            <w:vAlign w:val="center"/>
          </w:tcPr>
          <w:p w14:paraId="7F5A82E3">
            <w:pPr>
              <w:jc w:val="left"/>
              <w:rPr>
                <w:rFonts w:ascii="仿宋_GB2312" w:eastAsia="仿宋_GB2312"/>
                <w:color w:val="auto"/>
                <w:szCs w:val="21"/>
              </w:rPr>
            </w:pPr>
            <w:r>
              <w:rPr>
                <w:rFonts w:hint="eastAsia" w:ascii="仿宋_GB2312" w:eastAsia="仿宋_GB2312"/>
                <w:color w:val="auto"/>
                <w:szCs w:val="21"/>
              </w:rPr>
              <w:t>3.设计失误导致单项变更工程50万元以上，每次扣10分， 设计失误导致单项变更工程100万元以上的，扣20分，总分20分。</w:t>
            </w:r>
          </w:p>
        </w:tc>
        <w:tc>
          <w:tcPr>
            <w:tcW w:w="1275" w:type="dxa"/>
            <w:noWrap w:val="0"/>
            <w:vAlign w:val="center"/>
          </w:tcPr>
          <w:p w14:paraId="3662EC9F">
            <w:pPr>
              <w:jc w:val="left"/>
              <w:rPr>
                <w:rFonts w:ascii="仿宋_GB2312" w:eastAsia="仿宋_GB2312"/>
                <w:color w:val="auto"/>
                <w:szCs w:val="21"/>
              </w:rPr>
            </w:pPr>
          </w:p>
        </w:tc>
        <w:tc>
          <w:tcPr>
            <w:tcW w:w="851" w:type="dxa"/>
            <w:noWrap w:val="0"/>
            <w:vAlign w:val="center"/>
          </w:tcPr>
          <w:p w14:paraId="57A5A22A">
            <w:pPr>
              <w:jc w:val="left"/>
              <w:rPr>
                <w:rFonts w:ascii="仿宋_GB2312" w:eastAsia="仿宋_GB2312"/>
                <w:color w:val="auto"/>
                <w:szCs w:val="21"/>
              </w:rPr>
            </w:pPr>
          </w:p>
        </w:tc>
        <w:tc>
          <w:tcPr>
            <w:tcW w:w="1213" w:type="dxa"/>
            <w:vMerge w:val="continue"/>
            <w:noWrap w:val="0"/>
            <w:vAlign w:val="center"/>
          </w:tcPr>
          <w:p w14:paraId="749E35DB">
            <w:pPr>
              <w:jc w:val="left"/>
              <w:rPr>
                <w:rFonts w:ascii="仿宋_GB2312" w:eastAsia="仿宋_GB2312"/>
                <w:color w:val="auto"/>
                <w:szCs w:val="21"/>
              </w:rPr>
            </w:pPr>
          </w:p>
        </w:tc>
      </w:tr>
      <w:tr w14:paraId="2D64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46" w:type="dxa"/>
            <w:vMerge w:val="continue"/>
            <w:noWrap w:val="0"/>
            <w:vAlign w:val="center"/>
          </w:tcPr>
          <w:p w14:paraId="087C7622">
            <w:pPr>
              <w:jc w:val="left"/>
              <w:rPr>
                <w:rFonts w:ascii="仿宋_GB2312" w:eastAsia="仿宋_GB2312"/>
                <w:color w:val="auto"/>
                <w:szCs w:val="21"/>
              </w:rPr>
            </w:pPr>
          </w:p>
        </w:tc>
        <w:tc>
          <w:tcPr>
            <w:tcW w:w="1134" w:type="dxa"/>
            <w:vMerge w:val="continue"/>
            <w:noWrap w:val="0"/>
            <w:vAlign w:val="center"/>
          </w:tcPr>
          <w:p w14:paraId="1E5705C2">
            <w:pPr>
              <w:jc w:val="left"/>
              <w:rPr>
                <w:rFonts w:ascii="仿宋_GB2312" w:eastAsia="仿宋_GB2312"/>
                <w:color w:val="auto"/>
                <w:szCs w:val="21"/>
              </w:rPr>
            </w:pPr>
          </w:p>
        </w:tc>
        <w:tc>
          <w:tcPr>
            <w:tcW w:w="2977" w:type="dxa"/>
            <w:noWrap w:val="0"/>
            <w:vAlign w:val="center"/>
          </w:tcPr>
          <w:p w14:paraId="65B188D8">
            <w:pPr>
              <w:jc w:val="left"/>
              <w:rPr>
                <w:rFonts w:ascii="仿宋_GB2312" w:eastAsia="仿宋_GB2312"/>
                <w:color w:val="auto"/>
                <w:szCs w:val="21"/>
              </w:rPr>
            </w:pPr>
            <w:r>
              <w:rPr>
                <w:rFonts w:hint="eastAsia" w:ascii="仿宋_GB2312" w:eastAsia="仿宋_GB2312"/>
                <w:color w:val="auto"/>
                <w:szCs w:val="21"/>
              </w:rPr>
              <w:t>4.因设计原因变更次数超过3次的扣5分，超过10次的扣20分，总分20分。</w:t>
            </w:r>
          </w:p>
        </w:tc>
        <w:tc>
          <w:tcPr>
            <w:tcW w:w="1275" w:type="dxa"/>
            <w:noWrap w:val="0"/>
            <w:vAlign w:val="center"/>
          </w:tcPr>
          <w:p w14:paraId="5D5BAB97">
            <w:pPr>
              <w:jc w:val="left"/>
              <w:rPr>
                <w:rFonts w:ascii="仿宋_GB2312" w:eastAsia="仿宋_GB2312"/>
                <w:color w:val="auto"/>
                <w:szCs w:val="21"/>
              </w:rPr>
            </w:pPr>
          </w:p>
        </w:tc>
        <w:tc>
          <w:tcPr>
            <w:tcW w:w="851" w:type="dxa"/>
            <w:noWrap w:val="0"/>
            <w:vAlign w:val="center"/>
          </w:tcPr>
          <w:p w14:paraId="62D1643C">
            <w:pPr>
              <w:jc w:val="left"/>
              <w:rPr>
                <w:rFonts w:ascii="仿宋_GB2312" w:eastAsia="仿宋_GB2312"/>
                <w:color w:val="auto"/>
                <w:szCs w:val="21"/>
              </w:rPr>
            </w:pPr>
          </w:p>
        </w:tc>
        <w:tc>
          <w:tcPr>
            <w:tcW w:w="1213" w:type="dxa"/>
            <w:vMerge w:val="continue"/>
            <w:noWrap w:val="0"/>
            <w:vAlign w:val="center"/>
          </w:tcPr>
          <w:p w14:paraId="0D231791">
            <w:pPr>
              <w:jc w:val="left"/>
              <w:rPr>
                <w:rFonts w:ascii="仿宋_GB2312" w:eastAsia="仿宋_GB2312"/>
                <w:color w:val="auto"/>
                <w:szCs w:val="21"/>
              </w:rPr>
            </w:pPr>
          </w:p>
        </w:tc>
      </w:tr>
      <w:tr w14:paraId="2602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14:paraId="56FF96B1">
            <w:pPr>
              <w:jc w:val="left"/>
              <w:rPr>
                <w:rFonts w:ascii="仿宋_GB2312" w:eastAsia="仿宋_GB2312"/>
                <w:color w:val="auto"/>
                <w:szCs w:val="21"/>
              </w:rPr>
            </w:pPr>
          </w:p>
        </w:tc>
        <w:tc>
          <w:tcPr>
            <w:tcW w:w="1134" w:type="dxa"/>
            <w:vMerge w:val="continue"/>
            <w:noWrap w:val="0"/>
            <w:vAlign w:val="center"/>
          </w:tcPr>
          <w:p w14:paraId="724A487B">
            <w:pPr>
              <w:jc w:val="left"/>
              <w:rPr>
                <w:rFonts w:ascii="仿宋_GB2312" w:eastAsia="仿宋_GB2312"/>
                <w:color w:val="auto"/>
                <w:szCs w:val="21"/>
              </w:rPr>
            </w:pPr>
          </w:p>
        </w:tc>
        <w:tc>
          <w:tcPr>
            <w:tcW w:w="2977" w:type="dxa"/>
            <w:noWrap w:val="0"/>
            <w:vAlign w:val="center"/>
          </w:tcPr>
          <w:p w14:paraId="483F682A">
            <w:pPr>
              <w:jc w:val="left"/>
              <w:rPr>
                <w:rFonts w:ascii="仿宋_GB2312" w:eastAsia="仿宋_GB2312"/>
                <w:color w:val="auto"/>
                <w:szCs w:val="21"/>
              </w:rPr>
            </w:pPr>
            <w:r>
              <w:rPr>
                <w:rFonts w:hint="eastAsia" w:ascii="仿宋_GB2312" w:eastAsia="仿宋_GB2312"/>
                <w:color w:val="auto"/>
                <w:szCs w:val="21"/>
              </w:rPr>
              <w:t>5.未按建设单位要求的时间内提交变更通知单及变更图的，迟一天扣5分，总分20分。</w:t>
            </w:r>
          </w:p>
        </w:tc>
        <w:tc>
          <w:tcPr>
            <w:tcW w:w="1275" w:type="dxa"/>
            <w:noWrap w:val="0"/>
            <w:vAlign w:val="center"/>
          </w:tcPr>
          <w:p w14:paraId="1261CC1B">
            <w:pPr>
              <w:jc w:val="left"/>
              <w:rPr>
                <w:rFonts w:ascii="仿宋_GB2312" w:eastAsia="仿宋_GB2312"/>
                <w:color w:val="auto"/>
                <w:szCs w:val="21"/>
              </w:rPr>
            </w:pPr>
          </w:p>
        </w:tc>
        <w:tc>
          <w:tcPr>
            <w:tcW w:w="851" w:type="dxa"/>
            <w:noWrap w:val="0"/>
            <w:vAlign w:val="center"/>
          </w:tcPr>
          <w:p w14:paraId="6ABD4E44">
            <w:pPr>
              <w:jc w:val="left"/>
              <w:rPr>
                <w:rFonts w:ascii="仿宋_GB2312" w:eastAsia="仿宋_GB2312"/>
                <w:color w:val="auto"/>
                <w:szCs w:val="21"/>
              </w:rPr>
            </w:pPr>
          </w:p>
        </w:tc>
        <w:tc>
          <w:tcPr>
            <w:tcW w:w="1213" w:type="dxa"/>
            <w:vMerge w:val="continue"/>
            <w:noWrap w:val="0"/>
            <w:vAlign w:val="center"/>
          </w:tcPr>
          <w:p w14:paraId="1784FAFB">
            <w:pPr>
              <w:jc w:val="left"/>
              <w:rPr>
                <w:rFonts w:ascii="仿宋_GB2312" w:eastAsia="仿宋_GB2312"/>
                <w:color w:val="auto"/>
                <w:szCs w:val="21"/>
              </w:rPr>
            </w:pPr>
          </w:p>
        </w:tc>
      </w:tr>
    </w:tbl>
    <w:p w14:paraId="690A591C">
      <w:pPr>
        <w:widowControl/>
        <w:jc w:val="left"/>
        <w:rPr>
          <w:rFonts w:ascii="仿宋_GB2312" w:eastAsia="仿宋_GB2312"/>
          <w:color w:val="auto"/>
          <w:sz w:val="44"/>
          <w:szCs w:val="44"/>
        </w:rPr>
      </w:pPr>
    </w:p>
    <w:p w14:paraId="70E2E7BE">
      <w:pPr>
        <w:rPr>
          <w:rFonts w:hint="eastAsia" w:ascii="宋体" w:hAnsi="宋体"/>
          <w:b/>
          <w:color w:val="auto"/>
          <w:sz w:val="24"/>
        </w:rPr>
      </w:pPr>
      <w:r>
        <w:rPr>
          <w:rFonts w:ascii="宋体" w:hAnsi="宋体"/>
          <w:color w:val="auto"/>
          <w:sz w:val="28"/>
          <w:szCs w:val="28"/>
        </w:rPr>
        <w:br w:type="page"/>
      </w:r>
      <w:r>
        <w:rPr>
          <w:rFonts w:hint="eastAsia" w:ascii="宋体" w:hAnsi="宋体"/>
          <w:b/>
          <w:color w:val="auto"/>
          <w:sz w:val="24"/>
        </w:rPr>
        <w:t>合同附件</w:t>
      </w:r>
      <w:r>
        <w:rPr>
          <w:rFonts w:hint="eastAsia" w:ascii="宋体" w:hAnsi="宋体"/>
          <w:b/>
          <w:color w:val="auto"/>
          <w:sz w:val="24"/>
          <w:lang w:val="en-US" w:eastAsia="zh-CN"/>
        </w:rPr>
        <w:t>7</w:t>
      </w:r>
      <w:r>
        <w:rPr>
          <w:rFonts w:hint="eastAsia" w:ascii="宋体" w:hAnsi="宋体"/>
          <w:b/>
          <w:color w:val="auto"/>
          <w:sz w:val="24"/>
        </w:rPr>
        <w:t>：</w:t>
      </w:r>
    </w:p>
    <w:p w14:paraId="74586406">
      <w:pPr>
        <w:jc w:val="right"/>
        <w:rPr>
          <w:rFonts w:hint="eastAsia" w:ascii="黑体" w:eastAsia="黑体"/>
          <w:color w:val="auto"/>
          <w:sz w:val="30"/>
          <w:szCs w:val="30"/>
        </w:rPr>
      </w:pPr>
      <w:r>
        <w:rPr>
          <w:rFonts w:hint="eastAsia" w:ascii="黑体" w:eastAsia="黑体"/>
          <w:color w:val="auto"/>
          <w:sz w:val="30"/>
          <w:szCs w:val="30"/>
        </w:rPr>
        <w:t>进度款请款函格式范例，仅供参考。</w:t>
      </w:r>
    </w:p>
    <w:p w14:paraId="47F9C36B">
      <w:pPr>
        <w:jc w:val="right"/>
        <w:rPr>
          <w:rFonts w:hint="eastAsia"/>
          <w:color w:val="auto"/>
          <w:sz w:val="30"/>
          <w:szCs w:val="30"/>
        </w:rPr>
      </w:pPr>
      <w:r>
        <w:rPr>
          <w:rFonts w:hint="eastAsia"/>
          <w:color w:val="auto"/>
          <w:sz w:val="30"/>
          <w:szCs w:val="30"/>
        </w:rPr>
        <w:t>函号：XX[XXX]XXX号</w:t>
      </w:r>
    </w:p>
    <w:p w14:paraId="4761EEB6">
      <w:pPr>
        <w:jc w:val="center"/>
        <w:rPr>
          <w:rFonts w:hint="eastAsia"/>
          <w:color w:val="auto"/>
          <w:sz w:val="44"/>
          <w:szCs w:val="44"/>
        </w:rPr>
      </w:pPr>
      <w:r>
        <w:rPr>
          <w:rFonts w:hint="eastAsia"/>
          <w:color w:val="auto"/>
          <w:sz w:val="44"/>
          <w:szCs w:val="44"/>
        </w:rPr>
        <w:t>关于申请</w:t>
      </w:r>
      <w:r>
        <w:rPr>
          <w:rFonts w:hint="eastAsia"/>
          <w:color w:val="auto"/>
          <w:sz w:val="44"/>
          <w:szCs w:val="44"/>
          <w:u w:val="single"/>
        </w:rPr>
        <w:t xml:space="preserve">   </w:t>
      </w:r>
      <w:r>
        <w:rPr>
          <w:rFonts w:hint="eastAsia"/>
          <w:color w:val="auto"/>
          <w:sz w:val="44"/>
          <w:szCs w:val="44"/>
        </w:rPr>
        <w:t>工程第</w:t>
      </w:r>
      <w:r>
        <w:rPr>
          <w:rFonts w:hint="eastAsia"/>
          <w:color w:val="auto"/>
          <w:sz w:val="44"/>
          <w:szCs w:val="44"/>
          <w:u w:val="single"/>
        </w:rPr>
        <w:t xml:space="preserve">   </w:t>
      </w:r>
      <w:r>
        <w:rPr>
          <w:rFonts w:hint="eastAsia"/>
          <w:color w:val="auto"/>
          <w:sz w:val="44"/>
          <w:szCs w:val="44"/>
        </w:rPr>
        <w:t>批次设计</w:t>
      </w:r>
    </w:p>
    <w:p w14:paraId="04F397F7">
      <w:pPr>
        <w:jc w:val="center"/>
        <w:rPr>
          <w:rFonts w:hint="eastAsia"/>
          <w:color w:val="auto"/>
          <w:sz w:val="44"/>
          <w:szCs w:val="44"/>
        </w:rPr>
      </w:pPr>
      <w:r>
        <w:rPr>
          <w:rFonts w:hint="eastAsia"/>
          <w:color w:val="auto"/>
          <w:sz w:val="44"/>
          <w:szCs w:val="44"/>
        </w:rPr>
        <w:t>（勘察）进度款的函</w:t>
      </w:r>
    </w:p>
    <w:p w14:paraId="6ECF52D9">
      <w:pPr>
        <w:jc w:val="center"/>
        <w:rPr>
          <w:rFonts w:hint="eastAsia"/>
          <w:color w:val="auto"/>
        </w:rPr>
      </w:pPr>
    </w:p>
    <w:p w14:paraId="16A9B40D">
      <w:pPr>
        <w:rPr>
          <w:rFonts w:hint="eastAsia" w:ascii="仿宋_GB2312" w:eastAsia="仿宋_GB2312"/>
          <w:color w:val="auto"/>
          <w:sz w:val="32"/>
          <w:szCs w:val="32"/>
        </w:rPr>
      </w:pPr>
      <w:r>
        <w:rPr>
          <w:rFonts w:hint="eastAsia" w:ascii="仿宋_GB2312" w:eastAsia="仿宋_GB2312"/>
          <w:color w:val="auto"/>
          <w:sz w:val="32"/>
          <w:szCs w:val="32"/>
        </w:rPr>
        <w:t>广州市番禺区基本建设投资管理中心：</w:t>
      </w:r>
    </w:p>
    <w:p w14:paraId="35D8F0DD">
      <w:pPr>
        <w:ind w:firstLine="720" w:firstLineChars="225"/>
        <w:rPr>
          <w:rFonts w:hint="eastAsia" w:ascii="黑体" w:eastAsia="黑体"/>
          <w:color w:val="auto"/>
          <w:sz w:val="32"/>
          <w:szCs w:val="32"/>
        </w:rPr>
      </w:pPr>
      <w:r>
        <w:rPr>
          <w:rFonts w:hint="eastAsia" w:ascii="仿宋_GB2312" w:eastAsia="仿宋_GB2312"/>
          <w:color w:val="auto"/>
          <w:sz w:val="32"/>
          <w:szCs w:val="32"/>
        </w:rPr>
        <w:t>我单位承接的</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工程设计（勘察）项目已于</w:t>
      </w:r>
      <w:r>
        <w:rPr>
          <w:rFonts w:hint="eastAsia" w:ascii="仿宋_GB2312" w:eastAsia="仿宋_GB2312"/>
          <w:color w:val="auto"/>
          <w:sz w:val="32"/>
          <w:szCs w:val="32"/>
          <w:u w:val="single"/>
        </w:rPr>
        <w:t xml:space="preserve">  （年月日）</w:t>
      </w:r>
      <w:r>
        <w:rPr>
          <w:rFonts w:hint="eastAsia" w:ascii="仿宋_GB2312" w:eastAsia="仿宋_GB2312"/>
          <w:color w:val="auto"/>
          <w:sz w:val="32"/>
          <w:szCs w:val="32"/>
        </w:rPr>
        <w:t>与贵办签订</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合同（编号：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见附件）及</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补充协议（编号：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见附件）,合同价为</w:t>
      </w:r>
      <w:r>
        <w:rPr>
          <w:rFonts w:ascii="Arial" w:hAnsi="Arial" w:eastAsia="仿宋_GB2312" w:cs="Arial"/>
          <w:color w:val="auto"/>
          <w:sz w:val="32"/>
          <w:szCs w:val="32"/>
        </w:rPr>
        <w:t>¥</w:t>
      </w:r>
      <w:r>
        <w:rPr>
          <w:rFonts w:hint="eastAsia" w:ascii="Arial" w:hAnsi="Arial" w:eastAsia="仿宋_GB2312" w:cs="Arial"/>
          <w:color w:val="auto"/>
          <w:sz w:val="32"/>
          <w:szCs w:val="32"/>
          <w:u w:val="single"/>
        </w:rPr>
        <w:t xml:space="preserve">    </w:t>
      </w:r>
      <w:r>
        <w:rPr>
          <w:rFonts w:hint="eastAsia" w:ascii="仿宋_GB2312" w:eastAsia="仿宋_GB2312"/>
          <w:color w:val="auto"/>
          <w:sz w:val="32"/>
          <w:szCs w:val="32"/>
        </w:rPr>
        <w:t>元，补充协议为</w:t>
      </w:r>
      <w:r>
        <w:rPr>
          <w:rFonts w:ascii="Arial" w:hAnsi="Arial" w:eastAsia="仿宋_GB2312" w:cs="Arial"/>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元，合计</w:t>
      </w:r>
      <w:r>
        <w:rPr>
          <w:rFonts w:ascii="Arial" w:hAnsi="Arial" w:eastAsia="仿宋_GB2312" w:cs="Arial"/>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w:t>
      </w:r>
    </w:p>
    <w:p w14:paraId="73610E5A">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鉴于我单位至</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月止已收</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批次进度款共</w:t>
      </w:r>
      <w:r>
        <w:rPr>
          <w:rFonts w:ascii="Arial" w:hAnsi="Arial" w:eastAsia="仿宋_GB2312" w:cs="Arial"/>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（即人民币</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元）,根据合同第</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条约定，本次应收取第</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批次进度款</w:t>
      </w:r>
      <w:r>
        <w:rPr>
          <w:rFonts w:ascii="Arial" w:hAnsi="Arial" w:eastAsia="仿宋_GB2312" w:cs="Arial"/>
          <w:color w:val="auto"/>
          <w:sz w:val="32"/>
          <w:szCs w:val="32"/>
        </w:rPr>
        <w:t>¥</w:t>
      </w:r>
      <w:r>
        <w:rPr>
          <w:rFonts w:hint="eastAsia" w:ascii="Arial" w:hAnsi="Arial" w:eastAsia="仿宋_GB2312" w:cs="Arial"/>
          <w:color w:val="auto"/>
          <w:sz w:val="32"/>
          <w:szCs w:val="32"/>
          <w:u w:val="single"/>
        </w:rPr>
        <w:t xml:space="preserve">    </w:t>
      </w:r>
      <w:r>
        <w:rPr>
          <w:rFonts w:hint="eastAsia" w:ascii="仿宋_GB2312" w:eastAsia="仿宋_GB2312"/>
          <w:color w:val="auto"/>
          <w:sz w:val="32"/>
          <w:szCs w:val="32"/>
        </w:rPr>
        <w:t>（即人民币</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w:t>
      </w:r>
    </w:p>
    <w:p w14:paraId="26CBD05B">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现呈送相关资料（见附件）请办予以评审和确认，望贵办大力支持，尽快支付上述款项为盼。</w:t>
      </w:r>
    </w:p>
    <w:p w14:paraId="37ABDBFA">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开户银行：</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p>
    <w:p w14:paraId="51F43A9F">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开户账号：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p>
    <w:p w14:paraId="29E642B3">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开户行地址：</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p>
    <w:p w14:paraId="50248A8F">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开户名全称：</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p>
    <w:p w14:paraId="10B4149A">
      <w:pPr>
        <w:ind w:firstLine="720" w:firstLineChars="225"/>
        <w:rPr>
          <w:rFonts w:hint="eastAsia" w:ascii="仿宋_GB2312" w:eastAsia="仿宋_GB2312"/>
          <w:color w:val="auto"/>
          <w:sz w:val="32"/>
          <w:szCs w:val="32"/>
        </w:rPr>
      </w:pPr>
    </w:p>
    <w:p w14:paraId="6969A370">
      <w:pPr>
        <w:ind w:firstLine="720" w:firstLineChars="225"/>
        <w:rPr>
          <w:rFonts w:hint="eastAsia" w:ascii="仿宋_GB2312" w:eastAsia="仿宋_GB2312"/>
          <w:color w:val="auto"/>
          <w:sz w:val="32"/>
          <w:szCs w:val="32"/>
        </w:rPr>
      </w:pPr>
      <w:r>
        <w:rPr>
          <w:rFonts w:ascii="仿宋_GB2312" w:eastAsia="仿宋_GB2312"/>
          <w:color w:val="auto"/>
          <w:sz w:val="32"/>
          <w:szCs w:val="32"/>
        </w:rPr>
        <w:br w:type="page"/>
      </w:r>
      <w:r>
        <w:rPr>
          <w:rFonts w:hint="eastAsia" w:ascii="仿宋_GB2312" w:eastAsia="仿宋_GB2312"/>
          <w:color w:val="auto"/>
          <w:sz w:val="32"/>
          <w:szCs w:val="32"/>
        </w:rPr>
        <w:t xml:space="preserve">附件：1.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合同（复印件）； </w:t>
      </w:r>
    </w:p>
    <w:p w14:paraId="66177688">
      <w:pPr>
        <w:ind w:firstLine="1760" w:firstLineChars="550"/>
        <w:rPr>
          <w:rFonts w:hint="eastAsia" w:ascii="仿宋_GB2312" w:eastAsia="仿宋_GB2312"/>
          <w:color w:val="auto"/>
          <w:sz w:val="32"/>
          <w:szCs w:val="32"/>
        </w:rPr>
      </w:pPr>
      <w:r>
        <w:rPr>
          <w:rFonts w:hint="eastAsia" w:ascii="仿宋_GB2312" w:eastAsia="仿宋_GB2312"/>
          <w:color w:val="auto"/>
          <w:sz w:val="32"/>
          <w:szCs w:val="32"/>
        </w:rPr>
        <w:t xml:space="preserve">2.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补充协议（复印件）；</w:t>
      </w:r>
    </w:p>
    <w:p w14:paraId="48EC6C18">
      <w:pPr>
        <w:ind w:left="2075" w:leftChars="836" w:hanging="320" w:hangingChars="100"/>
        <w:rPr>
          <w:rFonts w:hint="eastAsia" w:ascii="仿宋_GB2312" w:eastAsia="仿宋_GB2312"/>
          <w:color w:val="auto"/>
          <w:sz w:val="32"/>
          <w:szCs w:val="32"/>
        </w:rPr>
      </w:pPr>
      <w:r>
        <w:rPr>
          <w:rFonts w:hint="eastAsia" w:ascii="仿宋_GB2312" w:eastAsia="仿宋_GB2312"/>
          <w:color w:val="auto"/>
          <w:sz w:val="32"/>
          <w:szCs w:val="32"/>
        </w:rPr>
        <w:t>3.首期款需提交经审核的《XXX工程勘察设计工作大纲》、本项目合同印花税凭证；</w:t>
      </w:r>
    </w:p>
    <w:p w14:paraId="757E41DA">
      <w:pPr>
        <w:ind w:left="1915" w:leftChars="836" w:hanging="160" w:hangingChars="50"/>
        <w:rPr>
          <w:rFonts w:hint="eastAsia" w:ascii="仿宋_GB2312" w:eastAsia="仿宋_GB2312"/>
          <w:color w:val="auto"/>
          <w:sz w:val="32"/>
          <w:szCs w:val="32"/>
        </w:rPr>
      </w:pPr>
      <w:r>
        <w:rPr>
          <w:rFonts w:hint="eastAsia" w:ascii="仿宋_GB2312" w:eastAsia="仿宋_GB2312"/>
          <w:color w:val="auto"/>
          <w:sz w:val="32"/>
          <w:szCs w:val="32"/>
        </w:rPr>
        <w:t>4.各期进度款需提交各阶段技术文件签收记录（复印件）；</w:t>
      </w:r>
    </w:p>
    <w:p w14:paraId="098AA47B">
      <w:pPr>
        <w:ind w:left="2235" w:leftChars="836" w:hanging="480" w:hangingChars="150"/>
        <w:rPr>
          <w:rFonts w:hint="eastAsia" w:ascii="仿宋_GB2312" w:eastAsia="仿宋_GB2312"/>
          <w:color w:val="auto"/>
          <w:sz w:val="32"/>
          <w:szCs w:val="32"/>
        </w:rPr>
      </w:pPr>
      <w:r>
        <w:rPr>
          <w:rFonts w:hint="eastAsia" w:ascii="仿宋_GB2312" w:eastAsia="仿宋_GB2312"/>
          <w:color w:val="auto"/>
          <w:sz w:val="32"/>
          <w:szCs w:val="32"/>
        </w:rPr>
        <w:t>5. 各期进度款需提交各阶段技术审批（审查）文件（复印件）。</w:t>
      </w:r>
    </w:p>
    <w:p w14:paraId="6CFDAFF7">
      <w:pPr>
        <w:wordWrap w:val="0"/>
        <w:ind w:firstLine="720" w:firstLineChars="225"/>
        <w:jc w:val="right"/>
        <w:rPr>
          <w:rFonts w:hint="eastAsia" w:ascii="仿宋_GB2312" w:eastAsia="仿宋_GB2312"/>
          <w:color w:val="auto"/>
          <w:sz w:val="32"/>
          <w:szCs w:val="32"/>
        </w:rPr>
      </w:pPr>
    </w:p>
    <w:p w14:paraId="35A71CCB">
      <w:pPr>
        <w:ind w:firstLine="720" w:firstLineChars="225"/>
        <w:jc w:val="center"/>
        <w:rPr>
          <w:rFonts w:hint="eastAsia" w:ascii="仿宋_GB2312" w:eastAsia="仿宋_GB2312"/>
          <w:color w:val="auto"/>
          <w:sz w:val="32"/>
          <w:szCs w:val="32"/>
        </w:rPr>
      </w:pPr>
      <w:r>
        <w:rPr>
          <w:rFonts w:hint="eastAsia" w:ascii="仿宋_GB2312" w:eastAsia="仿宋_GB2312"/>
          <w:color w:val="auto"/>
          <w:sz w:val="32"/>
          <w:szCs w:val="32"/>
        </w:rPr>
        <w:t xml:space="preserve">                          单位全称（盖章）</w:t>
      </w:r>
    </w:p>
    <w:p w14:paraId="53790994">
      <w:pPr>
        <w:wordWrap w:val="0"/>
        <w:ind w:firstLine="720" w:firstLineChars="225"/>
        <w:jc w:val="right"/>
        <w:outlineLvl w:val="0"/>
        <w:rPr>
          <w:rFonts w:hint="eastAsia" w:ascii="仿宋_GB2312" w:hAnsi="仿宋_GB2312" w:eastAsia="仿宋_GB2312" w:cs="仿宋_GB2312"/>
          <w:color w:val="auto"/>
          <w:sz w:val="32"/>
          <w:szCs w:val="32"/>
        </w:rPr>
      </w:pPr>
      <w:r>
        <w:rPr>
          <w:rFonts w:hint="eastAsia" w:ascii="仿宋_GB2312" w:eastAsia="仿宋_GB2312"/>
          <w:color w:val="auto"/>
          <w:sz w:val="32"/>
          <w:szCs w:val="32"/>
        </w:rPr>
        <w:t xml:space="preserve"> 年  月  日</w:t>
      </w:r>
      <w:r>
        <w:rPr>
          <w:rFonts w:hint="eastAsia" w:ascii="仿宋_GB2312" w:hAnsi="仿宋_GB2312" w:eastAsia="仿宋_GB2312" w:cs="仿宋_GB2312"/>
          <w:color w:val="auto"/>
          <w:sz w:val="32"/>
          <w:szCs w:val="32"/>
        </w:rPr>
        <w:t xml:space="preserve">    </w:t>
      </w:r>
    </w:p>
    <w:p w14:paraId="65AAE774">
      <w:pPr>
        <w:ind w:firstLine="720" w:firstLineChars="225"/>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79A73BE6">
      <w:pPr>
        <w:ind w:firstLine="720" w:firstLineChars="225"/>
        <w:rPr>
          <w:rFonts w:hint="eastAsia" w:ascii="宋体" w:hAnsi="宋体"/>
          <w:b/>
          <w:color w:val="auto"/>
          <w:sz w:val="24"/>
        </w:rPr>
      </w:pPr>
      <w:r>
        <w:rPr>
          <w:rFonts w:hint="eastAsia" w:ascii="仿宋_GB2312" w:hAnsi="仿宋_GB2312" w:eastAsia="仿宋_GB2312" w:cs="仿宋_GB2312"/>
          <w:color w:val="auto"/>
          <w:sz w:val="32"/>
          <w:szCs w:val="32"/>
        </w:rPr>
        <w:t>(联系人：           联系电话（手机及固话）：    )</w:t>
      </w:r>
      <w:r>
        <w:rPr>
          <w:rFonts w:ascii="宋体" w:hAnsi="宋体"/>
          <w:color w:val="auto"/>
          <w:sz w:val="28"/>
          <w:szCs w:val="28"/>
        </w:rPr>
        <w:br w:type="page"/>
      </w:r>
      <w:r>
        <w:rPr>
          <w:rFonts w:hint="eastAsia" w:ascii="宋体" w:hAnsi="宋体"/>
          <w:b/>
          <w:color w:val="auto"/>
          <w:sz w:val="24"/>
        </w:rPr>
        <w:t>合同附件</w:t>
      </w:r>
      <w:r>
        <w:rPr>
          <w:rFonts w:hint="eastAsia" w:ascii="宋体" w:hAnsi="宋体"/>
          <w:b/>
          <w:color w:val="auto"/>
          <w:sz w:val="24"/>
          <w:lang w:val="en-US" w:eastAsia="zh-CN"/>
        </w:rPr>
        <w:t>8</w:t>
      </w:r>
      <w:r>
        <w:rPr>
          <w:rFonts w:hint="eastAsia" w:ascii="宋体" w:hAnsi="宋体"/>
          <w:b/>
          <w:color w:val="auto"/>
          <w:sz w:val="24"/>
        </w:rPr>
        <w:t>：</w:t>
      </w:r>
    </w:p>
    <w:p w14:paraId="2CC3852A">
      <w:pPr>
        <w:jc w:val="center"/>
        <w:rPr>
          <w:rFonts w:hint="eastAsia" w:ascii="黑体" w:eastAsia="黑体"/>
          <w:color w:val="auto"/>
          <w:sz w:val="30"/>
          <w:szCs w:val="30"/>
        </w:rPr>
      </w:pPr>
      <w:r>
        <w:rPr>
          <w:rFonts w:hint="eastAsia" w:ascii="黑体" w:eastAsia="黑体"/>
          <w:color w:val="auto"/>
          <w:sz w:val="30"/>
          <w:szCs w:val="30"/>
        </w:rPr>
        <w:t>结算请款函格式范例，仅供参考。</w:t>
      </w:r>
    </w:p>
    <w:p w14:paraId="79C3BF7C">
      <w:pPr>
        <w:jc w:val="center"/>
        <w:rPr>
          <w:rFonts w:hint="eastAsia" w:ascii="黑体" w:eastAsia="黑体"/>
          <w:color w:val="auto"/>
          <w:sz w:val="30"/>
          <w:szCs w:val="30"/>
        </w:rPr>
      </w:pPr>
    </w:p>
    <w:p w14:paraId="7F78BF98">
      <w:pPr>
        <w:jc w:val="right"/>
        <w:rPr>
          <w:rFonts w:hint="eastAsia"/>
          <w:color w:val="auto"/>
          <w:sz w:val="30"/>
          <w:szCs w:val="30"/>
        </w:rPr>
      </w:pPr>
      <w:r>
        <w:rPr>
          <w:rFonts w:hint="eastAsia"/>
          <w:color w:val="auto"/>
          <w:sz w:val="30"/>
          <w:szCs w:val="30"/>
        </w:rPr>
        <w:t>函号：XX[XXX]XXX号</w:t>
      </w:r>
    </w:p>
    <w:p w14:paraId="0E2C3674">
      <w:pPr>
        <w:jc w:val="center"/>
        <w:rPr>
          <w:rFonts w:hint="eastAsia" w:ascii="公文小标宋简" w:eastAsia="公文小标宋简"/>
          <w:color w:val="auto"/>
          <w:sz w:val="44"/>
          <w:szCs w:val="44"/>
        </w:rPr>
      </w:pPr>
      <w:r>
        <w:rPr>
          <w:rFonts w:hint="eastAsia" w:ascii="公文小标宋简" w:eastAsia="公文小标宋简"/>
          <w:color w:val="auto"/>
          <w:sz w:val="44"/>
          <w:szCs w:val="44"/>
        </w:rPr>
        <w:t>关于申请</w:t>
      </w:r>
      <w:r>
        <w:rPr>
          <w:rFonts w:hint="eastAsia" w:ascii="公文小标宋简" w:eastAsia="公文小标宋简"/>
          <w:color w:val="auto"/>
          <w:sz w:val="44"/>
          <w:szCs w:val="44"/>
          <w:u w:val="single"/>
        </w:rPr>
        <w:t xml:space="preserve">   </w:t>
      </w:r>
      <w:r>
        <w:rPr>
          <w:rFonts w:hint="eastAsia" w:ascii="公文小标宋简" w:eastAsia="公文小标宋简"/>
          <w:color w:val="auto"/>
          <w:sz w:val="44"/>
          <w:szCs w:val="44"/>
        </w:rPr>
        <w:t>工程设计（勘察）结算费的函</w:t>
      </w:r>
    </w:p>
    <w:p w14:paraId="23F87B82">
      <w:pPr>
        <w:jc w:val="center"/>
        <w:rPr>
          <w:rFonts w:hint="eastAsia"/>
          <w:color w:val="auto"/>
        </w:rPr>
      </w:pPr>
    </w:p>
    <w:p w14:paraId="28AD9C94">
      <w:pPr>
        <w:rPr>
          <w:rFonts w:hint="eastAsia" w:ascii="仿宋_GB2312" w:eastAsia="仿宋_GB2312"/>
          <w:color w:val="auto"/>
          <w:sz w:val="32"/>
          <w:szCs w:val="32"/>
        </w:rPr>
      </w:pPr>
      <w:r>
        <w:rPr>
          <w:rFonts w:hint="eastAsia" w:ascii="仿宋_GB2312" w:eastAsia="仿宋_GB2312"/>
          <w:color w:val="auto"/>
          <w:sz w:val="32"/>
          <w:szCs w:val="32"/>
        </w:rPr>
        <w:t>广州市番禺区基本建设投资管理中心：</w:t>
      </w:r>
    </w:p>
    <w:p w14:paraId="49021A9E">
      <w:pPr>
        <w:ind w:firstLine="720" w:firstLineChars="225"/>
        <w:rPr>
          <w:rFonts w:hint="eastAsia" w:ascii="黑体" w:eastAsia="黑体"/>
          <w:color w:val="auto"/>
          <w:sz w:val="32"/>
          <w:szCs w:val="32"/>
        </w:rPr>
      </w:pPr>
      <w:r>
        <w:rPr>
          <w:rFonts w:hint="eastAsia" w:ascii="仿宋_GB2312" w:eastAsia="仿宋_GB2312"/>
          <w:color w:val="auto"/>
          <w:sz w:val="32"/>
          <w:szCs w:val="32"/>
        </w:rPr>
        <w:t>我单位承接的</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工程设计（勘察）项目已于</w:t>
      </w:r>
      <w:r>
        <w:rPr>
          <w:rFonts w:hint="eastAsia" w:ascii="仿宋_GB2312" w:eastAsia="仿宋_GB2312"/>
          <w:color w:val="auto"/>
          <w:sz w:val="32"/>
          <w:szCs w:val="32"/>
          <w:u w:val="single"/>
        </w:rPr>
        <w:t xml:space="preserve">     （年月日）</w:t>
      </w:r>
      <w:r>
        <w:rPr>
          <w:rFonts w:hint="eastAsia" w:ascii="仿宋_GB2312" w:eastAsia="仿宋_GB2312"/>
          <w:color w:val="auto"/>
          <w:sz w:val="32"/>
          <w:szCs w:val="32"/>
        </w:rPr>
        <w:t>日与贵办签订</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合同（编号：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见附件）及</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补充协议（编号：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见附件）,合同价为</w:t>
      </w:r>
      <w:r>
        <w:rPr>
          <w:rFonts w:ascii="Arial" w:hAnsi="Arial" w:eastAsia="仿宋_GB2312" w:cs="Arial"/>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元，补充协议为</w:t>
      </w:r>
      <w:r>
        <w:rPr>
          <w:rFonts w:ascii="Arial" w:hAnsi="Arial" w:eastAsia="仿宋_GB2312" w:cs="Arial"/>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元，合计</w:t>
      </w:r>
      <w:r>
        <w:rPr>
          <w:rFonts w:ascii="Arial" w:hAnsi="Arial" w:eastAsia="仿宋_GB2312" w:cs="Arial"/>
          <w:color w:val="auto"/>
          <w:sz w:val="32"/>
          <w:szCs w:val="32"/>
        </w:rPr>
        <w:t>¥</w:t>
      </w:r>
      <w:r>
        <w:rPr>
          <w:rFonts w:hint="eastAsia" w:ascii="仿宋_GB2312" w:eastAsia="仿宋_GB2312"/>
          <w:color w:val="auto"/>
          <w:sz w:val="32"/>
          <w:szCs w:val="32"/>
        </w:rPr>
        <w:t xml:space="preserve">   元。</w:t>
      </w:r>
    </w:p>
    <w:p w14:paraId="49033A34">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我单位已获区财局批复建设工程项目预算评审结果表（见附件），确认本工程</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结算价为</w:t>
      </w:r>
      <w:r>
        <w:rPr>
          <w:rFonts w:ascii="Arial" w:hAnsi="Arial" w:eastAsia="仿宋_GB2312" w:cs="Arial"/>
          <w:color w:val="auto"/>
          <w:sz w:val="32"/>
          <w:szCs w:val="32"/>
        </w:rPr>
        <w:t>¥</w:t>
      </w:r>
      <w:r>
        <w:rPr>
          <w:rFonts w:hint="eastAsia" w:ascii="仿宋_GB2312" w:eastAsia="仿宋_GB2312"/>
          <w:color w:val="auto"/>
          <w:sz w:val="32"/>
          <w:szCs w:val="32"/>
        </w:rPr>
        <w:t xml:space="preserve">         （即人民币</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w:t>
      </w:r>
    </w:p>
    <w:p w14:paraId="1F3A47D1">
      <w:pPr>
        <w:ind w:firstLine="720" w:firstLineChars="225"/>
        <w:outlineLvl w:val="0"/>
        <w:rPr>
          <w:rFonts w:hint="eastAsia" w:ascii="仿宋_GB2312" w:eastAsia="仿宋_GB2312"/>
          <w:color w:val="auto"/>
          <w:sz w:val="32"/>
          <w:szCs w:val="32"/>
        </w:rPr>
      </w:pP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费计算表：</w:t>
      </w:r>
    </w:p>
    <w:tbl>
      <w:tblPr>
        <w:tblStyle w:val="9"/>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7B1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center"/>
          </w:tcPr>
          <w:p w14:paraId="3DD2B547">
            <w:pPr>
              <w:jc w:val="center"/>
              <w:rPr>
                <w:rFonts w:hint="eastAsia" w:ascii="宋体" w:hAnsi="宋体"/>
                <w:b/>
                <w:color w:val="auto"/>
                <w:sz w:val="24"/>
              </w:rPr>
            </w:pPr>
            <w:r>
              <w:rPr>
                <w:rFonts w:hint="eastAsia" w:ascii="宋体" w:hAnsi="宋体"/>
                <w:b/>
                <w:color w:val="auto"/>
                <w:sz w:val="24"/>
              </w:rPr>
              <w:t>工程名称</w:t>
            </w:r>
          </w:p>
        </w:tc>
        <w:tc>
          <w:tcPr>
            <w:tcW w:w="1704" w:type="dxa"/>
            <w:noWrap w:val="0"/>
            <w:vAlign w:val="center"/>
          </w:tcPr>
          <w:p w14:paraId="58AB7782">
            <w:pPr>
              <w:jc w:val="center"/>
              <w:rPr>
                <w:rFonts w:hint="eastAsia" w:ascii="宋体" w:hAnsi="宋体"/>
                <w:b/>
                <w:color w:val="auto"/>
                <w:sz w:val="24"/>
              </w:rPr>
            </w:pPr>
            <w:r>
              <w:rPr>
                <w:rFonts w:hint="eastAsia" w:ascii="宋体" w:hAnsi="宋体"/>
                <w:b/>
                <w:color w:val="auto"/>
                <w:sz w:val="24"/>
              </w:rPr>
              <w:t>工程投资审定价（元）</w:t>
            </w:r>
          </w:p>
        </w:tc>
        <w:tc>
          <w:tcPr>
            <w:tcW w:w="1704" w:type="dxa"/>
            <w:noWrap w:val="0"/>
            <w:vAlign w:val="center"/>
          </w:tcPr>
          <w:p w14:paraId="6E9D9432">
            <w:pPr>
              <w:jc w:val="center"/>
              <w:rPr>
                <w:rFonts w:hint="eastAsia" w:ascii="宋体" w:hAnsi="宋体"/>
                <w:b/>
                <w:color w:val="auto"/>
                <w:sz w:val="24"/>
              </w:rPr>
            </w:pPr>
            <w:r>
              <w:rPr>
                <w:rFonts w:hint="eastAsia" w:ascii="宋体" w:hAnsi="宋体"/>
                <w:b/>
                <w:color w:val="auto"/>
                <w:sz w:val="24"/>
              </w:rPr>
              <w:t>费率或定额</w:t>
            </w:r>
          </w:p>
        </w:tc>
        <w:tc>
          <w:tcPr>
            <w:tcW w:w="1705" w:type="dxa"/>
            <w:noWrap w:val="0"/>
            <w:vAlign w:val="center"/>
          </w:tcPr>
          <w:p w14:paraId="16651F26">
            <w:pPr>
              <w:jc w:val="center"/>
              <w:rPr>
                <w:rFonts w:hint="eastAsia" w:ascii="宋体" w:hAnsi="宋体"/>
                <w:b/>
                <w:color w:val="auto"/>
                <w:sz w:val="24"/>
              </w:rPr>
            </w:pPr>
            <w:r>
              <w:rPr>
                <w:rFonts w:hint="eastAsia" w:ascii="宋体" w:hAnsi="宋体"/>
                <w:b/>
                <w:color w:val="auto"/>
                <w:sz w:val="24"/>
              </w:rPr>
              <w:t>调整系数</w:t>
            </w:r>
          </w:p>
        </w:tc>
        <w:tc>
          <w:tcPr>
            <w:tcW w:w="1705" w:type="dxa"/>
            <w:noWrap w:val="0"/>
            <w:vAlign w:val="center"/>
          </w:tcPr>
          <w:p w14:paraId="30218714">
            <w:pPr>
              <w:jc w:val="center"/>
              <w:rPr>
                <w:rFonts w:hint="eastAsia" w:ascii="宋体" w:hAnsi="宋体"/>
                <w:b/>
                <w:color w:val="auto"/>
                <w:sz w:val="24"/>
              </w:rPr>
            </w:pPr>
            <w:r>
              <w:rPr>
                <w:rFonts w:hint="eastAsia" w:ascii="宋体" w:hAnsi="宋体"/>
                <w:b/>
                <w:color w:val="auto"/>
                <w:sz w:val="24"/>
              </w:rPr>
              <w:t>设计费（元）</w:t>
            </w:r>
          </w:p>
        </w:tc>
      </w:tr>
      <w:tr w14:paraId="7A8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704" w:type="dxa"/>
            <w:noWrap w:val="0"/>
            <w:vAlign w:val="center"/>
          </w:tcPr>
          <w:p w14:paraId="0A314E15">
            <w:pPr>
              <w:ind w:firstLine="480"/>
              <w:jc w:val="center"/>
              <w:rPr>
                <w:rFonts w:hint="eastAsia" w:ascii="仿宋_GB2312"/>
                <w:color w:val="auto"/>
                <w:sz w:val="24"/>
              </w:rPr>
            </w:pPr>
          </w:p>
        </w:tc>
        <w:tc>
          <w:tcPr>
            <w:tcW w:w="1704" w:type="dxa"/>
            <w:noWrap w:val="0"/>
            <w:vAlign w:val="center"/>
          </w:tcPr>
          <w:p w14:paraId="31396B6D">
            <w:pPr>
              <w:ind w:firstLine="480"/>
              <w:jc w:val="center"/>
              <w:rPr>
                <w:rFonts w:hint="eastAsia" w:ascii="仿宋_GB2312"/>
                <w:color w:val="auto"/>
                <w:sz w:val="24"/>
              </w:rPr>
            </w:pPr>
          </w:p>
        </w:tc>
        <w:tc>
          <w:tcPr>
            <w:tcW w:w="1704" w:type="dxa"/>
            <w:noWrap w:val="0"/>
            <w:vAlign w:val="center"/>
          </w:tcPr>
          <w:p w14:paraId="62605E5C">
            <w:pPr>
              <w:ind w:firstLine="480"/>
              <w:jc w:val="center"/>
              <w:rPr>
                <w:rFonts w:hint="eastAsia" w:ascii="仿宋_GB2312"/>
                <w:color w:val="auto"/>
                <w:sz w:val="24"/>
              </w:rPr>
            </w:pPr>
          </w:p>
        </w:tc>
        <w:tc>
          <w:tcPr>
            <w:tcW w:w="1705" w:type="dxa"/>
            <w:noWrap w:val="0"/>
            <w:vAlign w:val="center"/>
          </w:tcPr>
          <w:p w14:paraId="6C599999">
            <w:pPr>
              <w:ind w:firstLine="480"/>
              <w:jc w:val="center"/>
              <w:rPr>
                <w:rFonts w:hint="eastAsia" w:ascii="仿宋_GB2312"/>
                <w:color w:val="auto"/>
                <w:sz w:val="24"/>
              </w:rPr>
            </w:pPr>
          </w:p>
        </w:tc>
        <w:tc>
          <w:tcPr>
            <w:tcW w:w="1705" w:type="dxa"/>
            <w:noWrap w:val="0"/>
            <w:vAlign w:val="center"/>
          </w:tcPr>
          <w:p w14:paraId="0BE416A6">
            <w:pPr>
              <w:ind w:firstLine="480"/>
              <w:jc w:val="center"/>
              <w:rPr>
                <w:rFonts w:hint="eastAsia" w:ascii="仿宋_GB2312"/>
                <w:color w:val="auto"/>
                <w:sz w:val="24"/>
              </w:rPr>
            </w:pPr>
          </w:p>
        </w:tc>
      </w:tr>
    </w:tbl>
    <w:p w14:paraId="69AD258E">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鉴于我单位至</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（年月）止已收</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批次进度款共</w:t>
      </w:r>
      <w:r>
        <w:rPr>
          <w:rFonts w:ascii="Arial" w:hAnsi="Arial" w:eastAsia="仿宋_GB2312" w:cs="Arial"/>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（即人民币</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元）,根据合同第XX条约定和财评结果，本次应收取结算尾款应为</w:t>
      </w:r>
      <w:r>
        <w:rPr>
          <w:rFonts w:ascii="Arial" w:hAnsi="Arial" w:eastAsia="仿宋_GB2312" w:cs="Arial"/>
          <w:color w:val="auto"/>
          <w:sz w:val="32"/>
          <w:szCs w:val="32"/>
        </w:rPr>
        <w:t>¥</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（即人民币     元）。</w:t>
      </w:r>
    </w:p>
    <w:p w14:paraId="7606FAB9">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现呈送相关资料（见附件）请办予以评审和确认，望贵办大力支持，尽快支付上述款项为盼。</w:t>
      </w:r>
    </w:p>
    <w:p w14:paraId="42580DB6">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开户银行：</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p>
    <w:p w14:paraId="1FCA4778">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开户账号：</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w:t>
      </w:r>
    </w:p>
    <w:p w14:paraId="27BC0DFA">
      <w:pPr>
        <w:ind w:firstLine="720" w:firstLineChars="225"/>
        <w:rPr>
          <w:rFonts w:hint="eastAsia" w:ascii="仿宋_GB2312" w:eastAsia="仿宋_GB2312"/>
          <w:color w:val="auto"/>
          <w:sz w:val="32"/>
          <w:szCs w:val="32"/>
          <w:u w:val="single"/>
        </w:rPr>
      </w:pPr>
      <w:r>
        <w:rPr>
          <w:rFonts w:hint="eastAsia" w:ascii="仿宋_GB2312" w:eastAsia="仿宋_GB2312"/>
          <w:color w:val="auto"/>
          <w:sz w:val="32"/>
          <w:szCs w:val="32"/>
        </w:rPr>
        <w:t>开户行地址：</w:t>
      </w:r>
      <w:r>
        <w:rPr>
          <w:rFonts w:hint="eastAsia" w:ascii="仿宋_GB2312" w:eastAsia="仿宋_GB2312"/>
          <w:color w:val="auto"/>
          <w:sz w:val="32"/>
          <w:szCs w:val="32"/>
          <w:u w:val="single"/>
        </w:rPr>
        <w:t xml:space="preserve">      </w:t>
      </w:r>
    </w:p>
    <w:p w14:paraId="4D1EEC12">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开户名全称：       ;</w:t>
      </w:r>
    </w:p>
    <w:p w14:paraId="71B4FDB1">
      <w:pPr>
        <w:ind w:firstLine="720" w:firstLineChars="225"/>
        <w:rPr>
          <w:rFonts w:hint="eastAsia" w:ascii="仿宋_GB2312" w:eastAsia="仿宋_GB2312"/>
          <w:color w:val="auto"/>
          <w:sz w:val="32"/>
          <w:szCs w:val="32"/>
        </w:rPr>
      </w:pPr>
    </w:p>
    <w:p w14:paraId="243E2C07">
      <w:pPr>
        <w:ind w:firstLine="720" w:firstLineChars="225"/>
        <w:rPr>
          <w:rFonts w:hint="eastAsia" w:ascii="仿宋_GB2312" w:eastAsia="仿宋_GB2312"/>
          <w:color w:val="auto"/>
          <w:sz w:val="32"/>
          <w:szCs w:val="32"/>
        </w:rPr>
      </w:pPr>
      <w:r>
        <w:rPr>
          <w:rFonts w:hint="eastAsia" w:ascii="仿宋_GB2312" w:eastAsia="仿宋_GB2312"/>
          <w:color w:val="auto"/>
          <w:sz w:val="32"/>
          <w:szCs w:val="32"/>
        </w:rPr>
        <w:t xml:space="preserve">附件：1.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 xml:space="preserve">合同（复印件）； </w:t>
      </w:r>
    </w:p>
    <w:p w14:paraId="3FA01DAB">
      <w:pPr>
        <w:ind w:firstLine="1760" w:firstLineChars="550"/>
        <w:rPr>
          <w:rFonts w:hint="eastAsia" w:ascii="仿宋_GB2312" w:eastAsia="仿宋_GB2312"/>
          <w:color w:val="auto"/>
          <w:sz w:val="32"/>
          <w:szCs w:val="32"/>
        </w:rPr>
      </w:pPr>
      <w:r>
        <w:rPr>
          <w:rFonts w:hint="eastAsia" w:ascii="仿宋_GB2312" w:eastAsia="仿宋_GB2312"/>
          <w:color w:val="auto"/>
          <w:sz w:val="32"/>
          <w:szCs w:val="32"/>
        </w:rPr>
        <w:t xml:space="preserve">2. </w:t>
      </w:r>
      <w:r>
        <w:rPr>
          <w:rFonts w:hint="eastAsia" w:ascii="仿宋_GB2312" w:eastAsia="仿宋_GB2312"/>
          <w:color w:val="auto"/>
          <w:sz w:val="32"/>
          <w:szCs w:val="32"/>
          <w:u w:val="single"/>
        </w:rPr>
        <w:t xml:space="preserve">     </w:t>
      </w:r>
      <w:r>
        <w:rPr>
          <w:rFonts w:hint="eastAsia" w:ascii="仿宋_GB2312" w:eastAsia="仿宋_GB2312"/>
          <w:color w:val="auto"/>
          <w:sz w:val="32"/>
          <w:szCs w:val="32"/>
        </w:rPr>
        <w:t>补充协议（复印件）；</w:t>
      </w:r>
    </w:p>
    <w:p w14:paraId="61499D7F">
      <w:pPr>
        <w:ind w:firstLine="1760" w:firstLineChars="550"/>
        <w:rPr>
          <w:rFonts w:hint="eastAsia" w:ascii="仿宋_GB2312" w:eastAsia="仿宋_GB2312"/>
          <w:color w:val="auto"/>
          <w:sz w:val="32"/>
          <w:szCs w:val="32"/>
        </w:rPr>
      </w:pPr>
      <w:r>
        <w:rPr>
          <w:rFonts w:hint="eastAsia" w:ascii="仿宋_GB2312" w:eastAsia="仿宋_GB2312"/>
          <w:color w:val="auto"/>
          <w:sz w:val="32"/>
          <w:szCs w:val="32"/>
        </w:rPr>
        <w:t>3. 建设工程项目预结算评审结果表（复印件）；</w:t>
      </w:r>
    </w:p>
    <w:p w14:paraId="760D7DC9">
      <w:pPr>
        <w:ind w:firstLine="1760" w:firstLineChars="550"/>
        <w:rPr>
          <w:rFonts w:hint="eastAsia" w:ascii="仿宋_GB2312" w:eastAsia="仿宋_GB2312"/>
          <w:color w:val="auto"/>
          <w:sz w:val="32"/>
          <w:szCs w:val="32"/>
        </w:rPr>
      </w:pPr>
      <w:r>
        <w:rPr>
          <w:rFonts w:hint="eastAsia" w:ascii="仿宋_GB2312" w:eastAsia="仿宋_GB2312"/>
          <w:color w:val="auto"/>
          <w:sz w:val="32"/>
          <w:szCs w:val="32"/>
        </w:rPr>
        <w:t>4.施工图审查合格意见（复印件）；</w:t>
      </w:r>
    </w:p>
    <w:p w14:paraId="3C64CEF9">
      <w:pPr>
        <w:ind w:firstLine="1760" w:firstLineChars="550"/>
        <w:rPr>
          <w:rFonts w:hint="eastAsia" w:ascii="仿宋_GB2312" w:eastAsia="仿宋_GB2312"/>
          <w:color w:val="auto"/>
          <w:sz w:val="32"/>
          <w:szCs w:val="32"/>
        </w:rPr>
      </w:pPr>
      <w:r>
        <w:rPr>
          <w:rFonts w:hint="eastAsia" w:ascii="仿宋_GB2312" w:eastAsia="仿宋_GB2312"/>
          <w:color w:val="auto"/>
          <w:sz w:val="32"/>
          <w:szCs w:val="32"/>
        </w:rPr>
        <w:t>5.工程及档案验收报告书（复印件）</w:t>
      </w:r>
    </w:p>
    <w:p w14:paraId="2C44AAC2">
      <w:pPr>
        <w:ind w:firstLine="1760" w:firstLineChars="550"/>
        <w:rPr>
          <w:rFonts w:hint="eastAsia" w:ascii="仿宋_GB2312" w:eastAsia="仿宋_GB2312"/>
          <w:color w:val="auto"/>
          <w:sz w:val="32"/>
          <w:szCs w:val="32"/>
        </w:rPr>
      </w:pPr>
    </w:p>
    <w:p w14:paraId="18D66697">
      <w:pPr>
        <w:ind w:firstLine="720" w:firstLineChars="225"/>
        <w:jc w:val="center"/>
        <w:rPr>
          <w:rFonts w:hint="eastAsia" w:ascii="仿宋_GB2312" w:eastAsia="仿宋_GB2312"/>
          <w:color w:val="auto"/>
          <w:sz w:val="32"/>
          <w:szCs w:val="32"/>
        </w:rPr>
      </w:pPr>
      <w:r>
        <w:rPr>
          <w:rFonts w:hint="eastAsia" w:ascii="仿宋_GB2312" w:eastAsia="仿宋_GB2312"/>
          <w:color w:val="auto"/>
          <w:sz w:val="32"/>
          <w:szCs w:val="32"/>
        </w:rPr>
        <w:t xml:space="preserve">                     单位全称（盖章）</w:t>
      </w:r>
    </w:p>
    <w:p w14:paraId="037089AC">
      <w:pPr>
        <w:wordWrap w:val="0"/>
        <w:ind w:firstLine="720" w:firstLineChars="225"/>
        <w:jc w:val="right"/>
        <w:outlineLvl w:val="0"/>
        <w:rPr>
          <w:rFonts w:hint="eastAsia" w:ascii="仿宋_GB2312" w:hAnsi="仿宋_GB2312" w:eastAsia="仿宋_GB2312" w:cs="仿宋_GB2312"/>
          <w:color w:val="auto"/>
          <w:sz w:val="32"/>
          <w:szCs w:val="32"/>
        </w:rPr>
      </w:pPr>
      <w:r>
        <w:rPr>
          <w:rFonts w:hint="eastAsia" w:ascii="仿宋_GB2312" w:eastAsia="仿宋_GB2312"/>
          <w:color w:val="auto"/>
          <w:sz w:val="32"/>
          <w:szCs w:val="32"/>
        </w:rPr>
        <w:t xml:space="preserve"> 年 月 日</w:t>
      </w:r>
      <w:r>
        <w:rPr>
          <w:rFonts w:hint="eastAsia" w:ascii="仿宋_GB2312" w:hAnsi="仿宋_GB2312" w:eastAsia="仿宋_GB2312" w:cs="仿宋_GB2312"/>
          <w:color w:val="auto"/>
          <w:sz w:val="32"/>
          <w:szCs w:val="32"/>
        </w:rPr>
        <w:t xml:space="preserve">      </w:t>
      </w:r>
    </w:p>
    <w:p w14:paraId="1A13BDEC">
      <w:pPr>
        <w:ind w:firstLine="720" w:firstLineChars="225"/>
        <w:jc w:val="right"/>
        <w:rPr>
          <w:rFonts w:hint="eastAsia" w:ascii="仿宋_GB2312" w:hAnsi="仿宋_GB2312" w:eastAsia="仿宋_GB2312" w:cs="仿宋_GB2312"/>
          <w:color w:val="auto"/>
          <w:sz w:val="32"/>
          <w:szCs w:val="32"/>
        </w:rPr>
      </w:pPr>
    </w:p>
    <w:p w14:paraId="6B62682A">
      <w:pPr>
        <w:rPr>
          <w:rFonts w:hint="eastAsia" w:ascii="宋体" w:hAnsi="宋体"/>
          <w:b/>
          <w:color w:val="auto"/>
          <w:sz w:val="28"/>
          <w:szCs w:val="28"/>
        </w:rPr>
      </w:pPr>
      <w:r>
        <w:rPr>
          <w:rFonts w:hint="eastAsia" w:ascii="仿宋_GB2312" w:hAnsi="仿宋_GB2312" w:eastAsia="仿宋_GB2312" w:cs="仿宋_GB2312"/>
          <w:color w:val="auto"/>
          <w:sz w:val="32"/>
          <w:szCs w:val="32"/>
        </w:rPr>
        <w:t>(联系人：        联系电话（手机及固话）：    )</w:t>
      </w:r>
      <w:r>
        <w:rPr>
          <w:color w:val="auto"/>
        </w:rPr>
        <w:br w:type="page"/>
      </w:r>
      <w:r>
        <w:rPr>
          <w:rFonts w:hint="eastAsia" w:ascii="宋体" w:hAnsi="宋体"/>
          <w:b/>
          <w:color w:val="auto"/>
          <w:sz w:val="24"/>
        </w:rPr>
        <w:t>合同附件</w:t>
      </w:r>
      <w:r>
        <w:rPr>
          <w:rFonts w:hint="eastAsia" w:ascii="宋体" w:hAnsi="宋体"/>
          <w:b/>
          <w:color w:val="auto"/>
          <w:sz w:val="24"/>
          <w:lang w:val="en-US" w:eastAsia="zh-CN"/>
        </w:rPr>
        <w:t>9</w:t>
      </w:r>
      <w:r>
        <w:rPr>
          <w:rFonts w:hint="eastAsia" w:ascii="宋体" w:hAnsi="宋体"/>
          <w:b/>
          <w:color w:val="auto"/>
          <w:sz w:val="24"/>
        </w:rPr>
        <w:t>：</w:t>
      </w:r>
    </w:p>
    <w:p w14:paraId="721D4212">
      <w:pPr>
        <w:jc w:val="center"/>
        <w:rPr>
          <w:rFonts w:hint="eastAsia" w:ascii="宋体" w:hAnsi="宋体"/>
          <w:b/>
          <w:color w:val="auto"/>
          <w:spacing w:val="20"/>
          <w:sz w:val="44"/>
          <w:szCs w:val="44"/>
        </w:rPr>
      </w:pPr>
      <w:r>
        <w:rPr>
          <w:rFonts w:hint="eastAsia" w:ascii="宋体" w:hAnsi="宋体" w:eastAsia="宋体" w:cs="Times New Roman"/>
          <w:b/>
          <w:color w:val="auto"/>
          <w:spacing w:val="20"/>
          <w:sz w:val="44"/>
          <w:szCs w:val="44"/>
          <w:lang w:val="en-US" w:eastAsia="zh-CN"/>
        </w:rPr>
        <w:t>番禺区迎星中路（新光快速至番禺大道）改造工程勘察设计项目</w:t>
      </w:r>
      <w:r>
        <w:rPr>
          <w:rFonts w:hint="eastAsia" w:ascii="宋体" w:hAnsi="宋体"/>
          <w:b/>
          <w:color w:val="auto"/>
          <w:spacing w:val="20"/>
          <w:sz w:val="44"/>
          <w:szCs w:val="44"/>
        </w:rPr>
        <w:t>建设与廉政建设联动合同</w:t>
      </w:r>
    </w:p>
    <w:p w14:paraId="46FC86FF">
      <w:pPr>
        <w:jc w:val="center"/>
        <w:rPr>
          <w:rFonts w:hint="eastAsia" w:ascii="宋体" w:hAnsi="宋体"/>
          <w:b/>
          <w:color w:val="auto"/>
          <w:spacing w:val="20"/>
          <w:sz w:val="44"/>
          <w:szCs w:val="44"/>
        </w:rPr>
      </w:pPr>
    </w:p>
    <w:p w14:paraId="581136A7">
      <w:pPr>
        <w:ind w:firstLine="645"/>
        <w:rPr>
          <w:rFonts w:hint="eastAsia" w:ascii="仿宋_GB2312" w:hAnsi="宋体" w:eastAsia="仿宋_GB2312"/>
          <w:color w:val="auto"/>
          <w:sz w:val="32"/>
          <w:szCs w:val="32"/>
        </w:rPr>
      </w:pPr>
      <w:r>
        <w:rPr>
          <w:rFonts w:hint="eastAsia" w:ascii="仿宋_GB2312" w:hAnsi="宋体" w:eastAsia="仿宋_GB2312"/>
          <w:color w:val="auto"/>
          <w:sz w:val="32"/>
          <w:szCs w:val="32"/>
        </w:rPr>
        <w:t>根据交通部《关于在交通基础设施建设中加强廉政建设的若干意见》以及有关工程建设、廉政建设的条规，为做好工程建设中的党风廉政建设，保证工程建设高效优质，确保建设资金的安全和有效使用，</w:t>
      </w:r>
      <w:r>
        <w:rPr>
          <w:rFonts w:hint="eastAsia" w:ascii="仿宋_GB2312" w:hAnsi="宋体" w:eastAsia="仿宋_GB2312" w:cs="Times New Roman"/>
          <w:color w:val="auto"/>
          <w:sz w:val="32"/>
          <w:szCs w:val="32"/>
          <w:u w:val="single"/>
          <w:lang w:val="en-US" w:eastAsia="zh-CN"/>
        </w:rPr>
        <w:t>番禺区迎星中路（新光快速至番禺大道）改造工程勘察设计</w:t>
      </w:r>
      <w:r>
        <w:rPr>
          <w:rFonts w:hint="eastAsia" w:ascii="仿宋_GB2312" w:hAnsi="宋体" w:eastAsia="仿宋_GB2312"/>
          <w:color w:val="auto"/>
          <w:sz w:val="32"/>
          <w:szCs w:val="32"/>
        </w:rPr>
        <w:t>项目委托实施单位</w:t>
      </w:r>
      <w:r>
        <w:rPr>
          <w:rFonts w:hint="eastAsia" w:ascii="仿宋_GB2312" w:hAnsi="宋体" w:eastAsia="仿宋_GB2312"/>
          <w:color w:val="auto"/>
          <w:sz w:val="32"/>
          <w:szCs w:val="32"/>
          <w:u w:val="single"/>
        </w:rPr>
        <w:t>广州市番禺区基本建设投资管理中心</w:t>
      </w:r>
      <w:r>
        <w:rPr>
          <w:rFonts w:hint="eastAsia" w:ascii="仿宋_GB2312" w:hAnsi="宋体" w:eastAsia="仿宋_GB2312"/>
          <w:color w:val="auto"/>
          <w:sz w:val="32"/>
          <w:szCs w:val="32"/>
        </w:rPr>
        <w:t>（以下称甲方）与承包人</w:t>
      </w:r>
      <w:r>
        <w:rPr>
          <w:rFonts w:hint="eastAsia" w:ascii="仿宋_GB2312" w:hAnsi="宋体" w:eastAsia="仿宋_GB2312" w:cs="Times New Roman"/>
          <w:color w:val="auto"/>
          <w:sz w:val="32"/>
          <w:szCs w:val="32"/>
          <w:u w:val="single"/>
        </w:rPr>
        <w:t xml:space="preserve"> </w:t>
      </w:r>
      <w:r>
        <w:rPr>
          <w:rFonts w:hint="eastAsia" w:ascii="仿宋_GB2312" w:hAnsi="宋体" w:eastAsia="仿宋_GB2312" w:cs="Times New Roman"/>
          <w:color w:val="auto"/>
          <w:sz w:val="32"/>
          <w:szCs w:val="32"/>
          <w:u w:val="single"/>
          <w:lang w:val="en-US" w:eastAsia="zh-CN"/>
        </w:rPr>
        <w:t xml:space="preserve">  </w:t>
      </w:r>
      <w:r>
        <w:rPr>
          <w:rFonts w:hint="eastAsia" w:ascii="仿宋_GB2312" w:hAnsi="宋体" w:eastAsia="仿宋_GB2312"/>
          <w:color w:val="auto"/>
          <w:sz w:val="32"/>
          <w:szCs w:val="32"/>
        </w:rPr>
        <w:t>（以下称乙方）经协商一致，特订立如下合同。</w:t>
      </w:r>
    </w:p>
    <w:p w14:paraId="07328118">
      <w:pPr>
        <w:numPr>
          <w:ilvl w:val="0"/>
          <w:numId w:val="3"/>
        </w:numPr>
        <w:tabs>
          <w:tab w:val="left" w:pos="0"/>
          <w:tab w:val="left" w:pos="1260"/>
          <w:tab w:val="clear" w:pos="795"/>
        </w:tabs>
        <w:ind w:left="0" w:firstLine="540"/>
        <w:rPr>
          <w:rFonts w:hint="eastAsia" w:ascii="仿宋_GB2312" w:hAnsi="宋体" w:eastAsia="仿宋_GB2312"/>
          <w:color w:val="auto"/>
          <w:sz w:val="32"/>
          <w:szCs w:val="32"/>
        </w:rPr>
      </w:pPr>
      <w:r>
        <w:rPr>
          <w:rFonts w:hint="eastAsia" w:ascii="仿宋_GB2312" w:hAnsi="宋体" w:eastAsia="仿宋_GB2312"/>
          <w:color w:val="auto"/>
          <w:sz w:val="32"/>
          <w:szCs w:val="32"/>
        </w:rPr>
        <w:t>甲、乙双方应严格遵守党和国家有关廉政建设的规定。</w:t>
      </w:r>
    </w:p>
    <w:p w14:paraId="546B20F5">
      <w:pPr>
        <w:numPr>
          <w:ilvl w:val="0"/>
          <w:numId w:val="3"/>
        </w:numPr>
        <w:tabs>
          <w:tab w:val="left" w:pos="0"/>
          <w:tab w:val="left" w:pos="1260"/>
          <w:tab w:val="clear" w:pos="795"/>
        </w:tabs>
        <w:ind w:left="0" w:firstLine="540"/>
        <w:rPr>
          <w:rFonts w:hint="eastAsia" w:ascii="仿宋_GB2312" w:hAnsi="宋体" w:eastAsia="仿宋_GB2312"/>
          <w:color w:val="auto"/>
          <w:sz w:val="32"/>
          <w:szCs w:val="32"/>
        </w:rPr>
      </w:pPr>
      <w:r>
        <w:rPr>
          <w:rFonts w:hint="eastAsia" w:ascii="仿宋_GB2312" w:hAnsi="宋体" w:eastAsia="仿宋_GB2312"/>
          <w:color w:val="auto"/>
          <w:sz w:val="32"/>
          <w:szCs w:val="32"/>
        </w:rPr>
        <w:t>甲、乙双方应严格执行</w:t>
      </w:r>
      <w:r>
        <w:rPr>
          <w:rFonts w:hint="eastAsia" w:ascii="仿宋_GB2312" w:hAnsi="宋体" w:eastAsia="仿宋_GB2312" w:cs="Times New Roman"/>
          <w:color w:val="auto"/>
          <w:sz w:val="32"/>
          <w:szCs w:val="32"/>
          <w:u w:val="single"/>
          <w:lang w:val="en-US" w:eastAsia="zh-CN"/>
        </w:rPr>
        <w:t>番禺区迎星中路（新光快速至番禺大道）改造工程勘察设计</w:t>
      </w:r>
      <w:r>
        <w:rPr>
          <w:rFonts w:hint="eastAsia" w:ascii="仿宋_GB2312" w:hAnsi="宋体" w:eastAsia="仿宋_GB2312"/>
          <w:color w:val="auto"/>
          <w:sz w:val="32"/>
          <w:szCs w:val="32"/>
        </w:rPr>
        <w:t>的合同文件，自觉按合同办事。</w:t>
      </w:r>
    </w:p>
    <w:p w14:paraId="7670DC46">
      <w:pPr>
        <w:numPr>
          <w:ilvl w:val="0"/>
          <w:numId w:val="3"/>
        </w:numPr>
        <w:tabs>
          <w:tab w:val="left" w:pos="0"/>
        </w:tabs>
        <w:ind w:left="0"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甲、乙双方的业务活动坚持公开、公正、诚信、透明的原则（除法律认定的商业秘密和合同文件另有规定之外），不得损害国家和集体利益，不得违反交通部关于工程建设的有关制度。</w:t>
      </w:r>
    </w:p>
    <w:p w14:paraId="31DAF942">
      <w:pPr>
        <w:numPr>
          <w:ilvl w:val="0"/>
          <w:numId w:val="3"/>
        </w:numPr>
        <w:tabs>
          <w:tab w:val="left" w:pos="0"/>
        </w:tabs>
        <w:ind w:left="0"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甲、乙双方应建立健全廉政制度，开展廉政教育，设立廉政告示牌、廉政举报电话，严肃查处违法违纪行为。</w:t>
      </w:r>
    </w:p>
    <w:p w14:paraId="69561650">
      <w:pPr>
        <w:numPr>
          <w:ilvl w:val="0"/>
          <w:numId w:val="3"/>
        </w:numPr>
        <w:tabs>
          <w:tab w:val="left" w:pos="0"/>
        </w:tabs>
        <w:ind w:left="0"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甲方的义务</w:t>
      </w:r>
    </w:p>
    <w:p w14:paraId="28F1F9E0">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(一) 甲方及其工作人员不得索要或接受乙方的礼金、有价证券和贵重物品。</w:t>
      </w:r>
    </w:p>
    <w:p w14:paraId="26B1DFB5">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(二) 甲方及其工作人员不得以任何理由在乙方报销任何费用。</w:t>
      </w:r>
    </w:p>
    <w:p w14:paraId="385C14E0">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(三) 甲方工作人员不得参加乙方安排的高消费宴请和娱乐活动。</w:t>
      </w:r>
    </w:p>
    <w:p w14:paraId="4C28BD89">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(四) 甲方工作人员不得接受乙方提供的通讯工具、交通工具和高档办公用品。</w:t>
      </w:r>
    </w:p>
    <w:p w14:paraId="5FB3EE22">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(五) 甲方工作人员不得直接或间接要求或者接受乙方为其住房装修、婚丧嫁娶活动、配偶子女的工作安排以及出国出境、旅游等提供方便。</w:t>
      </w:r>
    </w:p>
    <w:p w14:paraId="3D92B2F1">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(六) 甲方工作人员的配偶、子女不得从事与甲方工程有关的材料设备供应、工程分包、劳务等经济活动。</w:t>
      </w:r>
    </w:p>
    <w:p w14:paraId="70BC8C17">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(七) 甲方及其工作人员不得以任何理由向乙方推荐分包单位，严禁向乙方推荐购买材料设备、推荐工作人员等。</w:t>
      </w:r>
    </w:p>
    <w:p w14:paraId="27EF093B">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(八) 发现乙方在业务活动中有违反廉政规定的行为，应及时提醒对方予以纠正。</w:t>
      </w:r>
    </w:p>
    <w:p w14:paraId="2B6AD221">
      <w:pPr>
        <w:numPr>
          <w:ilvl w:val="0"/>
          <w:numId w:val="3"/>
        </w:numPr>
        <w:tabs>
          <w:tab w:val="left" w:pos="1260"/>
        </w:tabs>
        <w:ind w:hanging="255"/>
        <w:rPr>
          <w:rFonts w:hint="eastAsia" w:ascii="仿宋_GB2312" w:hAnsi="宋体" w:eastAsia="仿宋_GB2312"/>
          <w:color w:val="auto"/>
          <w:sz w:val="32"/>
          <w:szCs w:val="32"/>
        </w:rPr>
      </w:pPr>
      <w:r>
        <w:rPr>
          <w:rFonts w:hint="eastAsia" w:ascii="仿宋_GB2312" w:hAnsi="宋体" w:eastAsia="仿宋_GB2312"/>
          <w:color w:val="auto"/>
          <w:sz w:val="32"/>
          <w:szCs w:val="32"/>
        </w:rPr>
        <w:t>乙方的义务</w:t>
      </w:r>
    </w:p>
    <w:p w14:paraId="117AC835">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(一) 乙方不得以任何理由向甲方及其工作人员馈赠礼金、有价证券、贵重物品。</w:t>
      </w:r>
    </w:p>
    <w:p w14:paraId="4914E9FB">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(二) 乙方不得以任何名义报销甲方单位或个人应支付的任何费用。</w:t>
      </w:r>
    </w:p>
    <w:p w14:paraId="70B9ACB0">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(三) 乙方不得以任何理由安排甲方工作人员参加高消费宴请及娱乐活动。</w:t>
      </w:r>
    </w:p>
    <w:p w14:paraId="12A16CF4">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(四) 乙方不得以任何理由为甲方及其工作人员购置或提供通讯工具、交通工具和高档办公用品等。</w:t>
      </w:r>
    </w:p>
    <w:p w14:paraId="2FD0896F">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(五) 乙方不得直接或间接为甲方工作人员装修住房、举办婚丧嫁娶活动、为其配偶子女安排工作，或为出国出境、旅游等提供方便。</w:t>
      </w:r>
    </w:p>
    <w:p w14:paraId="727EB335">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(六) 乙方不得以任何理由为甲方工作人员的配偶、子女安排参与甲方工程有关的材料设备供应、工程分包、劳务等经济活动。</w:t>
      </w:r>
    </w:p>
    <w:p w14:paraId="046C16D1">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(七) 发现甲方在业务活动中有违反廉政规定的行为，应及时提醒对方予以纠正。</w:t>
      </w:r>
    </w:p>
    <w:p w14:paraId="2D7B7364">
      <w:pPr>
        <w:numPr>
          <w:ilvl w:val="0"/>
          <w:numId w:val="3"/>
        </w:numPr>
        <w:tabs>
          <w:tab w:val="left" w:pos="1260"/>
        </w:tabs>
        <w:ind w:hanging="255"/>
        <w:rPr>
          <w:rFonts w:hint="eastAsia" w:ascii="仿宋_GB2312" w:hAnsi="宋体" w:eastAsia="仿宋_GB2312"/>
          <w:color w:val="auto"/>
          <w:sz w:val="32"/>
          <w:szCs w:val="32"/>
        </w:rPr>
      </w:pPr>
      <w:r>
        <w:rPr>
          <w:rFonts w:hint="eastAsia" w:ascii="仿宋_GB2312" w:hAnsi="宋体" w:eastAsia="仿宋_GB2312"/>
          <w:color w:val="auto"/>
          <w:sz w:val="32"/>
          <w:szCs w:val="32"/>
        </w:rPr>
        <w:t>违约责任</w:t>
      </w:r>
    </w:p>
    <w:p w14:paraId="54651E54">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(一) 甲方违约责任：</w:t>
      </w:r>
    </w:p>
    <w:p w14:paraId="03506087">
      <w:pPr>
        <w:ind w:firstLine="812" w:firstLineChars="254"/>
        <w:rPr>
          <w:rFonts w:hint="eastAsia" w:ascii="仿宋_GB2312" w:hAnsi="宋体" w:eastAsia="仿宋_GB2312"/>
          <w:color w:val="auto"/>
          <w:sz w:val="32"/>
          <w:szCs w:val="32"/>
        </w:rPr>
      </w:pPr>
      <w:r>
        <w:rPr>
          <w:rFonts w:hint="eastAsia" w:ascii="仿宋_GB2312" w:hAnsi="宋体" w:eastAsia="仿宋_GB2312"/>
          <w:color w:val="auto"/>
          <w:sz w:val="32"/>
          <w:szCs w:val="32"/>
        </w:rPr>
        <w:t>甲方违反本合同的规定收受贿赂的，由甲方的上级主管部门依据有关规定给予党纪、政纪或组织处理；涉嫌犯罪的，移交司法机关追究刑事责任；给乙方单位造成经济损失的，甲方应给予合理的赔偿。</w:t>
      </w:r>
    </w:p>
    <w:p w14:paraId="0CE6D7D9">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(二) 乙方违约责任：</w:t>
      </w:r>
    </w:p>
    <w:p w14:paraId="39DCD810">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1、乙方及其工作人员对甲方及其工作人员行贿数额累计达1万元人民币或以上的（属证券、贵重物品等的按人民币折现计），或行贿数额累计虽不满1万元人民币，但对甲方工作人员行贿达三人或以上，经甲方党风廉政办公室调查属实的，按以下方式处理：</w:t>
      </w:r>
    </w:p>
    <w:p w14:paraId="2E5D846B">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(1) 甲方将上报并建议纪检监察机关对乙方及其工作人员进行立案调查；</w:t>
      </w:r>
    </w:p>
    <w:p w14:paraId="62164C4B">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(2) 甲方将乙方列入甲方公司招投标黑名单中，三年内禁止其参与甲方工程的投标，同时甲方将乙方的行贿行为上报番禺区招投标办公室备案，建议将乙方列入番禺区招投标黑名单中，三年内禁止其在番禺区内投标；</w:t>
      </w:r>
    </w:p>
    <w:p w14:paraId="14810984">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(3) 甲方有权与乙方解除合同，由于乙方的行贿行为给甲方造成直接或间接经济损失的，需向甲方赔偿由此给甲方造成的直接经济损失，同时甲方有权要求乙方再按合同总价款的15%支付违约金。</w:t>
      </w:r>
    </w:p>
    <w:p w14:paraId="1D508158">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2、乙方及其工作人员对甲方及其工作人员行贿数额累计达5仟元人民币以上1万元以下的（属证券、贵重物品等的按人民币折现计），经甲方党风廉政办公室调查属实的，按以下方式处理：</w:t>
      </w:r>
    </w:p>
    <w:p w14:paraId="084F4117">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(1) 甲方将上报并建议纪检监察机关对乙方及其工作人员进行立案调查；</w:t>
      </w:r>
    </w:p>
    <w:p w14:paraId="59DCC1D9">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(2) 甲方将乙方列入甲方公司招投标黑名单中，二年内禁止其参与甲方工程的投标，同时甲方将乙方的行贿行为上报番禺区招投标办公室备案，建议将乙方列入番禺区招投标黑名单中，二年内禁止其在番禺区内投标；</w:t>
      </w:r>
    </w:p>
    <w:p w14:paraId="65B4E4BE">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(3) 甲方有权与乙方解除合同，由于乙方的行贿行为给甲方造成直接或间接经济损失的，需向甲方赔偿由此给甲方造成的直接经济损失，同时甲方有权要求乙方再按合同总价款的10%支付违约金。</w:t>
      </w:r>
    </w:p>
    <w:p w14:paraId="419AB38A">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3、乙方及其工作人员对甲方及其工作人员行贿数额累计5仟元人民币以下的（属证券、贵重物品等的按人民币折现计），经甲方党风廉政办公室调查属实的，按以下方式处理：</w:t>
      </w:r>
    </w:p>
    <w:p w14:paraId="0F5C92FD">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(1) 甲方将给予乙方及其工作人员严重警告；</w:t>
      </w:r>
    </w:p>
    <w:p w14:paraId="7E548C2C">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(2) 甲方将乙方列入甲方公司招投标黑名单中，一年内禁止其参与甲方工程的投标，并其视情节轻重，考虑将乙方的行贿行为上报番禺区招投标办公室备案，建议将乙方列入番禺区招投标黑名单中，一年内禁止其在番禺区内投标。</w:t>
      </w:r>
    </w:p>
    <w:p w14:paraId="36FB601C">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(3) 甲方有权与乙方解除合同，由于乙方的行贿行为给甲方造成直接或间接经济损失的，需向甲方赔偿由此给甲方造成的直接经济损失，同时甲方有权要求乙方再按合同总价款的5%支付违约金。</w:t>
      </w:r>
    </w:p>
    <w:p w14:paraId="4B892D54">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第八条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14:paraId="735B977D">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第九条  本合同自甲、乙双方签署之日起，甲、乙双方如有出现与本工程有关的受贿行贿行为，按本合同规定执行。</w:t>
      </w:r>
    </w:p>
    <w:p w14:paraId="059C4172">
      <w:pPr>
        <w:ind w:firstLine="652" w:firstLineChars="204"/>
        <w:rPr>
          <w:rFonts w:hint="eastAsia" w:ascii="仿宋_GB2312" w:hAnsi="宋体" w:eastAsia="仿宋_GB2312"/>
          <w:color w:val="auto"/>
          <w:sz w:val="32"/>
          <w:szCs w:val="32"/>
        </w:rPr>
      </w:pPr>
      <w:r>
        <w:rPr>
          <w:rFonts w:hint="eastAsia" w:ascii="仿宋_GB2312" w:hAnsi="宋体" w:eastAsia="仿宋_GB2312"/>
          <w:color w:val="auto"/>
          <w:sz w:val="32"/>
          <w:szCs w:val="32"/>
        </w:rPr>
        <w:t>第十条 本合同作为</w:t>
      </w:r>
      <w:r>
        <w:rPr>
          <w:rFonts w:hint="eastAsia" w:ascii="仿宋_GB2312" w:hAnsi="宋体" w:eastAsia="仿宋_GB2312" w:cs="Times New Roman"/>
          <w:color w:val="auto"/>
          <w:sz w:val="32"/>
          <w:szCs w:val="32"/>
          <w:u w:val="single"/>
          <w:lang w:val="en-US" w:eastAsia="zh-CN"/>
        </w:rPr>
        <w:t>番禺区迎星中路（新光快速至番禺大道）改造工程勘察设计</w:t>
      </w:r>
      <w:r>
        <w:rPr>
          <w:rFonts w:hint="eastAsia" w:ascii="仿宋_GB2312" w:hAnsi="宋体" w:eastAsia="仿宋_GB2312"/>
          <w:color w:val="auto"/>
          <w:sz w:val="32"/>
          <w:szCs w:val="32"/>
        </w:rPr>
        <w:t>合同的附件，与该合同具有同等的法律效力。</w:t>
      </w:r>
    </w:p>
    <w:p w14:paraId="5908F234">
      <w:pPr>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第十一条  本合同一式</w:t>
      </w:r>
      <w:r>
        <w:rPr>
          <w:rFonts w:hint="eastAsia" w:ascii="仿宋_GB2312" w:hAnsi="宋体" w:eastAsia="仿宋_GB2312"/>
          <w:color w:val="auto"/>
          <w:sz w:val="32"/>
          <w:szCs w:val="32"/>
          <w:lang w:eastAsia="zh-CN"/>
        </w:rPr>
        <w:t>八</w:t>
      </w:r>
      <w:r>
        <w:rPr>
          <w:rFonts w:hint="eastAsia" w:ascii="仿宋_GB2312" w:hAnsi="宋体" w:eastAsia="仿宋_GB2312"/>
          <w:color w:val="auto"/>
          <w:sz w:val="32"/>
          <w:szCs w:val="32"/>
        </w:rPr>
        <w:t>份，其中正本两份，双方各执一份，副本</w:t>
      </w:r>
      <w:r>
        <w:rPr>
          <w:rFonts w:hint="eastAsia" w:ascii="仿宋_GB2312" w:hAnsi="宋体" w:eastAsia="仿宋_GB2312"/>
          <w:color w:val="auto"/>
          <w:sz w:val="32"/>
          <w:szCs w:val="32"/>
          <w:lang w:eastAsia="zh-CN"/>
        </w:rPr>
        <w:t>六</w:t>
      </w:r>
      <w:r>
        <w:rPr>
          <w:rFonts w:hint="eastAsia" w:ascii="仿宋_GB2312" w:hAnsi="宋体" w:eastAsia="仿宋_GB2312"/>
          <w:color w:val="auto"/>
          <w:sz w:val="32"/>
          <w:szCs w:val="32"/>
        </w:rPr>
        <w:t>份，发包人</w:t>
      </w:r>
      <w:r>
        <w:rPr>
          <w:rFonts w:hint="eastAsia" w:ascii="仿宋_GB2312" w:hAnsi="宋体" w:eastAsia="仿宋_GB2312"/>
          <w:color w:val="auto"/>
          <w:sz w:val="32"/>
          <w:szCs w:val="32"/>
          <w:lang w:eastAsia="zh-CN"/>
        </w:rPr>
        <w:t>三</w:t>
      </w:r>
      <w:r>
        <w:rPr>
          <w:rFonts w:hint="eastAsia" w:ascii="仿宋_GB2312" w:hAnsi="宋体" w:eastAsia="仿宋_GB2312"/>
          <w:color w:val="auto"/>
          <w:sz w:val="32"/>
          <w:szCs w:val="32"/>
        </w:rPr>
        <w:t>份，承包人三份。合同正、副本具有同等法律效力，当正、副本所表述的内容不一致时，以正本为准。</w:t>
      </w:r>
    </w:p>
    <w:p w14:paraId="52D30148">
      <w:pPr>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以下无正文。</w:t>
      </w:r>
    </w:p>
    <w:p w14:paraId="4FDF434B">
      <w:pPr>
        <w:tabs>
          <w:tab w:val="left" w:pos="5190"/>
        </w:tabs>
        <w:rPr>
          <w:rFonts w:hint="eastAsia" w:ascii="仿宋_GB2312" w:hAnsi="宋体" w:eastAsia="仿宋_GB2312"/>
          <w:color w:val="auto"/>
          <w:sz w:val="32"/>
          <w:szCs w:val="32"/>
        </w:rPr>
      </w:pPr>
    </w:p>
    <w:p w14:paraId="505889D7">
      <w:pPr>
        <w:tabs>
          <w:tab w:val="left" w:pos="4865"/>
        </w:tabs>
        <w:rPr>
          <w:rFonts w:hint="eastAsia" w:ascii="仿宋_GB2312" w:hAnsi="宋体" w:eastAsia="仿宋_GB2312"/>
          <w:color w:val="auto"/>
          <w:sz w:val="32"/>
          <w:szCs w:val="32"/>
        </w:rPr>
      </w:pPr>
      <w:r>
        <w:rPr>
          <w:rFonts w:hint="eastAsia" w:ascii="仿宋_GB2312" w:hAnsi="宋体" w:eastAsia="仿宋_GB2312"/>
          <w:color w:val="auto"/>
          <w:sz w:val="32"/>
          <w:szCs w:val="32"/>
        </w:rPr>
        <w:t>甲方单位：（盖章）</w:t>
      </w:r>
      <w:r>
        <w:rPr>
          <w:rFonts w:hint="eastAsia" w:ascii="仿宋_GB2312" w:hAnsi="宋体" w:eastAsia="仿宋_GB2312"/>
          <w:color w:val="auto"/>
          <w:sz w:val="32"/>
          <w:szCs w:val="32"/>
        </w:rPr>
        <w:tab/>
      </w:r>
      <w:r>
        <w:rPr>
          <w:rFonts w:hint="eastAsia" w:ascii="仿宋_GB2312" w:hAnsi="宋体" w:eastAsia="仿宋_GB2312"/>
          <w:color w:val="auto"/>
          <w:sz w:val="32"/>
          <w:szCs w:val="32"/>
        </w:rPr>
        <w:t>乙方单位：（盖章）</w:t>
      </w:r>
    </w:p>
    <w:p w14:paraId="464B504A">
      <w:pPr>
        <w:widowControl/>
        <w:snapToGrid w:val="0"/>
        <w:spacing w:line="340" w:lineRule="exact"/>
        <w:jc w:val="left"/>
        <w:rPr>
          <w:rFonts w:hint="default" w:ascii="仿宋_GB2312" w:hAnsi="宋体" w:eastAsia="仿宋_GB2312" w:cs="Times New Roman"/>
          <w:color w:val="auto"/>
          <w:sz w:val="32"/>
          <w:szCs w:val="32"/>
          <w:u w:val="single"/>
          <w:lang w:val="en-US" w:eastAsia="zh-CN"/>
        </w:rPr>
      </w:pPr>
      <w:r>
        <w:rPr>
          <w:rFonts w:hint="eastAsia" w:ascii="仿宋_GB2312" w:hAnsi="宋体" w:eastAsia="仿宋_GB2312"/>
          <w:color w:val="auto"/>
          <w:sz w:val="32"/>
          <w:szCs w:val="32"/>
          <w:u w:val="single"/>
        </w:rPr>
        <w:t xml:space="preserve">广州市番禺区基本建设投 </w:t>
      </w:r>
      <w:r>
        <w:rPr>
          <w:rFonts w:hint="eastAsia" w:ascii="仿宋_GB2312" w:hAnsi="宋体" w:eastAsia="仿宋_GB2312"/>
          <w:color w:val="auto"/>
          <w:sz w:val="32"/>
          <w:szCs w:val="32"/>
        </w:rPr>
        <w:t xml:space="preserve">    </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s="Times New Roman"/>
          <w:color w:val="auto"/>
          <w:sz w:val="32"/>
          <w:szCs w:val="32"/>
          <w:u w:val="single"/>
          <w:lang w:val="en-US" w:eastAsia="zh-CN"/>
        </w:rPr>
        <w:t xml:space="preserve">  </w:t>
      </w:r>
    </w:p>
    <w:p w14:paraId="461DEF6D">
      <w:pPr>
        <w:widowControl/>
        <w:snapToGrid w:val="0"/>
        <w:spacing w:line="340" w:lineRule="exact"/>
        <w:jc w:val="left"/>
        <w:rPr>
          <w:rFonts w:hint="eastAsia" w:ascii="仿宋_GB2312" w:hAnsi="宋体" w:eastAsia="仿宋_GB2312"/>
          <w:color w:val="auto"/>
          <w:sz w:val="32"/>
          <w:szCs w:val="32"/>
          <w:u w:val="none"/>
        </w:rPr>
      </w:pPr>
      <w:r>
        <w:rPr>
          <w:rFonts w:hint="eastAsia" w:ascii="仿宋_GB2312" w:hAnsi="宋体" w:eastAsia="仿宋_GB2312"/>
          <w:color w:val="auto"/>
          <w:sz w:val="32"/>
          <w:szCs w:val="32"/>
          <w:u w:val="single"/>
        </w:rPr>
        <w:t>资管理中心</w:t>
      </w:r>
      <w:r>
        <w:rPr>
          <w:rFonts w:hint="eastAsia" w:ascii="仿宋_GB2312" w:hAnsi="宋体" w:eastAsia="仿宋_GB2312"/>
          <w:color w:val="auto"/>
          <w:sz w:val="32"/>
          <w:szCs w:val="32"/>
          <w:u w:val="none"/>
          <w:lang w:val="en-US" w:eastAsia="zh-CN"/>
        </w:rPr>
        <w:t xml:space="preserve">                    </w:t>
      </w:r>
      <w:r>
        <w:rPr>
          <w:rFonts w:hint="eastAsia" w:ascii="仿宋_GB2312" w:hAnsi="宋体" w:eastAsia="仿宋_GB2312"/>
          <w:color w:val="auto"/>
          <w:sz w:val="32"/>
          <w:szCs w:val="32"/>
          <w:u w:val="none"/>
        </w:rPr>
        <w:t xml:space="preserve">                                  </w:t>
      </w:r>
    </w:p>
    <w:p w14:paraId="2FF8BDEB">
      <w:pPr>
        <w:tabs>
          <w:tab w:val="left" w:pos="5190"/>
        </w:tabs>
        <w:ind w:left="4960" w:hanging="4960" w:hangingChars="1550"/>
        <w:rPr>
          <w:rFonts w:hint="eastAsia" w:ascii="仿宋_GB2312" w:hAnsi="宋体" w:eastAsia="仿宋_GB2312"/>
          <w:color w:val="auto"/>
          <w:sz w:val="32"/>
          <w:szCs w:val="32"/>
          <w:u w:val="single"/>
        </w:rPr>
      </w:pPr>
    </w:p>
    <w:p w14:paraId="22D92D4D">
      <w:pPr>
        <w:tabs>
          <w:tab w:val="left" w:pos="4865"/>
        </w:tabs>
        <w:rPr>
          <w:rFonts w:hint="eastAsia" w:ascii="仿宋_GB2312" w:hAnsi="宋体" w:eastAsia="仿宋_GB2312"/>
          <w:color w:val="auto"/>
          <w:sz w:val="32"/>
          <w:szCs w:val="32"/>
        </w:rPr>
      </w:pPr>
      <w:r>
        <w:rPr>
          <w:rFonts w:hint="eastAsia" w:ascii="仿宋_GB2312" w:hAnsi="宋体" w:eastAsia="仿宋_GB2312"/>
          <w:color w:val="auto"/>
          <w:sz w:val="32"/>
          <w:szCs w:val="32"/>
        </w:rPr>
        <w:t>法定代表人：</w:t>
      </w:r>
      <w:r>
        <w:rPr>
          <w:rFonts w:hint="eastAsia" w:ascii="仿宋_GB2312" w:hAnsi="宋体" w:eastAsia="仿宋_GB2312"/>
          <w:color w:val="auto"/>
          <w:sz w:val="32"/>
          <w:szCs w:val="32"/>
        </w:rPr>
        <w:tab/>
      </w:r>
      <w:r>
        <w:rPr>
          <w:rFonts w:hint="eastAsia" w:ascii="仿宋_GB2312" w:hAnsi="宋体" w:eastAsia="仿宋_GB2312"/>
          <w:color w:val="auto"/>
          <w:sz w:val="32"/>
          <w:szCs w:val="32"/>
        </w:rPr>
        <w:t>法定代表人：</w:t>
      </w:r>
    </w:p>
    <w:p w14:paraId="570ABDCD">
      <w:pPr>
        <w:tabs>
          <w:tab w:val="left" w:pos="4140"/>
        </w:tabs>
        <w:rPr>
          <w:rFonts w:hint="eastAsia" w:ascii="仿宋_GB2312" w:hAnsi="宋体" w:eastAsia="仿宋_GB2312"/>
          <w:color w:val="auto"/>
          <w:sz w:val="32"/>
          <w:szCs w:val="32"/>
        </w:rPr>
      </w:pPr>
      <w:r>
        <w:rPr>
          <w:rFonts w:hint="eastAsia" w:ascii="仿宋_GB2312" w:hAnsi="宋体" w:eastAsia="仿宋_GB2312"/>
          <w:color w:val="auto"/>
          <w:sz w:val="32"/>
          <w:szCs w:val="32"/>
        </w:rPr>
        <w:t>或                              或</w:t>
      </w:r>
    </w:p>
    <w:p w14:paraId="5FC96E57">
      <w:pPr>
        <w:tabs>
          <w:tab w:val="left" w:pos="4140"/>
        </w:tabs>
        <w:rPr>
          <w:rFonts w:hint="eastAsia" w:ascii="仿宋_GB2312" w:hAnsi="宋体" w:eastAsia="仿宋_GB2312"/>
          <w:color w:val="auto"/>
          <w:sz w:val="32"/>
          <w:szCs w:val="32"/>
        </w:rPr>
      </w:pPr>
      <w:r>
        <w:rPr>
          <w:rFonts w:hint="eastAsia" w:ascii="仿宋_GB2312" w:hAnsi="宋体" w:eastAsia="仿宋_GB2312"/>
          <w:color w:val="auto"/>
          <w:sz w:val="32"/>
          <w:szCs w:val="32"/>
        </w:rPr>
        <w:t>授权代理人：                   授权代理人：</w:t>
      </w:r>
    </w:p>
    <w:p w14:paraId="55DD0B2C">
      <w:pPr>
        <w:rPr>
          <w:rFonts w:hint="eastAsia" w:ascii="仿宋_GB2312" w:hAnsi="宋体" w:eastAsia="仿宋_GB2312"/>
          <w:color w:val="auto"/>
          <w:sz w:val="32"/>
          <w:szCs w:val="32"/>
        </w:rPr>
      </w:pPr>
    </w:p>
    <w:p w14:paraId="69E42786">
      <w:pPr>
        <w:rPr>
          <w:rFonts w:hint="eastAsia" w:ascii="仿宋_GB2312" w:hAnsi="宋体" w:eastAsia="仿宋_GB2312"/>
          <w:color w:val="auto"/>
          <w:sz w:val="32"/>
          <w:szCs w:val="32"/>
        </w:rPr>
      </w:pPr>
    </w:p>
    <w:p w14:paraId="13B15252">
      <w:pPr>
        <w:rPr>
          <w:rFonts w:ascii="仿宋_GB2312" w:hAnsi="宋体" w:eastAsia="仿宋_GB2312"/>
          <w:color w:val="auto"/>
          <w:sz w:val="32"/>
          <w:szCs w:val="32"/>
        </w:rPr>
      </w:pPr>
    </w:p>
    <w:p w14:paraId="095E80B3">
      <w:pPr>
        <w:rPr>
          <w:rFonts w:ascii="仿宋_GB2312" w:hAnsi="宋体" w:eastAsia="仿宋_GB2312"/>
          <w:color w:val="auto"/>
          <w:sz w:val="32"/>
          <w:szCs w:val="32"/>
        </w:rPr>
      </w:pPr>
    </w:p>
    <w:p w14:paraId="6F7FEC5D">
      <w:pPr>
        <w:tabs>
          <w:tab w:val="left" w:pos="5190"/>
        </w:tabs>
        <w:rPr>
          <w:rFonts w:hint="eastAsia" w:ascii="仿宋_GB2312" w:hAnsi="宋体" w:eastAsia="仿宋_GB2312"/>
          <w:color w:val="auto"/>
          <w:sz w:val="32"/>
          <w:szCs w:val="32"/>
        </w:rPr>
      </w:pPr>
      <w:r>
        <w:rPr>
          <w:rFonts w:ascii="仿宋_GB2312" w:hAnsi="宋体" w:eastAsia="仿宋_GB2312"/>
          <w:color w:val="auto"/>
          <w:sz w:val="32"/>
          <w:szCs w:val="32"/>
        </w:rPr>
        <w:br w:type="page"/>
      </w:r>
      <w:r>
        <w:rPr>
          <w:rFonts w:hint="eastAsia" w:ascii="宋体" w:hAnsi="宋体"/>
          <w:b/>
          <w:color w:val="auto"/>
          <w:sz w:val="24"/>
        </w:rPr>
        <w:t>合同附件1</w:t>
      </w:r>
      <w:r>
        <w:rPr>
          <w:rFonts w:hint="eastAsia" w:ascii="宋体" w:hAnsi="宋体"/>
          <w:b/>
          <w:color w:val="auto"/>
          <w:sz w:val="24"/>
          <w:lang w:val="en-US" w:eastAsia="zh-CN"/>
        </w:rPr>
        <w:t>0</w:t>
      </w:r>
      <w:r>
        <w:rPr>
          <w:rFonts w:hint="eastAsia" w:ascii="宋体" w:hAnsi="宋体"/>
          <w:b/>
          <w:color w:val="auto"/>
          <w:sz w:val="24"/>
        </w:rPr>
        <w:t>：</w:t>
      </w:r>
    </w:p>
    <w:p w14:paraId="1C70BFC5">
      <w:pPr>
        <w:jc w:val="center"/>
        <w:rPr>
          <w:rFonts w:hint="eastAsia"/>
          <w:b/>
          <w:color w:val="auto"/>
          <w:sz w:val="30"/>
          <w:szCs w:val="30"/>
        </w:rPr>
      </w:pPr>
      <w:r>
        <w:rPr>
          <w:rFonts w:hint="eastAsia"/>
          <w:b/>
          <w:color w:val="auto"/>
          <w:sz w:val="30"/>
          <w:szCs w:val="30"/>
        </w:rPr>
        <w:t>履约保证金银行保函（格式）</w:t>
      </w:r>
    </w:p>
    <w:p w14:paraId="5FFC255B">
      <w:pPr>
        <w:jc w:val="center"/>
        <w:rPr>
          <w:rFonts w:hint="eastAsia"/>
          <w:b/>
          <w:color w:val="auto"/>
          <w:sz w:val="30"/>
          <w:szCs w:val="30"/>
        </w:rPr>
      </w:pPr>
    </w:p>
    <w:p w14:paraId="62EC15E0">
      <w:pPr>
        <w:rPr>
          <w:rFonts w:hint="eastAsia" w:ascii="宋体" w:hAnsi="宋体" w:cs="宋体"/>
          <w:color w:val="auto"/>
          <w:sz w:val="28"/>
          <w:szCs w:val="28"/>
        </w:rPr>
      </w:pPr>
      <w:r>
        <w:rPr>
          <w:rFonts w:hint="eastAsia" w:ascii="宋体" w:hAnsi="宋体" w:cs="宋体"/>
          <w:color w:val="auto"/>
          <w:sz w:val="28"/>
          <w:szCs w:val="28"/>
        </w:rPr>
        <w:t>致：广州市番禺区基本建设投资管理中心[委托人]</w:t>
      </w:r>
    </w:p>
    <w:p w14:paraId="013BEE31">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鉴于</w:t>
      </w:r>
      <w:r>
        <w:rPr>
          <w:rFonts w:hint="eastAsia" w:ascii="宋体" w:hAnsi="宋体" w:cs="宋体"/>
          <w:color w:val="auto"/>
          <w:sz w:val="28"/>
          <w:szCs w:val="28"/>
          <w:u w:val="single"/>
        </w:rPr>
        <w:t xml:space="preserve">             </w:t>
      </w:r>
      <w:r>
        <w:rPr>
          <w:rFonts w:hint="eastAsia" w:ascii="宋体" w:hAnsi="宋体" w:cs="宋体"/>
          <w:color w:val="auto"/>
          <w:sz w:val="28"/>
          <w:szCs w:val="28"/>
        </w:rPr>
        <w:t>[受托人名称]（以下简称“受托人”）已中标，已（拟）与</w:t>
      </w:r>
      <w:r>
        <w:rPr>
          <w:rFonts w:hint="eastAsia" w:ascii="宋体" w:hAnsi="宋体" w:cs="宋体"/>
          <w:color w:val="auto"/>
          <w:sz w:val="28"/>
          <w:szCs w:val="28"/>
          <w:u w:val="single"/>
        </w:rPr>
        <w:t>广州市番禺区基本建设投资管理中心</w:t>
      </w:r>
      <w:r>
        <w:rPr>
          <w:rFonts w:hint="eastAsia" w:ascii="宋体" w:hAnsi="宋体" w:cs="宋体"/>
          <w:color w:val="auto"/>
          <w:sz w:val="28"/>
          <w:szCs w:val="28"/>
        </w:rPr>
        <w:t>[委托人名称]（以下简称“委托人”）就</w:t>
      </w:r>
      <w:r>
        <w:rPr>
          <w:rFonts w:hint="eastAsia" w:ascii="宋体" w:hAnsi="宋体" w:cs="宋体"/>
          <w:color w:val="auto"/>
          <w:sz w:val="28"/>
          <w:szCs w:val="28"/>
          <w:u w:val="single"/>
        </w:rPr>
        <w:t xml:space="preserve">                 </w:t>
      </w:r>
      <w:r>
        <w:rPr>
          <w:rFonts w:hint="eastAsia" w:ascii="宋体" w:hAnsi="宋体" w:cs="宋体"/>
          <w:color w:val="auto"/>
          <w:sz w:val="28"/>
          <w:szCs w:val="28"/>
        </w:rPr>
        <w:t>[项目名称]签订</w:t>
      </w:r>
      <w:r>
        <w:rPr>
          <w:rFonts w:hint="eastAsia" w:ascii="宋体" w:hAnsi="宋体" w:cs="宋体"/>
          <w:color w:val="auto"/>
          <w:sz w:val="28"/>
          <w:szCs w:val="28"/>
          <w:u w:val="single"/>
        </w:rPr>
        <w:t xml:space="preserve">           </w:t>
      </w:r>
      <w:r>
        <w:rPr>
          <w:rFonts w:hint="eastAsia" w:ascii="宋体" w:hAnsi="宋体" w:cs="宋体"/>
          <w:color w:val="auto"/>
          <w:sz w:val="28"/>
          <w:szCs w:val="28"/>
        </w:rPr>
        <w:t>（下称“合同”）。</w:t>
      </w:r>
    </w:p>
    <w:p w14:paraId="01976F77">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鉴于你方（委托人）在招标文件及合同中均要求受托人通过经认可的银行向你方提交合同规定金额的保证金，作为受托人履行合同责任的担保，且本银行同意为受托人出具本银行保函。</w:t>
      </w:r>
    </w:p>
    <w:p w14:paraId="5788982A">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本银行作为担保人在此代表受托人向你方确认承担支付人民币</w:t>
      </w:r>
      <w:r>
        <w:rPr>
          <w:rFonts w:hint="eastAsia" w:ascii="宋体" w:hAnsi="宋体" w:cs="宋体"/>
          <w:color w:val="auto"/>
          <w:sz w:val="28"/>
          <w:szCs w:val="28"/>
          <w:u w:val="single"/>
        </w:rPr>
        <w:t xml:space="preserve">    ¥          </w:t>
      </w:r>
      <w:r>
        <w:rPr>
          <w:rFonts w:hint="eastAsia" w:ascii="宋体" w:hAnsi="宋体" w:cs="宋体"/>
          <w:color w:val="auto"/>
          <w:sz w:val="28"/>
          <w:szCs w:val="28"/>
        </w:rPr>
        <w:t>元（大写:</w:t>
      </w:r>
      <w:r>
        <w:rPr>
          <w:rFonts w:hint="eastAsia" w:ascii="宋体" w:hAnsi="宋体" w:cs="宋体"/>
          <w:color w:val="auto"/>
          <w:sz w:val="28"/>
          <w:szCs w:val="28"/>
          <w:u w:val="single"/>
        </w:rPr>
        <w:t xml:space="preserve">                    </w:t>
      </w:r>
      <w:r>
        <w:rPr>
          <w:rFonts w:hint="eastAsia" w:ascii="宋体" w:hAnsi="宋体" w:cs="宋体"/>
          <w:color w:val="auto"/>
          <w:sz w:val="28"/>
          <w:szCs w:val="28"/>
        </w:rPr>
        <w:t>）的担保责任，在你方第一次书面索赔通知书提出要求得到上述金额内的任何付款时，本行即予支付，不挑剔、不争辩、也不要求你方出具证明或说明背景或理由。你方可以要求一次性支付，也可以分多次要求支付，但总额不得超过人民币 ¥</w:t>
      </w:r>
      <w:r>
        <w:rPr>
          <w:rFonts w:hint="eastAsia" w:ascii="宋体" w:hAnsi="宋体" w:cs="宋体"/>
          <w:color w:val="auto"/>
          <w:sz w:val="28"/>
          <w:szCs w:val="28"/>
          <w:u w:val="single"/>
        </w:rPr>
        <w:t xml:space="preserve">         </w:t>
      </w:r>
      <w:r>
        <w:rPr>
          <w:rFonts w:hint="eastAsia" w:ascii="宋体" w:hAnsi="宋体" w:cs="宋体"/>
          <w:color w:val="auto"/>
          <w:sz w:val="28"/>
          <w:szCs w:val="28"/>
        </w:rPr>
        <w:t>元（大写:</w:t>
      </w:r>
      <w:r>
        <w:rPr>
          <w:rFonts w:hint="eastAsia" w:ascii="宋体" w:hAnsi="宋体" w:cs="宋体"/>
          <w:color w:val="auto"/>
          <w:sz w:val="28"/>
          <w:szCs w:val="28"/>
          <w:u w:val="single"/>
        </w:rPr>
        <w:t xml:space="preserve">                  </w:t>
      </w:r>
      <w:r>
        <w:rPr>
          <w:rFonts w:hint="eastAsia" w:ascii="宋体" w:hAnsi="宋体" w:cs="宋体"/>
          <w:color w:val="auto"/>
          <w:sz w:val="28"/>
          <w:szCs w:val="28"/>
        </w:rPr>
        <w:t>）。</w:t>
      </w:r>
    </w:p>
    <w:p w14:paraId="3B5E7436">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本银行放弃你方应先向受托人要求赔偿上述金额然后再向本银行提出要求的权力。</w:t>
      </w:r>
    </w:p>
    <w:p w14:paraId="35729FC9">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本银行还同意：在你方（委托人）和受托人之间的合同条款、合同项下的工程或合同文件发生变化、补充或修改后，本银行承担本保函的责任也不改变；上述变化、补充或修改也无须通知本银行。</w:t>
      </w:r>
    </w:p>
    <w:p w14:paraId="084E3324">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本保函的有效期自</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日起至</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日（设计任务完成之日起计满一年后）内保持有效，并在本保函有效期内不可撤销。</w:t>
      </w:r>
    </w:p>
    <w:p w14:paraId="572A8D18">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未经本银行书面同意，本保函不得转让。</w:t>
      </w:r>
    </w:p>
    <w:p w14:paraId="4CF59828">
      <w:pPr>
        <w:ind w:firstLine="560" w:firstLineChars="200"/>
        <w:rPr>
          <w:rFonts w:hint="eastAsia" w:ascii="宋体" w:hAnsi="宋体" w:cs="宋体"/>
          <w:color w:val="auto"/>
          <w:sz w:val="28"/>
          <w:szCs w:val="28"/>
        </w:rPr>
      </w:pPr>
    </w:p>
    <w:p w14:paraId="309C3CD2">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担保人：</w:t>
      </w:r>
      <w:r>
        <w:rPr>
          <w:rFonts w:hint="eastAsia" w:ascii="宋体" w:hAnsi="宋体" w:cs="宋体"/>
          <w:color w:val="auto"/>
          <w:sz w:val="28"/>
          <w:szCs w:val="28"/>
          <w:u w:val="single"/>
        </w:rPr>
        <w:t xml:space="preserve">                                        （盖章）</w:t>
      </w:r>
    </w:p>
    <w:p w14:paraId="26B19364">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法定代表人或委托代理人：</w:t>
      </w:r>
      <w:r>
        <w:rPr>
          <w:rFonts w:hint="eastAsia" w:ascii="宋体" w:hAnsi="宋体" w:cs="宋体"/>
          <w:color w:val="auto"/>
          <w:sz w:val="28"/>
          <w:szCs w:val="28"/>
          <w:u w:val="single"/>
        </w:rPr>
        <w:t xml:space="preserve">                  （签字或盖章）</w:t>
      </w:r>
    </w:p>
    <w:p w14:paraId="6B578821">
      <w:pPr>
        <w:spacing w:line="360" w:lineRule="exact"/>
        <w:ind w:firstLine="560" w:firstLineChars="200"/>
        <w:rPr>
          <w:rFonts w:hint="eastAsia" w:ascii="宋体" w:hAnsi="宋体" w:cs="宋体"/>
          <w:color w:val="auto"/>
          <w:sz w:val="28"/>
          <w:szCs w:val="28"/>
          <w:u w:val="single"/>
        </w:rPr>
      </w:pPr>
      <w:r>
        <w:rPr>
          <w:rFonts w:hint="eastAsia" w:ascii="宋体" w:hAnsi="宋体" w:cs="宋体"/>
          <w:color w:val="auto"/>
          <w:sz w:val="28"/>
          <w:szCs w:val="28"/>
        </w:rPr>
        <w:t xml:space="preserve">地址： </w:t>
      </w:r>
      <w:r>
        <w:rPr>
          <w:rFonts w:hint="eastAsia" w:ascii="宋体" w:hAnsi="宋体" w:cs="宋体"/>
          <w:color w:val="auto"/>
          <w:sz w:val="28"/>
          <w:szCs w:val="28"/>
          <w:u w:val="single"/>
        </w:rPr>
        <w:t xml:space="preserve">                                           </w:t>
      </w:r>
    </w:p>
    <w:p w14:paraId="0BF138E2">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银行名称：</w:t>
      </w:r>
      <w:r>
        <w:rPr>
          <w:rFonts w:hint="eastAsia" w:ascii="宋体" w:hAnsi="宋体" w:cs="宋体"/>
          <w:color w:val="auto"/>
          <w:sz w:val="28"/>
          <w:szCs w:val="28"/>
          <w:u w:val="single"/>
        </w:rPr>
        <w:t xml:space="preserve">                                        </w:t>
      </w:r>
    </w:p>
    <w:p w14:paraId="6F76DE71">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 年 </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月 </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73587694">
      <w:pPr>
        <w:spacing w:line="360" w:lineRule="exact"/>
        <w:ind w:firstLine="560" w:firstLineChars="200"/>
        <w:rPr>
          <w:rFonts w:hint="eastAsia" w:ascii="宋体" w:hAnsi="宋体" w:cs="宋体"/>
          <w:color w:val="auto"/>
          <w:sz w:val="28"/>
          <w:szCs w:val="28"/>
          <w:u w:val="single"/>
        </w:rPr>
      </w:pPr>
      <w:r>
        <w:rPr>
          <w:rFonts w:hint="eastAsia" w:ascii="宋体" w:hAnsi="宋体" w:cs="宋体"/>
          <w:color w:val="auto"/>
          <w:sz w:val="28"/>
          <w:szCs w:val="28"/>
        </w:rPr>
        <w:t xml:space="preserve">经办网点： </w:t>
      </w:r>
      <w:r>
        <w:rPr>
          <w:rFonts w:hint="eastAsia" w:ascii="宋体" w:hAnsi="宋体" w:cs="宋体"/>
          <w:color w:val="auto"/>
          <w:sz w:val="28"/>
          <w:szCs w:val="28"/>
          <w:u w:val="single"/>
        </w:rPr>
        <w:t xml:space="preserve">                      </w:t>
      </w:r>
    </w:p>
    <w:p w14:paraId="2BA94CA3">
      <w:pPr>
        <w:spacing w:line="360" w:lineRule="exact"/>
        <w:ind w:firstLine="560" w:firstLineChars="200"/>
        <w:rPr>
          <w:rFonts w:hint="eastAsia" w:ascii="宋体" w:hAnsi="宋体" w:cs="宋体"/>
          <w:color w:val="auto"/>
          <w:sz w:val="28"/>
          <w:szCs w:val="28"/>
          <w:u w:val="single"/>
        </w:rPr>
      </w:pPr>
      <w:r>
        <w:rPr>
          <w:rFonts w:hint="eastAsia" w:ascii="宋体" w:hAnsi="宋体" w:cs="宋体"/>
          <w:color w:val="auto"/>
          <w:sz w:val="28"/>
          <w:szCs w:val="28"/>
        </w:rPr>
        <w:t xml:space="preserve">经办人： </w:t>
      </w:r>
      <w:r>
        <w:rPr>
          <w:rFonts w:hint="eastAsia" w:ascii="宋体" w:hAnsi="宋体" w:cs="宋体"/>
          <w:color w:val="auto"/>
          <w:sz w:val="28"/>
          <w:szCs w:val="28"/>
          <w:u w:val="single"/>
        </w:rPr>
        <w:t xml:space="preserve">                        </w:t>
      </w:r>
    </w:p>
    <w:p w14:paraId="25B12EE6">
      <w:pPr>
        <w:spacing w:line="36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 xml:space="preserve">联系电话（办公电话及手机）：  </w:t>
      </w:r>
      <w:r>
        <w:rPr>
          <w:rFonts w:hint="eastAsia" w:ascii="宋体" w:hAnsi="宋体" w:cs="宋体"/>
          <w:color w:val="auto"/>
          <w:sz w:val="28"/>
          <w:szCs w:val="28"/>
          <w:u w:val="single"/>
        </w:rPr>
        <w:t xml:space="preserve">                     </w:t>
      </w:r>
    </w:p>
    <w:p w14:paraId="3EDD510C">
      <w:pPr>
        <w:tabs>
          <w:tab w:val="left" w:pos="5190"/>
        </w:tabs>
        <w:rPr>
          <w:rFonts w:hint="eastAsia" w:ascii="宋体" w:hAnsi="宋体"/>
          <w:b/>
          <w:color w:val="auto"/>
          <w:sz w:val="24"/>
        </w:rPr>
      </w:pPr>
      <w:r>
        <w:rPr>
          <w:rFonts w:ascii="宋体" w:hAnsi="宋体"/>
          <w:b/>
          <w:color w:val="auto"/>
          <w:sz w:val="24"/>
        </w:rPr>
        <w:br w:type="page"/>
      </w:r>
      <w:r>
        <w:rPr>
          <w:rFonts w:hint="eastAsia" w:ascii="宋体" w:hAnsi="宋体"/>
          <w:b/>
          <w:color w:val="auto"/>
          <w:sz w:val="24"/>
        </w:rPr>
        <w:t>合同附件1</w:t>
      </w:r>
      <w:r>
        <w:rPr>
          <w:rFonts w:hint="eastAsia" w:ascii="宋体" w:hAnsi="宋体"/>
          <w:b/>
          <w:color w:val="auto"/>
          <w:sz w:val="24"/>
          <w:lang w:val="en-US" w:eastAsia="zh-CN"/>
        </w:rPr>
        <w:t>1</w:t>
      </w:r>
      <w:r>
        <w:rPr>
          <w:rFonts w:hint="eastAsia" w:ascii="宋体" w:hAnsi="宋体"/>
          <w:b/>
          <w:color w:val="auto"/>
          <w:sz w:val="24"/>
        </w:rPr>
        <w:t>：</w:t>
      </w:r>
      <w:r>
        <w:rPr>
          <w:rFonts w:hint="eastAsia" w:ascii="宋体" w:hAnsi="宋体"/>
          <w:b/>
          <w:color w:val="auto"/>
          <w:sz w:val="24"/>
        </w:rPr>
        <w:t>合同计价依据</w:t>
      </w:r>
    </w:p>
    <w:p w14:paraId="15728A65">
      <w:pPr>
        <w:widowControl/>
        <w:spacing w:line="400" w:lineRule="exact"/>
        <w:jc w:val="center"/>
        <w:rPr>
          <w:rFonts w:hint="eastAsia" w:ascii="宋体" w:hAnsi="宋体" w:eastAsia="宋体" w:cs="Times New Roman"/>
          <w:color w:val="auto"/>
          <w:kern w:val="0"/>
          <w:sz w:val="24"/>
          <w:u w:val="single"/>
          <w:lang w:eastAsia="zh-CN"/>
        </w:rPr>
      </w:pPr>
    </w:p>
    <w:p w14:paraId="131BC1C3">
      <w:pPr>
        <w:widowControl/>
        <w:spacing w:line="360" w:lineRule="auto"/>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lang w:eastAsia="zh-CN"/>
        </w:rPr>
        <w:t>番禺区迎星中路（新光快速至番禺大道）改造工程</w:t>
      </w:r>
      <w:r>
        <w:rPr>
          <w:rFonts w:hint="eastAsia" w:ascii="宋体" w:hAnsi="宋体" w:eastAsia="宋体" w:cs="宋体"/>
          <w:b/>
          <w:color w:val="auto"/>
          <w:kern w:val="0"/>
          <w:sz w:val="32"/>
          <w:szCs w:val="32"/>
        </w:rPr>
        <w:t>勘察设计项目</w:t>
      </w:r>
    </w:p>
    <w:p w14:paraId="10CA8845">
      <w:pPr>
        <w:widowControl/>
        <w:spacing w:line="360" w:lineRule="auto"/>
        <w:jc w:val="center"/>
        <w:rPr>
          <w:rFonts w:hint="eastAsia" w:ascii="仿宋_GB2312" w:hAnsi="仿宋_GB2312" w:eastAsia="仿宋_GB2312" w:cs="仿宋_GB2312"/>
          <w:b/>
          <w:bCs/>
          <w:color w:val="auto"/>
          <w:kern w:val="0"/>
          <w:sz w:val="32"/>
          <w:szCs w:val="32"/>
        </w:rPr>
      </w:pPr>
      <w:r>
        <w:rPr>
          <w:rFonts w:hint="eastAsia" w:ascii="宋体" w:hAnsi="宋体" w:eastAsia="宋体" w:cs="宋体"/>
          <w:b/>
          <w:color w:val="auto"/>
          <w:kern w:val="0"/>
          <w:sz w:val="32"/>
          <w:szCs w:val="32"/>
        </w:rPr>
        <w:t>设计费报价表</w:t>
      </w:r>
    </w:p>
    <w:tbl>
      <w:tblPr>
        <w:tblStyle w:val="9"/>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94"/>
        <w:gridCol w:w="2287"/>
        <w:gridCol w:w="2677"/>
      </w:tblGrid>
      <w:tr w14:paraId="178E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0" w:type="dxa"/>
            <w:noWrap w:val="0"/>
            <w:vAlign w:val="top"/>
          </w:tcPr>
          <w:p w14:paraId="599AFD61">
            <w:pPr>
              <w:widowControl/>
              <w:spacing w:line="360" w:lineRule="auto"/>
              <w:jc w:val="center"/>
              <w:rPr>
                <w:rFonts w:hint="eastAsia" w:ascii="宋体" w:hAnsi="宋体" w:eastAsia="宋体" w:cs="仿宋_GB2312"/>
                <w:color w:val="auto"/>
                <w:kern w:val="0"/>
                <w:sz w:val="24"/>
                <w:szCs w:val="21"/>
              </w:rPr>
            </w:pPr>
            <w:r>
              <w:rPr>
                <w:rFonts w:hint="eastAsia" w:ascii="宋体" w:hAnsi="宋体" w:eastAsia="宋体" w:cs="仿宋_GB2312"/>
                <w:color w:val="auto"/>
                <w:kern w:val="0"/>
                <w:sz w:val="24"/>
                <w:szCs w:val="21"/>
              </w:rPr>
              <w:t>序号</w:t>
            </w:r>
          </w:p>
        </w:tc>
        <w:tc>
          <w:tcPr>
            <w:tcW w:w="3294" w:type="dxa"/>
            <w:noWrap w:val="0"/>
            <w:vAlign w:val="top"/>
          </w:tcPr>
          <w:p w14:paraId="7BF92F60">
            <w:pPr>
              <w:widowControl/>
              <w:spacing w:line="360" w:lineRule="auto"/>
              <w:jc w:val="center"/>
              <w:rPr>
                <w:rFonts w:hint="eastAsia" w:ascii="宋体" w:hAnsi="宋体" w:eastAsia="宋体" w:cs="仿宋_GB2312"/>
                <w:color w:val="auto"/>
                <w:kern w:val="0"/>
                <w:sz w:val="24"/>
                <w:szCs w:val="21"/>
              </w:rPr>
            </w:pPr>
            <w:r>
              <w:rPr>
                <w:rFonts w:hint="eastAsia" w:ascii="宋体" w:hAnsi="宋体" w:eastAsia="宋体" w:cs="仿宋_GB2312"/>
                <w:color w:val="auto"/>
                <w:kern w:val="0"/>
                <w:sz w:val="24"/>
                <w:szCs w:val="21"/>
              </w:rPr>
              <w:t>项目</w:t>
            </w:r>
          </w:p>
        </w:tc>
        <w:tc>
          <w:tcPr>
            <w:tcW w:w="2287" w:type="dxa"/>
            <w:noWrap w:val="0"/>
            <w:vAlign w:val="top"/>
          </w:tcPr>
          <w:p w14:paraId="3EC931B8">
            <w:pPr>
              <w:widowControl/>
              <w:spacing w:line="360" w:lineRule="auto"/>
              <w:jc w:val="center"/>
              <w:rPr>
                <w:rFonts w:hint="eastAsia" w:ascii="宋体" w:hAnsi="宋体" w:eastAsia="宋体" w:cs="仿宋_GB2312"/>
                <w:color w:val="auto"/>
                <w:kern w:val="0"/>
                <w:sz w:val="24"/>
                <w:szCs w:val="21"/>
              </w:rPr>
            </w:pPr>
            <w:r>
              <w:rPr>
                <w:rFonts w:hint="eastAsia" w:ascii="宋体" w:hAnsi="宋体" w:eastAsia="宋体" w:cs="仿宋_GB2312"/>
                <w:color w:val="auto"/>
                <w:kern w:val="0"/>
                <w:sz w:val="24"/>
                <w:szCs w:val="21"/>
              </w:rPr>
              <w:t>报价（元）</w:t>
            </w:r>
          </w:p>
        </w:tc>
        <w:tc>
          <w:tcPr>
            <w:tcW w:w="2677" w:type="dxa"/>
            <w:noWrap w:val="0"/>
            <w:vAlign w:val="top"/>
          </w:tcPr>
          <w:p w14:paraId="6E215D12">
            <w:pPr>
              <w:widowControl/>
              <w:spacing w:line="360" w:lineRule="auto"/>
              <w:jc w:val="center"/>
              <w:rPr>
                <w:rFonts w:hint="eastAsia" w:ascii="宋体" w:hAnsi="宋体" w:eastAsia="宋体" w:cs="仿宋_GB2312"/>
                <w:color w:val="auto"/>
                <w:kern w:val="0"/>
                <w:sz w:val="24"/>
                <w:szCs w:val="21"/>
              </w:rPr>
            </w:pPr>
            <w:r>
              <w:rPr>
                <w:rFonts w:hint="eastAsia" w:ascii="宋体" w:hAnsi="宋体" w:eastAsia="宋体" w:cs="仿宋_GB2312"/>
                <w:color w:val="auto"/>
                <w:kern w:val="0"/>
                <w:sz w:val="24"/>
                <w:szCs w:val="21"/>
              </w:rPr>
              <w:t>备注</w:t>
            </w:r>
          </w:p>
        </w:tc>
      </w:tr>
      <w:tr w14:paraId="00D6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00" w:type="dxa"/>
            <w:noWrap w:val="0"/>
            <w:vAlign w:val="center"/>
          </w:tcPr>
          <w:p w14:paraId="2CAE18ED">
            <w:pPr>
              <w:keepNext w:val="0"/>
              <w:keepLines w:val="0"/>
              <w:pageBreakBefore w:val="0"/>
              <w:widowControl/>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3294" w:type="dxa"/>
            <w:noWrap w:val="0"/>
            <w:vAlign w:val="center"/>
          </w:tcPr>
          <w:p w14:paraId="06CCC611">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2287" w:type="dxa"/>
            <w:noWrap w:val="0"/>
            <w:vAlign w:val="center"/>
          </w:tcPr>
          <w:p w14:paraId="44B7DDBD">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top"/>
              <w:rPr>
                <w:rFonts w:hint="eastAsia" w:ascii="宋体" w:hAnsi="宋体" w:eastAsia="宋体" w:cs="宋体"/>
                <w:color w:val="auto"/>
                <w:kern w:val="0"/>
                <w:sz w:val="24"/>
                <w:szCs w:val="24"/>
              </w:rPr>
            </w:pPr>
          </w:p>
        </w:tc>
        <w:tc>
          <w:tcPr>
            <w:tcW w:w="2677" w:type="dxa"/>
            <w:noWrap w:val="0"/>
            <w:vAlign w:val="center"/>
          </w:tcPr>
          <w:p w14:paraId="418DC616">
            <w:pPr>
              <w:keepNext w:val="0"/>
              <w:keepLines w:val="0"/>
              <w:pageBreakBefore w:val="0"/>
              <w:widowControl/>
              <w:suppressLineNumbers w:val="0"/>
              <w:kinsoku/>
              <w:wordWrap/>
              <w:overflowPunct/>
              <w:topLinePunct w:val="0"/>
              <w:autoSpaceDE/>
              <w:autoSpaceDN/>
              <w:bidi w:val="0"/>
              <w:adjustRightInd/>
              <w:snapToGrid/>
              <w:spacing w:line="216" w:lineRule="auto"/>
              <w:jc w:val="both"/>
              <w:textAlignment w:val="top"/>
              <w:rPr>
                <w:rFonts w:hint="eastAsia" w:ascii="宋体" w:hAnsi="宋体" w:eastAsia="宋体" w:cs="宋体"/>
                <w:color w:val="auto"/>
                <w:kern w:val="0"/>
                <w:sz w:val="24"/>
                <w:szCs w:val="24"/>
              </w:rPr>
            </w:pPr>
          </w:p>
        </w:tc>
      </w:tr>
      <w:tr w14:paraId="1228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00" w:type="dxa"/>
            <w:noWrap w:val="0"/>
            <w:vAlign w:val="center"/>
          </w:tcPr>
          <w:p w14:paraId="340DC2A9">
            <w:pPr>
              <w:keepNext w:val="0"/>
              <w:keepLines w:val="0"/>
              <w:pageBreakBefore w:val="0"/>
              <w:widowControl/>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3294" w:type="dxa"/>
            <w:noWrap w:val="0"/>
            <w:vAlign w:val="center"/>
          </w:tcPr>
          <w:p w14:paraId="58B899FB">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2287" w:type="dxa"/>
            <w:noWrap w:val="0"/>
            <w:vAlign w:val="center"/>
          </w:tcPr>
          <w:p w14:paraId="7658FFC0">
            <w:pPr>
              <w:keepNext w:val="0"/>
              <w:keepLines w:val="0"/>
              <w:pageBreakBefore w:val="0"/>
              <w:widowControl/>
              <w:suppressLineNumbers w:val="0"/>
              <w:kinsoku/>
              <w:wordWrap/>
              <w:overflowPunct/>
              <w:topLinePunct w:val="0"/>
              <w:autoSpaceDE/>
              <w:autoSpaceDN/>
              <w:bidi w:val="0"/>
              <w:adjustRightInd/>
              <w:snapToGrid/>
              <w:spacing w:line="216" w:lineRule="auto"/>
              <w:jc w:val="center"/>
              <w:textAlignment w:val="top"/>
              <w:rPr>
                <w:rFonts w:hint="eastAsia" w:ascii="宋体" w:hAnsi="宋体" w:eastAsia="宋体" w:cs="宋体"/>
                <w:color w:val="auto"/>
                <w:kern w:val="0"/>
                <w:sz w:val="24"/>
                <w:szCs w:val="24"/>
              </w:rPr>
            </w:pPr>
          </w:p>
        </w:tc>
        <w:tc>
          <w:tcPr>
            <w:tcW w:w="2677" w:type="dxa"/>
            <w:noWrap w:val="0"/>
            <w:vAlign w:val="center"/>
          </w:tcPr>
          <w:p w14:paraId="3B8C8D1D">
            <w:pPr>
              <w:keepNext w:val="0"/>
              <w:keepLines w:val="0"/>
              <w:pageBreakBefore w:val="0"/>
              <w:widowControl/>
              <w:suppressLineNumbers w:val="0"/>
              <w:kinsoku/>
              <w:wordWrap/>
              <w:overflowPunct/>
              <w:topLinePunct w:val="0"/>
              <w:autoSpaceDE/>
              <w:autoSpaceDN/>
              <w:bidi w:val="0"/>
              <w:adjustRightInd/>
              <w:snapToGrid/>
              <w:spacing w:line="216" w:lineRule="auto"/>
              <w:jc w:val="both"/>
              <w:textAlignment w:val="top"/>
              <w:rPr>
                <w:rFonts w:hint="eastAsia" w:ascii="宋体" w:hAnsi="宋体" w:eastAsia="宋体" w:cs="宋体"/>
                <w:color w:val="auto"/>
                <w:kern w:val="0"/>
                <w:sz w:val="24"/>
                <w:szCs w:val="24"/>
              </w:rPr>
            </w:pPr>
          </w:p>
        </w:tc>
      </w:tr>
      <w:tr w14:paraId="7BBC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0" w:type="dxa"/>
            <w:noWrap w:val="0"/>
            <w:vAlign w:val="center"/>
          </w:tcPr>
          <w:p w14:paraId="3B8C23B5">
            <w:pPr>
              <w:keepNext w:val="0"/>
              <w:keepLines w:val="0"/>
              <w:pageBreakBefore w:val="0"/>
              <w:widowControl/>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3294" w:type="dxa"/>
            <w:noWrap w:val="0"/>
            <w:vAlign w:val="center"/>
          </w:tcPr>
          <w:p w14:paraId="644A658B">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2287" w:type="dxa"/>
            <w:noWrap w:val="0"/>
            <w:vAlign w:val="center"/>
          </w:tcPr>
          <w:p w14:paraId="0D487482">
            <w:pPr>
              <w:keepNext w:val="0"/>
              <w:keepLines w:val="0"/>
              <w:pageBreakBefore w:val="0"/>
              <w:kinsoku/>
              <w:wordWrap/>
              <w:overflowPunct/>
              <w:topLinePunct w:val="0"/>
              <w:autoSpaceDE/>
              <w:autoSpaceDN/>
              <w:bidi w:val="0"/>
              <w:adjustRightInd/>
              <w:snapToGrid/>
              <w:spacing w:line="216" w:lineRule="auto"/>
              <w:jc w:val="center"/>
              <w:rPr>
                <w:rFonts w:hint="eastAsia" w:ascii="宋体" w:hAnsi="宋体" w:eastAsia="宋体" w:cs="宋体"/>
                <w:color w:val="auto"/>
                <w:kern w:val="0"/>
                <w:sz w:val="24"/>
                <w:szCs w:val="24"/>
              </w:rPr>
            </w:pPr>
          </w:p>
        </w:tc>
        <w:tc>
          <w:tcPr>
            <w:tcW w:w="2677" w:type="dxa"/>
            <w:noWrap w:val="0"/>
            <w:vAlign w:val="center"/>
          </w:tcPr>
          <w:p w14:paraId="716EAB65">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r>
      <w:tr w14:paraId="6CA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0" w:type="dxa"/>
            <w:noWrap w:val="0"/>
            <w:vAlign w:val="center"/>
          </w:tcPr>
          <w:p w14:paraId="4A470BD1">
            <w:pPr>
              <w:keepNext w:val="0"/>
              <w:keepLines w:val="0"/>
              <w:pageBreakBefore w:val="0"/>
              <w:widowControl/>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3294" w:type="dxa"/>
            <w:noWrap w:val="0"/>
            <w:vAlign w:val="center"/>
          </w:tcPr>
          <w:p w14:paraId="407AC9A7">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2287" w:type="dxa"/>
            <w:noWrap w:val="0"/>
            <w:vAlign w:val="center"/>
          </w:tcPr>
          <w:p w14:paraId="46CB789A">
            <w:pPr>
              <w:keepNext w:val="0"/>
              <w:keepLines w:val="0"/>
              <w:pageBreakBefore w:val="0"/>
              <w:kinsoku/>
              <w:wordWrap/>
              <w:overflowPunct/>
              <w:topLinePunct w:val="0"/>
              <w:autoSpaceDE/>
              <w:autoSpaceDN/>
              <w:bidi w:val="0"/>
              <w:adjustRightInd/>
              <w:snapToGrid/>
              <w:spacing w:line="216" w:lineRule="auto"/>
              <w:jc w:val="center"/>
              <w:rPr>
                <w:rFonts w:hint="eastAsia" w:ascii="宋体" w:hAnsi="宋体" w:eastAsia="宋体" w:cs="宋体"/>
                <w:color w:val="auto"/>
                <w:kern w:val="0"/>
                <w:sz w:val="24"/>
                <w:szCs w:val="24"/>
              </w:rPr>
            </w:pPr>
          </w:p>
        </w:tc>
        <w:tc>
          <w:tcPr>
            <w:tcW w:w="2677" w:type="dxa"/>
            <w:noWrap w:val="0"/>
            <w:vAlign w:val="center"/>
          </w:tcPr>
          <w:p w14:paraId="5F75CBA5">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r>
      <w:tr w14:paraId="2A79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0" w:type="dxa"/>
            <w:noWrap w:val="0"/>
            <w:vAlign w:val="center"/>
          </w:tcPr>
          <w:p w14:paraId="333AAB9C">
            <w:pPr>
              <w:keepNext w:val="0"/>
              <w:keepLines w:val="0"/>
              <w:pageBreakBefore w:val="0"/>
              <w:widowControl/>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3294" w:type="dxa"/>
            <w:noWrap w:val="0"/>
            <w:vAlign w:val="center"/>
          </w:tcPr>
          <w:p w14:paraId="21D60551">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2287" w:type="dxa"/>
            <w:noWrap w:val="0"/>
            <w:vAlign w:val="center"/>
          </w:tcPr>
          <w:p w14:paraId="330B43D7">
            <w:pPr>
              <w:keepNext w:val="0"/>
              <w:keepLines w:val="0"/>
              <w:pageBreakBefore w:val="0"/>
              <w:kinsoku/>
              <w:wordWrap/>
              <w:overflowPunct/>
              <w:topLinePunct w:val="0"/>
              <w:autoSpaceDE/>
              <w:autoSpaceDN/>
              <w:bidi w:val="0"/>
              <w:adjustRightInd/>
              <w:snapToGrid/>
              <w:spacing w:line="216" w:lineRule="auto"/>
              <w:jc w:val="center"/>
              <w:rPr>
                <w:rFonts w:hint="eastAsia" w:ascii="宋体" w:hAnsi="宋体" w:eastAsia="宋体" w:cs="宋体"/>
                <w:color w:val="auto"/>
                <w:kern w:val="0"/>
                <w:sz w:val="24"/>
                <w:szCs w:val="24"/>
              </w:rPr>
            </w:pPr>
          </w:p>
        </w:tc>
        <w:tc>
          <w:tcPr>
            <w:tcW w:w="2677" w:type="dxa"/>
            <w:noWrap w:val="0"/>
            <w:vAlign w:val="center"/>
          </w:tcPr>
          <w:p w14:paraId="773E12EE">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r>
      <w:tr w14:paraId="21DA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0" w:type="dxa"/>
            <w:noWrap w:val="0"/>
            <w:vAlign w:val="center"/>
          </w:tcPr>
          <w:p w14:paraId="2842072B">
            <w:pPr>
              <w:keepNext w:val="0"/>
              <w:keepLines w:val="0"/>
              <w:pageBreakBefore w:val="0"/>
              <w:widowControl/>
              <w:kinsoku/>
              <w:wordWrap/>
              <w:overflowPunct/>
              <w:topLinePunct w:val="0"/>
              <w:autoSpaceDE/>
              <w:autoSpaceDN/>
              <w:bidi w:val="0"/>
              <w:adjustRightInd/>
              <w:snapToGrid/>
              <w:spacing w:line="216" w:lineRule="auto"/>
              <w:jc w:val="both"/>
              <w:rPr>
                <w:rFonts w:hint="eastAsia" w:ascii="宋体" w:hAnsi="宋体" w:eastAsia="宋体" w:cs="宋体"/>
                <w:strike/>
                <w:color w:val="auto"/>
                <w:kern w:val="0"/>
                <w:sz w:val="24"/>
                <w:szCs w:val="24"/>
              </w:rPr>
            </w:pPr>
          </w:p>
        </w:tc>
        <w:tc>
          <w:tcPr>
            <w:tcW w:w="3294" w:type="dxa"/>
            <w:noWrap w:val="0"/>
            <w:vAlign w:val="center"/>
          </w:tcPr>
          <w:p w14:paraId="4138233D">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strike/>
                <w:color w:val="auto"/>
                <w:kern w:val="0"/>
                <w:sz w:val="24"/>
                <w:szCs w:val="24"/>
              </w:rPr>
            </w:pPr>
          </w:p>
        </w:tc>
        <w:tc>
          <w:tcPr>
            <w:tcW w:w="2287" w:type="dxa"/>
            <w:noWrap w:val="0"/>
            <w:vAlign w:val="center"/>
          </w:tcPr>
          <w:p w14:paraId="096C66CB">
            <w:pPr>
              <w:keepNext w:val="0"/>
              <w:keepLines w:val="0"/>
              <w:pageBreakBefore w:val="0"/>
              <w:kinsoku/>
              <w:wordWrap/>
              <w:overflowPunct/>
              <w:topLinePunct w:val="0"/>
              <w:autoSpaceDE/>
              <w:autoSpaceDN/>
              <w:bidi w:val="0"/>
              <w:adjustRightInd/>
              <w:snapToGrid/>
              <w:spacing w:line="216" w:lineRule="auto"/>
              <w:jc w:val="center"/>
              <w:rPr>
                <w:rFonts w:hint="eastAsia" w:ascii="宋体" w:hAnsi="宋体" w:eastAsia="宋体" w:cs="宋体"/>
                <w:color w:val="auto"/>
                <w:kern w:val="0"/>
                <w:sz w:val="24"/>
                <w:szCs w:val="24"/>
              </w:rPr>
            </w:pPr>
          </w:p>
        </w:tc>
        <w:tc>
          <w:tcPr>
            <w:tcW w:w="2677" w:type="dxa"/>
            <w:noWrap w:val="0"/>
            <w:vAlign w:val="center"/>
          </w:tcPr>
          <w:p w14:paraId="62F7442D">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r>
      <w:tr w14:paraId="092C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0" w:type="dxa"/>
            <w:noWrap w:val="0"/>
            <w:vAlign w:val="center"/>
          </w:tcPr>
          <w:p w14:paraId="349F7CE4">
            <w:pPr>
              <w:keepNext w:val="0"/>
              <w:keepLines w:val="0"/>
              <w:pageBreakBefore w:val="0"/>
              <w:widowControl/>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3294" w:type="dxa"/>
            <w:noWrap w:val="0"/>
            <w:vAlign w:val="center"/>
          </w:tcPr>
          <w:p w14:paraId="061F4763">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2287" w:type="dxa"/>
            <w:noWrap w:val="0"/>
            <w:vAlign w:val="center"/>
          </w:tcPr>
          <w:p w14:paraId="006F6BB2">
            <w:pPr>
              <w:keepNext w:val="0"/>
              <w:keepLines w:val="0"/>
              <w:pageBreakBefore w:val="0"/>
              <w:kinsoku/>
              <w:wordWrap/>
              <w:overflowPunct/>
              <w:topLinePunct w:val="0"/>
              <w:autoSpaceDE/>
              <w:autoSpaceDN/>
              <w:bidi w:val="0"/>
              <w:adjustRightInd/>
              <w:snapToGrid/>
              <w:spacing w:line="216" w:lineRule="auto"/>
              <w:jc w:val="center"/>
              <w:rPr>
                <w:rFonts w:hint="eastAsia" w:ascii="宋体" w:hAnsi="宋体" w:eastAsia="宋体" w:cs="宋体"/>
                <w:color w:val="auto"/>
                <w:kern w:val="0"/>
                <w:sz w:val="24"/>
                <w:szCs w:val="24"/>
              </w:rPr>
            </w:pPr>
          </w:p>
        </w:tc>
        <w:tc>
          <w:tcPr>
            <w:tcW w:w="2677" w:type="dxa"/>
            <w:noWrap w:val="0"/>
            <w:vAlign w:val="center"/>
          </w:tcPr>
          <w:p w14:paraId="79F8B34D">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r>
      <w:tr w14:paraId="4EB4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00" w:type="dxa"/>
            <w:noWrap w:val="0"/>
            <w:vAlign w:val="center"/>
          </w:tcPr>
          <w:p w14:paraId="064E760E">
            <w:pPr>
              <w:keepNext w:val="0"/>
              <w:keepLines w:val="0"/>
              <w:pageBreakBefore w:val="0"/>
              <w:widowControl/>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3294" w:type="dxa"/>
            <w:noWrap w:val="0"/>
            <w:vAlign w:val="center"/>
          </w:tcPr>
          <w:p w14:paraId="52CEF117">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c>
          <w:tcPr>
            <w:tcW w:w="2287" w:type="dxa"/>
            <w:noWrap w:val="0"/>
            <w:vAlign w:val="center"/>
          </w:tcPr>
          <w:p w14:paraId="0D53747E">
            <w:pPr>
              <w:keepNext w:val="0"/>
              <w:keepLines w:val="0"/>
              <w:pageBreakBefore w:val="0"/>
              <w:kinsoku/>
              <w:wordWrap/>
              <w:overflowPunct/>
              <w:topLinePunct w:val="0"/>
              <w:autoSpaceDE/>
              <w:autoSpaceDN/>
              <w:bidi w:val="0"/>
              <w:adjustRightInd/>
              <w:snapToGrid/>
              <w:spacing w:line="216" w:lineRule="auto"/>
              <w:jc w:val="center"/>
              <w:rPr>
                <w:rFonts w:hint="eastAsia" w:ascii="宋体" w:hAnsi="宋体" w:eastAsia="宋体" w:cs="宋体"/>
                <w:color w:val="auto"/>
                <w:kern w:val="0"/>
                <w:sz w:val="24"/>
                <w:szCs w:val="24"/>
              </w:rPr>
            </w:pPr>
          </w:p>
        </w:tc>
        <w:tc>
          <w:tcPr>
            <w:tcW w:w="2677" w:type="dxa"/>
            <w:noWrap w:val="0"/>
            <w:vAlign w:val="center"/>
          </w:tcPr>
          <w:p w14:paraId="6B256977">
            <w:pPr>
              <w:keepNext w:val="0"/>
              <w:keepLines w:val="0"/>
              <w:pageBreakBefore w:val="0"/>
              <w:kinsoku/>
              <w:wordWrap/>
              <w:overflowPunct/>
              <w:topLinePunct w:val="0"/>
              <w:autoSpaceDE/>
              <w:autoSpaceDN/>
              <w:bidi w:val="0"/>
              <w:adjustRightInd/>
              <w:snapToGrid/>
              <w:spacing w:line="216" w:lineRule="auto"/>
              <w:jc w:val="both"/>
              <w:rPr>
                <w:rFonts w:hint="eastAsia" w:ascii="宋体" w:hAnsi="宋体" w:eastAsia="宋体" w:cs="宋体"/>
                <w:color w:val="auto"/>
                <w:kern w:val="0"/>
                <w:sz w:val="24"/>
                <w:szCs w:val="24"/>
              </w:rPr>
            </w:pPr>
          </w:p>
        </w:tc>
      </w:tr>
      <w:tr w14:paraId="1437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0" w:type="dxa"/>
            <w:noWrap w:val="0"/>
            <w:vAlign w:val="top"/>
          </w:tcPr>
          <w:p w14:paraId="2F1857D4">
            <w:pPr>
              <w:widowControl/>
              <w:spacing w:line="360" w:lineRule="auto"/>
              <w:jc w:val="left"/>
              <w:rPr>
                <w:rFonts w:hint="eastAsia" w:ascii="宋体" w:hAnsi="宋体" w:eastAsia="宋体" w:cs="仿宋_GB2312"/>
                <w:color w:val="auto"/>
                <w:kern w:val="0"/>
                <w:sz w:val="24"/>
                <w:szCs w:val="21"/>
              </w:rPr>
            </w:pPr>
          </w:p>
        </w:tc>
        <w:tc>
          <w:tcPr>
            <w:tcW w:w="3294" w:type="dxa"/>
            <w:noWrap w:val="0"/>
            <w:vAlign w:val="top"/>
          </w:tcPr>
          <w:p w14:paraId="08A1D16A">
            <w:pPr>
              <w:widowControl/>
              <w:spacing w:line="360" w:lineRule="auto"/>
              <w:jc w:val="left"/>
              <w:rPr>
                <w:rFonts w:hint="eastAsia" w:ascii="宋体" w:hAnsi="宋体" w:eastAsia="宋体" w:cs="仿宋_GB2312"/>
                <w:color w:val="auto"/>
                <w:kern w:val="0"/>
                <w:sz w:val="24"/>
                <w:szCs w:val="21"/>
              </w:rPr>
            </w:pPr>
          </w:p>
        </w:tc>
        <w:tc>
          <w:tcPr>
            <w:tcW w:w="2287" w:type="dxa"/>
            <w:noWrap w:val="0"/>
            <w:vAlign w:val="top"/>
          </w:tcPr>
          <w:p w14:paraId="6D61D651">
            <w:pPr>
              <w:widowControl/>
              <w:spacing w:line="360" w:lineRule="auto"/>
              <w:jc w:val="left"/>
              <w:rPr>
                <w:rFonts w:hint="eastAsia" w:ascii="宋体" w:hAnsi="宋体" w:eastAsia="宋体" w:cs="仿宋_GB2312"/>
                <w:color w:val="auto"/>
                <w:kern w:val="0"/>
                <w:sz w:val="24"/>
                <w:szCs w:val="21"/>
              </w:rPr>
            </w:pPr>
          </w:p>
        </w:tc>
        <w:tc>
          <w:tcPr>
            <w:tcW w:w="2677" w:type="dxa"/>
            <w:noWrap w:val="0"/>
            <w:vAlign w:val="top"/>
          </w:tcPr>
          <w:p w14:paraId="300B8D49">
            <w:pPr>
              <w:widowControl/>
              <w:spacing w:line="360" w:lineRule="auto"/>
              <w:jc w:val="left"/>
              <w:rPr>
                <w:rFonts w:hint="eastAsia" w:ascii="宋体" w:hAnsi="宋体" w:eastAsia="宋体" w:cs="仿宋_GB2312"/>
                <w:color w:val="auto"/>
                <w:kern w:val="0"/>
                <w:sz w:val="24"/>
                <w:szCs w:val="21"/>
              </w:rPr>
            </w:pPr>
          </w:p>
        </w:tc>
      </w:tr>
      <w:tr w14:paraId="125C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0" w:type="dxa"/>
            <w:noWrap w:val="0"/>
            <w:vAlign w:val="top"/>
          </w:tcPr>
          <w:p w14:paraId="707990B7">
            <w:pPr>
              <w:widowControl/>
              <w:spacing w:line="360" w:lineRule="auto"/>
              <w:jc w:val="left"/>
              <w:rPr>
                <w:rFonts w:hint="eastAsia" w:ascii="宋体" w:hAnsi="宋体" w:eastAsia="宋体" w:cs="仿宋_GB2312"/>
                <w:strike/>
                <w:color w:val="auto"/>
                <w:kern w:val="0"/>
                <w:sz w:val="24"/>
                <w:szCs w:val="21"/>
              </w:rPr>
            </w:pPr>
          </w:p>
        </w:tc>
        <w:tc>
          <w:tcPr>
            <w:tcW w:w="3294" w:type="dxa"/>
            <w:noWrap w:val="0"/>
            <w:vAlign w:val="top"/>
          </w:tcPr>
          <w:p w14:paraId="40D86030">
            <w:pPr>
              <w:widowControl/>
              <w:spacing w:line="360" w:lineRule="auto"/>
              <w:jc w:val="left"/>
              <w:rPr>
                <w:rFonts w:hint="eastAsia" w:ascii="宋体" w:hAnsi="宋体" w:eastAsia="宋体" w:cs="仿宋_GB2312"/>
                <w:strike/>
                <w:color w:val="auto"/>
                <w:kern w:val="0"/>
                <w:sz w:val="24"/>
                <w:szCs w:val="21"/>
              </w:rPr>
            </w:pPr>
          </w:p>
        </w:tc>
        <w:tc>
          <w:tcPr>
            <w:tcW w:w="2287" w:type="dxa"/>
            <w:noWrap w:val="0"/>
            <w:vAlign w:val="top"/>
          </w:tcPr>
          <w:p w14:paraId="16A8BCD4">
            <w:pPr>
              <w:widowControl/>
              <w:spacing w:line="360" w:lineRule="auto"/>
              <w:jc w:val="left"/>
              <w:rPr>
                <w:rFonts w:hint="eastAsia" w:ascii="宋体" w:hAnsi="宋体" w:eastAsia="宋体" w:cs="仿宋_GB2312"/>
                <w:color w:val="auto"/>
                <w:kern w:val="0"/>
                <w:sz w:val="24"/>
                <w:szCs w:val="21"/>
              </w:rPr>
            </w:pPr>
          </w:p>
        </w:tc>
        <w:tc>
          <w:tcPr>
            <w:tcW w:w="2677" w:type="dxa"/>
            <w:noWrap w:val="0"/>
            <w:vAlign w:val="top"/>
          </w:tcPr>
          <w:p w14:paraId="1357335D">
            <w:pPr>
              <w:widowControl/>
              <w:spacing w:line="360" w:lineRule="auto"/>
              <w:jc w:val="left"/>
              <w:rPr>
                <w:rFonts w:hint="eastAsia" w:ascii="宋体" w:hAnsi="宋体" w:eastAsia="宋体" w:cs="仿宋_GB2312"/>
                <w:color w:val="auto"/>
                <w:kern w:val="0"/>
                <w:sz w:val="24"/>
                <w:szCs w:val="21"/>
              </w:rPr>
            </w:pPr>
          </w:p>
        </w:tc>
      </w:tr>
      <w:tr w14:paraId="2674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0" w:type="dxa"/>
            <w:noWrap w:val="0"/>
            <w:vAlign w:val="top"/>
          </w:tcPr>
          <w:p w14:paraId="6D472CAC">
            <w:pPr>
              <w:widowControl/>
              <w:spacing w:line="360" w:lineRule="auto"/>
              <w:jc w:val="left"/>
              <w:rPr>
                <w:rFonts w:ascii="宋体" w:hAnsi="宋体" w:eastAsia="宋体" w:cs="仿宋_GB2312"/>
                <w:color w:val="auto"/>
                <w:kern w:val="0"/>
                <w:sz w:val="24"/>
                <w:szCs w:val="21"/>
              </w:rPr>
            </w:pPr>
          </w:p>
        </w:tc>
        <w:tc>
          <w:tcPr>
            <w:tcW w:w="3294" w:type="dxa"/>
            <w:noWrap w:val="0"/>
            <w:vAlign w:val="top"/>
          </w:tcPr>
          <w:p w14:paraId="06312591">
            <w:pPr>
              <w:widowControl/>
              <w:spacing w:line="360" w:lineRule="auto"/>
              <w:jc w:val="left"/>
              <w:rPr>
                <w:rFonts w:hint="eastAsia" w:ascii="宋体" w:hAnsi="宋体" w:eastAsia="宋体" w:cs="仿宋_GB2312"/>
                <w:color w:val="auto"/>
                <w:kern w:val="0"/>
                <w:sz w:val="24"/>
                <w:szCs w:val="21"/>
              </w:rPr>
            </w:pPr>
          </w:p>
        </w:tc>
        <w:tc>
          <w:tcPr>
            <w:tcW w:w="2287" w:type="dxa"/>
            <w:noWrap w:val="0"/>
            <w:vAlign w:val="top"/>
          </w:tcPr>
          <w:p w14:paraId="4EE5407A">
            <w:pPr>
              <w:widowControl/>
              <w:spacing w:line="360" w:lineRule="auto"/>
              <w:jc w:val="left"/>
              <w:rPr>
                <w:rFonts w:hint="eastAsia" w:ascii="宋体" w:hAnsi="宋体" w:eastAsia="宋体" w:cs="仿宋_GB2312"/>
                <w:color w:val="auto"/>
                <w:kern w:val="0"/>
                <w:sz w:val="24"/>
                <w:szCs w:val="21"/>
              </w:rPr>
            </w:pPr>
          </w:p>
        </w:tc>
        <w:tc>
          <w:tcPr>
            <w:tcW w:w="2677" w:type="dxa"/>
            <w:noWrap w:val="0"/>
            <w:vAlign w:val="top"/>
          </w:tcPr>
          <w:p w14:paraId="7891C621">
            <w:pPr>
              <w:widowControl/>
              <w:spacing w:line="360" w:lineRule="auto"/>
              <w:jc w:val="left"/>
              <w:rPr>
                <w:rFonts w:hint="eastAsia" w:ascii="宋体" w:hAnsi="宋体" w:eastAsia="宋体" w:cs="仿宋_GB2312"/>
                <w:color w:val="auto"/>
                <w:kern w:val="0"/>
                <w:sz w:val="24"/>
                <w:szCs w:val="21"/>
              </w:rPr>
            </w:pPr>
          </w:p>
        </w:tc>
      </w:tr>
      <w:tr w14:paraId="2F91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00" w:type="dxa"/>
            <w:noWrap w:val="0"/>
            <w:vAlign w:val="top"/>
          </w:tcPr>
          <w:p w14:paraId="7EA6ADB5">
            <w:pPr>
              <w:widowControl/>
              <w:spacing w:line="360" w:lineRule="auto"/>
              <w:jc w:val="left"/>
              <w:rPr>
                <w:rFonts w:ascii="宋体" w:hAnsi="宋体" w:eastAsia="宋体" w:cs="仿宋_GB2312"/>
                <w:color w:val="auto"/>
                <w:kern w:val="0"/>
                <w:sz w:val="24"/>
                <w:szCs w:val="21"/>
              </w:rPr>
            </w:pPr>
          </w:p>
        </w:tc>
        <w:tc>
          <w:tcPr>
            <w:tcW w:w="3294" w:type="dxa"/>
            <w:noWrap w:val="0"/>
            <w:vAlign w:val="top"/>
          </w:tcPr>
          <w:p w14:paraId="059D1DF4">
            <w:pPr>
              <w:widowControl/>
              <w:spacing w:line="360" w:lineRule="auto"/>
              <w:jc w:val="left"/>
              <w:rPr>
                <w:rFonts w:hint="eastAsia" w:ascii="宋体" w:hAnsi="宋体" w:eastAsia="宋体" w:cs="仿宋_GB2312"/>
                <w:color w:val="auto"/>
                <w:kern w:val="0"/>
                <w:sz w:val="24"/>
                <w:szCs w:val="21"/>
              </w:rPr>
            </w:pPr>
          </w:p>
        </w:tc>
        <w:tc>
          <w:tcPr>
            <w:tcW w:w="2287" w:type="dxa"/>
            <w:noWrap w:val="0"/>
            <w:vAlign w:val="top"/>
          </w:tcPr>
          <w:p w14:paraId="1055FD3C">
            <w:pPr>
              <w:widowControl/>
              <w:spacing w:line="360" w:lineRule="auto"/>
              <w:jc w:val="left"/>
              <w:rPr>
                <w:rFonts w:hint="eastAsia" w:ascii="宋体" w:hAnsi="宋体" w:eastAsia="宋体" w:cs="仿宋_GB2312"/>
                <w:color w:val="auto"/>
                <w:kern w:val="0"/>
                <w:sz w:val="24"/>
                <w:szCs w:val="21"/>
              </w:rPr>
            </w:pPr>
          </w:p>
        </w:tc>
        <w:tc>
          <w:tcPr>
            <w:tcW w:w="2677" w:type="dxa"/>
            <w:noWrap w:val="0"/>
            <w:vAlign w:val="top"/>
          </w:tcPr>
          <w:p w14:paraId="1CDB877E">
            <w:pPr>
              <w:widowControl/>
              <w:spacing w:line="360" w:lineRule="auto"/>
              <w:jc w:val="left"/>
              <w:rPr>
                <w:rFonts w:hint="eastAsia" w:ascii="宋体" w:hAnsi="宋体" w:eastAsia="宋体" w:cs="仿宋_GB2312"/>
                <w:color w:val="auto"/>
                <w:kern w:val="0"/>
                <w:sz w:val="24"/>
                <w:szCs w:val="21"/>
              </w:rPr>
            </w:pPr>
          </w:p>
        </w:tc>
      </w:tr>
    </w:tbl>
    <w:p w14:paraId="50BC316B">
      <w:pPr>
        <w:widowControl/>
        <w:jc w:val="left"/>
        <w:rPr>
          <w:rFonts w:ascii="宋体" w:hAnsi="宋体" w:eastAsia="宋体" w:cs="仿宋_GB2312"/>
          <w:color w:val="auto"/>
          <w:kern w:val="0"/>
          <w:sz w:val="24"/>
          <w:szCs w:val="21"/>
        </w:rPr>
      </w:pPr>
    </w:p>
    <w:p w14:paraId="59D2D1F7">
      <w:pPr>
        <w:keepNext w:val="0"/>
        <w:keepLines w:val="0"/>
        <w:pageBreakBefore w:val="0"/>
        <w:widowControl w:val="0"/>
        <w:numPr>
          <w:ilvl w:val="0"/>
          <w:numId w:val="0"/>
        </w:numPr>
        <w:kinsoku/>
        <w:wordWrap/>
        <w:overflowPunct/>
        <w:topLinePunct w:val="0"/>
        <w:autoSpaceDE/>
        <w:autoSpaceDN/>
        <w:bidi w:val="0"/>
        <w:adjustRightInd/>
        <w:snapToGrid/>
        <w:spacing w:before="162" w:beforeLines="50" w:line="240" w:lineRule="auto"/>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注：</w:t>
      </w:r>
    </w:p>
    <w:p w14:paraId="1C2AE4E1">
      <w:pPr>
        <w:keepNext w:val="0"/>
        <w:keepLines w:val="0"/>
        <w:pageBreakBefore w:val="0"/>
        <w:widowControl w:val="0"/>
        <w:numPr>
          <w:ilvl w:val="0"/>
          <w:numId w:val="0"/>
        </w:numPr>
        <w:kinsoku/>
        <w:wordWrap/>
        <w:overflowPunct/>
        <w:topLinePunct w:val="0"/>
        <w:autoSpaceDE/>
        <w:autoSpaceDN/>
        <w:bidi w:val="0"/>
        <w:adjustRightInd/>
        <w:snapToGrid/>
        <w:spacing w:before="162" w:beforeLines="50" w:line="240" w:lineRule="auto"/>
        <w:jc w:val="both"/>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系数根据广东省工程勘察设计行业协会2019年4月12日印发的《房屋建筑和市政基础设施工程设计收费导则》中所附的《工程勘察设计收费标准》（2002年修订本）计取,专业调整系数暂定为</w:t>
      </w:r>
      <w:r>
        <w:rPr>
          <w:rFonts w:hint="eastAsia" w:ascii="宋体" w:hAnsi="宋体" w:eastAsia="宋体" w:cs="宋体"/>
          <w:color w:val="auto"/>
          <w:kern w:val="0"/>
          <w:sz w:val="24"/>
          <w:u w:val="single"/>
        </w:rPr>
        <w:t>0.9</w:t>
      </w:r>
      <w:r>
        <w:rPr>
          <w:rFonts w:hint="eastAsia" w:ascii="宋体" w:hAnsi="宋体" w:eastAsia="宋体" w:cs="宋体"/>
          <w:color w:val="auto"/>
          <w:kern w:val="0"/>
          <w:sz w:val="24"/>
        </w:rPr>
        <w:t>，工程复杂程度系数暂定为</w:t>
      </w:r>
      <w:r>
        <w:rPr>
          <w:rFonts w:hint="eastAsia" w:ascii="宋体" w:hAnsi="宋体" w:eastAsia="宋体" w:cs="宋体"/>
          <w:color w:val="auto"/>
          <w:kern w:val="0"/>
          <w:sz w:val="24"/>
          <w:u w:val="single"/>
        </w:rPr>
        <w:t>1.15</w:t>
      </w:r>
      <w:r>
        <w:rPr>
          <w:rFonts w:hint="eastAsia" w:ascii="宋体" w:hAnsi="宋体" w:eastAsia="宋体" w:cs="宋体"/>
          <w:color w:val="auto"/>
          <w:kern w:val="0"/>
          <w:sz w:val="24"/>
        </w:rPr>
        <w:t>，附加调整系数暂定为</w:t>
      </w:r>
      <w:r>
        <w:rPr>
          <w:rFonts w:hint="eastAsia" w:ascii="宋体" w:hAnsi="宋体" w:eastAsia="宋体" w:cs="宋体"/>
          <w:color w:val="auto"/>
          <w:kern w:val="0"/>
          <w:sz w:val="24"/>
          <w:u w:val="single"/>
        </w:rPr>
        <w:t>1.1</w:t>
      </w:r>
      <w:r>
        <w:rPr>
          <w:rFonts w:hint="eastAsia" w:ascii="宋体" w:hAnsi="宋体" w:eastAsia="宋体" w:cs="宋体"/>
          <w:color w:val="auto"/>
          <w:kern w:val="0"/>
          <w:sz w:val="24"/>
        </w:rPr>
        <w:t>，最终以区财政局评审为准。</w:t>
      </w:r>
    </w:p>
    <w:p w14:paraId="2AA8A223">
      <w:pPr>
        <w:keepNext w:val="0"/>
        <w:keepLines w:val="0"/>
        <w:pageBreakBefore w:val="0"/>
        <w:widowControl w:val="0"/>
        <w:numPr>
          <w:ilvl w:val="0"/>
          <w:numId w:val="0"/>
        </w:numPr>
        <w:kinsoku/>
        <w:wordWrap/>
        <w:overflowPunct/>
        <w:topLinePunct w:val="0"/>
        <w:autoSpaceDE/>
        <w:autoSpaceDN/>
        <w:bidi w:val="0"/>
        <w:adjustRightInd/>
        <w:snapToGrid/>
        <w:spacing w:before="162" w:beforeLines="50" w:line="240" w:lineRule="auto"/>
        <w:jc w:val="both"/>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设计费限价</w:t>
      </w:r>
      <w:r>
        <w:rPr>
          <w:rFonts w:hint="eastAsia" w:ascii="宋体" w:hAnsi="宋体" w:eastAsia="宋体" w:cs="宋体"/>
          <w:color w:val="auto"/>
          <w:kern w:val="0"/>
          <w:sz w:val="24"/>
          <w:u w:val="single"/>
          <w:lang w:val="en-US" w:eastAsia="zh-CN"/>
        </w:rPr>
        <w:t>287.84</w:t>
      </w:r>
      <w:r>
        <w:rPr>
          <w:rFonts w:hint="eastAsia" w:ascii="宋体" w:hAnsi="宋体" w:eastAsia="宋体" w:cs="宋体"/>
          <w:color w:val="auto"/>
          <w:kern w:val="0"/>
          <w:sz w:val="24"/>
        </w:rPr>
        <w:t>万元（设计费最高投标限价以建安费</w:t>
      </w:r>
      <w:r>
        <w:rPr>
          <w:rFonts w:hint="eastAsia" w:ascii="宋体" w:hAnsi="宋体" w:eastAsia="宋体" w:cs="宋体"/>
          <w:color w:val="auto"/>
          <w:kern w:val="0"/>
          <w:sz w:val="24"/>
          <w:u w:val="single"/>
          <w:lang w:val="en-US" w:eastAsia="zh-CN"/>
        </w:rPr>
        <w:t>10428.45万元</w:t>
      </w:r>
      <w:r>
        <w:rPr>
          <w:rFonts w:hint="eastAsia" w:ascii="宋体" w:hAnsi="宋体" w:eastAsia="宋体" w:cs="宋体"/>
          <w:color w:val="auto"/>
          <w:kern w:val="0"/>
          <w:sz w:val="24"/>
        </w:rPr>
        <w:t>为基准价进行计取，计取后下浮20%，工程设计费最高投标限价为</w:t>
      </w:r>
      <w:r>
        <w:rPr>
          <w:rFonts w:hint="eastAsia" w:ascii="宋体" w:hAnsi="宋体" w:eastAsia="宋体" w:cs="宋体"/>
          <w:color w:val="auto"/>
          <w:kern w:val="0"/>
          <w:sz w:val="24"/>
          <w:u w:val="single"/>
          <w:lang w:val="en-US" w:eastAsia="zh-CN"/>
        </w:rPr>
        <w:t>287.84</w:t>
      </w:r>
      <w:r>
        <w:rPr>
          <w:rFonts w:hint="eastAsia" w:ascii="宋体" w:hAnsi="宋体" w:eastAsia="宋体" w:cs="宋体"/>
          <w:color w:val="auto"/>
          <w:kern w:val="0"/>
          <w:sz w:val="24"/>
        </w:rPr>
        <w:t>万元。</w:t>
      </w:r>
      <w:r>
        <w:rPr>
          <w:rFonts w:hint="eastAsia" w:ascii="宋体" w:hAnsi="宋体" w:eastAsia="宋体" w:cs="宋体"/>
          <w:color w:val="auto"/>
          <w:kern w:val="0"/>
          <w:sz w:val="24"/>
          <w:lang w:eastAsia="zh-CN"/>
        </w:rPr>
        <w:t>）</w:t>
      </w:r>
    </w:p>
    <w:p w14:paraId="66CF54F5">
      <w:pPr>
        <w:keepNext w:val="0"/>
        <w:keepLines w:val="0"/>
        <w:pageBreakBefore w:val="0"/>
        <w:widowControl/>
        <w:numPr>
          <w:ilvl w:val="0"/>
          <w:numId w:val="0"/>
        </w:numPr>
        <w:kinsoku/>
        <w:wordWrap/>
        <w:overflowPunct/>
        <w:topLinePunct w:val="0"/>
        <w:autoSpaceDE/>
        <w:autoSpaceDN/>
        <w:bidi w:val="0"/>
        <w:adjustRightInd/>
        <w:snapToGrid/>
        <w:spacing w:before="162" w:beforeLines="50" w:line="240" w:lineRule="auto"/>
        <w:jc w:val="left"/>
        <w:textAlignment w:val="auto"/>
        <w:rPr>
          <w:rFonts w:ascii="宋体" w:hAnsi="宋体" w:eastAsia="宋体" w:cs="宋体"/>
          <w:color w:val="auto"/>
          <w:kern w:val="0"/>
          <w:sz w:val="24"/>
        </w:rPr>
      </w:pP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设计费报价</w:t>
      </w:r>
      <w:r>
        <w:rPr>
          <w:rFonts w:hint="eastAsia" w:ascii="宋体" w:hAnsi="宋体" w:eastAsia="宋体" w:cs="宋体"/>
          <w:color w:val="auto"/>
          <w:kern w:val="0"/>
          <w:sz w:val="24"/>
          <w:lang w:val="zh-CN"/>
        </w:rPr>
        <w:t>参照</w:t>
      </w:r>
      <w:r>
        <w:rPr>
          <w:rFonts w:hint="eastAsia" w:ascii="宋体" w:hAnsi="宋体" w:eastAsia="宋体" w:cs="宋体"/>
          <w:color w:val="auto"/>
          <w:kern w:val="0"/>
          <w:sz w:val="24"/>
        </w:rPr>
        <w:t>广东省工程勘察设计行业协会2019年4月12日印发的《房屋建筑和市政基础设施工程设计收费导则》中所附的《工程勘察设计收费标准》（2002年修订本）</w:t>
      </w:r>
      <w:r>
        <w:rPr>
          <w:rFonts w:ascii="宋体" w:hAnsi="宋体" w:eastAsia="宋体" w:cs="宋体"/>
          <w:color w:val="auto"/>
          <w:kern w:val="0"/>
          <w:sz w:val="24"/>
        </w:rPr>
        <w:t>的收费标准下浮20%</w:t>
      </w:r>
      <w:r>
        <w:rPr>
          <w:rFonts w:hint="eastAsia" w:ascii="宋体" w:hAnsi="宋体" w:eastAsia="宋体" w:cs="宋体"/>
          <w:color w:val="auto"/>
          <w:kern w:val="0"/>
          <w:sz w:val="24"/>
        </w:rPr>
        <w:t>后再乘以（</w:t>
      </w:r>
      <w:r>
        <w:rPr>
          <w:rFonts w:ascii="宋体" w:hAnsi="宋体" w:eastAsia="宋体" w:cs="宋体"/>
          <w:color w:val="auto"/>
          <w:kern w:val="0"/>
          <w:sz w:val="24"/>
        </w:rPr>
        <w:t>1-投标下浮率）</w:t>
      </w:r>
      <w:r>
        <w:rPr>
          <w:rFonts w:hint="eastAsia" w:ascii="宋体" w:hAnsi="宋体" w:eastAsia="宋体" w:cs="宋体"/>
          <w:color w:val="auto"/>
          <w:kern w:val="0"/>
          <w:sz w:val="24"/>
          <w:lang w:bidi="ar"/>
        </w:rPr>
        <w:t>；工程设计费投标报价</w:t>
      </w:r>
      <w:r>
        <w:rPr>
          <w:rFonts w:hint="eastAsia" w:ascii="宋体" w:hAnsi="宋体" w:eastAsia="宋体" w:cs="宋体"/>
          <w:color w:val="auto"/>
          <w:kern w:val="0"/>
          <w:sz w:val="24"/>
        </w:rPr>
        <w:t>不得超过设计费限价，否则由评标委员作废标处理。</w:t>
      </w:r>
    </w:p>
    <w:p w14:paraId="0956E53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24"/>
        </w:rPr>
      </w:pPr>
      <w:bookmarkStart w:id="0" w:name="_Toc2166_WPSOffice_Level1"/>
      <w:bookmarkStart w:id="1" w:name="_Toc26329_WPSOffice_Level1"/>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本表格不包括岩土工程设计收费、工程勘察收费。</w:t>
      </w:r>
      <w:bookmarkEnd w:id="0"/>
      <w:bookmarkEnd w:id="1"/>
    </w:p>
    <w:p w14:paraId="1DFE15ED">
      <w:pPr>
        <w:widowControl/>
        <w:jc w:val="left"/>
        <w:rPr>
          <w:rFonts w:hint="eastAsia" w:ascii="宋体" w:hAnsi="宋体" w:eastAsia="宋体" w:cs="宋体"/>
          <w:b/>
          <w:bCs/>
          <w:color w:val="auto"/>
          <w:kern w:val="0"/>
          <w:sz w:val="24"/>
        </w:rPr>
      </w:pPr>
      <w:r>
        <w:rPr>
          <w:rFonts w:ascii="宋体" w:hAnsi="宋体" w:eastAsia="宋体" w:cs="宋体"/>
          <w:color w:val="auto"/>
          <w:kern w:val="0"/>
          <w:sz w:val="24"/>
        </w:rPr>
        <w:br w:type="page"/>
      </w:r>
    </w:p>
    <w:p w14:paraId="21338E22">
      <w:pPr>
        <w:widowControl/>
        <w:spacing w:line="40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lang w:eastAsia="zh-CN"/>
        </w:rPr>
        <w:t>番禺区迎星中路（新光快速至番禺大道）改造工程</w:t>
      </w:r>
      <w:r>
        <w:rPr>
          <w:rFonts w:hint="eastAsia" w:ascii="宋体" w:hAnsi="宋体" w:eastAsia="宋体" w:cs="宋体"/>
          <w:b/>
          <w:color w:val="auto"/>
          <w:kern w:val="0"/>
          <w:sz w:val="32"/>
          <w:szCs w:val="32"/>
        </w:rPr>
        <w:t>勘察设计项目</w:t>
      </w:r>
    </w:p>
    <w:p w14:paraId="08A7B2CE">
      <w:pPr>
        <w:widowControl/>
        <w:spacing w:line="400" w:lineRule="exact"/>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勘察费用报价汇总表</w:t>
      </w:r>
    </w:p>
    <w:tbl>
      <w:tblPr>
        <w:tblStyle w:val="9"/>
        <w:tblpPr w:leftFromText="180" w:rightFromText="180" w:vertAnchor="text" w:horzAnchor="page" w:tblpXSpec="center" w:tblpY="249"/>
        <w:tblOverlap w:val="never"/>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531"/>
        <w:gridCol w:w="894"/>
        <w:gridCol w:w="816"/>
        <w:gridCol w:w="456"/>
        <w:gridCol w:w="1056"/>
        <w:gridCol w:w="1416"/>
        <w:gridCol w:w="1416"/>
        <w:gridCol w:w="1675"/>
      </w:tblGrid>
      <w:tr w14:paraId="0F41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95" w:type="dxa"/>
            <w:vMerge w:val="restart"/>
            <w:noWrap w:val="0"/>
            <w:vAlign w:val="top"/>
          </w:tcPr>
          <w:p w14:paraId="4DEBB617">
            <w:pPr>
              <w:widowControl/>
              <w:jc w:val="left"/>
              <w:rPr>
                <w:rFonts w:ascii="宋体" w:hAnsi="宋体" w:eastAsia="宋体" w:cs="宋体"/>
                <w:b/>
                <w:bCs/>
                <w:color w:val="auto"/>
                <w:kern w:val="0"/>
                <w:sz w:val="24"/>
              </w:rPr>
            </w:pPr>
            <w:r>
              <w:rPr>
                <w:rFonts w:ascii="宋体" w:hAnsi="宋体" w:eastAsia="宋体" w:cs="宋体"/>
                <w:b/>
                <w:bCs/>
                <w:color w:val="auto"/>
                <w:kern w:val="0"/>
                <w:sz w:val="24"/>
              </w:rPr>
              <w:t>序号</w:t>
            </w:r>
          </w:p>
        </w:tc>
        <w:tc>
          <w:tcPr>
            <w:tcW w:w="1425" w:type="dxa"/>
            <w:gridSpan w:val="2"/>
            <w:vMerge w:val="restart"/>
            <w:noWrap w:val="0"/>
            <w:vAlign w:val="top"/>
          </w:tcPr>
          <w:p w14:paraId="7727D299">
            <w:pPr>
              <w:widowControl/>
              <w:jc w:val="center"/>
              <w:rPr>
                <w:rFonts w:ascii="宋体" w:hAnsi="宋体" w:eastAsia="宋体" w:cs="宋体"/>
                <w:b/>
                <w:bCs/>
                <w:color w:val="auto"/>
                <w:kern w:val="0"/>
                <w:sz w:val="24"/>
              </w:rPr>
            </w:pPr>
            <w:r>
              <w:rPr>
                <w:rFonts w:ascii="宋体" w:hAnsi="宋体" w:eastAsia="宋体" w:cs="宋体"/>
                <w:b/>
                <w:bCs/>
                <w:color w:val="auto"/>
                <w:kern w:val="0"/>
                <w:sz w:val="24"/>
              </w:rPr>
              <w:t>费用名称</w:t>
            </w:r>
          </w:p>
        </w:tc>
        <w:tc>
          <w:tcPr>
            <w:tcW w:w="3744" w:type="dxa"/>
            <w:gridSpan w:val="4"/>
            <w:noWrap w:val="0"/>
            <w:vAlign w:val="top"/>
          </w:tcPr>
          <w:p w14:paraId="1BC1D6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bCs/>
                <w:color w:val="auto"/>
                <w:kern w:val="0"/>
                <w:sz w:val="24"/>
              </w:rPr>
            </w:pPr>
            <w:r>
              <w:rPr>
                <w:rFonts w:ascii="宋体" w:hAnsi="宋体" w:eastAsia="宋体" w:cs="宋体"/>
                <w:b/>
                <w:bCs/>
                <w:color w:val="auto"/>
                <w:kern w:val="0"/>
                <w:sz w:val="24"/>
              </w:rPr>
              <w:t>费</w:t>
            </w:r>
            <w:r>
              <w:rPr>
                <w:rFonts w:hint="eastAsia" w:ascii="宋体" w:hAnsi="宋体" w:eastAsia="宋体" w:cs="宋体"/>
                <w:b/>
                <w:bCs/>
                <w:color w:val="auto"/>
                <w:kern w:val="0"/>
                <w:sz w:val="24"/>
              </w:rPr>
              <w:t>用</w:t>
            </w:r>
            <w:r>
              <w:rPr>
                <w:rFonts w:ascii="宋体" w:hAnsi="宋体" w:eastAsia="宋体" w:cs="宋体"/>
                <w:b/>
                <w:bCs/>
                <w:color w:val="auto"/>
                <w:kern w:val="0"/>
                <w:sz w:val="24"/>
              </w:rPr>
              <w:t>组成</w:t>
            </w:r>
          </w:p>
        </w:tc>
        <w:tc>
          <w:tcPr>
            <w:tcW w:w="1416" w:type="dxa"/>
            <w:vMerge w:val="restart"/>
            <w:noWrap w:val="0"/>
            <w:vAlign w:val="top"/>
          </w:tcPr>
          <w:p w14:paraId="0C7FCE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b/>
                <w:bCs/>
                <w:color w:val="auto"/>
                <w:kern w:val="0"/>
                <w:sz w:val="24"/>
              </w:rPr>
            </w:pPr>
            <w:r>
              <w:rPr>
                <w:rFonts w:hint="eastAsia" w:ascii="宋体" w:hAnsi="宋体" w:eastAsia="宋体" w:cs="宋体"/>
                <w:b/>
                <w:bCs/>
                <w:color w:val="auto"/>
                <w:kern w:val="0"/>
                <w:sz w:val="24"/>
              </w:rPr>
              <w:t>金额</w:t>
            </w:r>
          </w:p>
          <w:p w14:paraId="7E3FB79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bCs/>
                <w:color w:val="auto"/>
                <w:kern w:val="0"/>
                <w:sz w:val="24"/>
              </w:rPr>
            </w:pPr>
            <w:r>
              <w:rPr>
                <w:rFonts w:ascii="宋体" w:hAnsi="宋体" w:eastAsia="宋体" w:cs="宋体"/>
                <w:b/>
                <w:bCs/>
                <w:color w:val="auto"/>
                <w:kern w:val="0"/>
                <w:sz w:val="24"/>
              </w:rPr>
              <w:t>（元）</w:t>
            </w:r>
          </w:p>
        </w:tc>
        <w:tc>
          <w:tcPr>
            <w:tcW w:w="1675" w:type="dxa"/>
            <w:vMerge w:val="restart"/>
            <w:noWrap w:val="0"/>
            <w:vAlign w:val="top"/>
          </w:tcPr>
          <w:p w14:paraId="53EEBD5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b/>
                <w:bCs/>
                <w:color w:val="auto"/>
                <w:kern w:val="0"/>
                <w:sz w:val="24"/>
              </w:rPr>
            </w:pPr>
            <w:r>
              <w:rPr>
                <w:rFonts w:ascii="宋体" w:hAnsi="宋体" w:eastAsia="宋体" w:cs="宋体"/>
                <w:b/>
                <w:bCs/>
                <w:color w:val="auto"/>
                <w:kern w:val="0"/>
                <w:sz w:val="24"/>
              </w:rPr>
              <w:t>备注</w:t>
            </w:r>
          </w:p>
        </w:tc>
      </w:tr>
      <w:tr w14:paraId="796A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95" w:type="dxa"/>
            <w:vMerge w:val="continue"/>
            <w:noWrap w:val="0"/>
            <w:vAlign w:val="top"/>
          </w:tcPr>
          <w:p w14:paraId="78728CE2">
            <w:pPr>
              <w:widowControl/>
              <w:jc w:val="center"/>
              <w:rPr>
                <w:rFonts w:ascii="宋体" w:hAnsi="宋体" w:eastAsia="宋体" w:cs="宋体"/>
                <w:color w:val="auto"/>
                <w:kern w:val="0"/>
                <w:sz w:val="24"/>
              </w:rPr>
            </w:pPr>
          </w:p>
        </w:tc>
        <w:tc>
          <w:tcPr>
            <w:tcW w:w="1425" w:type="dxa"/>
            <w:gridSpan w:val="2"/>
            <w:vMerge w:val="continue"/>
            <w:noWrap w:val="0"/>
            <w:vAlign w:val="top"/>
          </w:tcPr>
          <w:p w14:paraId="62065D5E">
            <w:pPr>
              <w:widowControl/>
              <w:jc w:val="center"/>
              <w:rPr>
                <w:rFonts w:ascii="宋体" w:hAnsi="宋体" w:eastAsia="宋体" w:cs="宋体"/>
                <w:color w:val="auto"/>
                <w:kern w:val="0"/>
                <w:sz w:val="24"/>
              </w:rPr>
            </w:pPr>
          </w:p>
        </w:tc>
        <w:tc>
          <w:tcPr>
            <w:tcW w:w="816" w:type="dxa"/>
            <w:noWrap w:val="0"/>
            <w:vAlign w:val="center"/>
          </w:tcPr>
          <w:p w14:paraId="568125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宋体" w:hAnsi="宋体" w:eastAsia="宋体" w:cs="宋体"/>
                <w:color w:val="auto"/>
                <w:kern w:val="0"/>
                <w:sz w:val="24"/>
              </w:rPr>
            </w:pPr>
            <w:r>
              <w:rPr>
                <w:rFonts w:hint="eastAsia" w:ascii="宋体" w:hAnsi="宋体" w:eastAsia="宋体" w:cs="宋体"/>
                <w:b/>
                <w:bCs/>
                <w:i w:val="0"/>
                <w:iCs w:val="0"/>
                <w:color w:val="auto"/>
                <w:kern w:val="0"/>
                <w:sz w:val="21"/>
                <w:szCs w:val="21"/>
                <w:u w:val="none"/>
                <w:lang w:val="en-US" w:eastAsia="zh-CN" w:bidi="ar"/>
              </w:rPr>
              <w:t>估算数量</w:t>
            </w:r>
          </w:p>
        </w:tc>
        <w:tc>
          <w:tcPr>
            <w:tcW w:w="456" w:type="dxa"/>
            <w:noWrap w:val="0"/>
            <w:vAlign w:val="center"/>
          </w:tcPr>
          <w:p w14:paraId="77D0BC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宋体" w:hAnsi="宋体" w:eastAsia="宋体" w:cs="宋体"/>
                <w:color w:val="auto"/>
                <w:kern w:val="0"/>
                <w:sz w:val="24"/>
              </w:rPr>
            </w:pPr>
            <w:r>
              <w:rPr>
                <w:rFonts w:hint="eastAsia" w:ascii="宋体" w:hAnsi="宋体" w:eastAsia="宋体" w:cs="宋体"/>
                <w:b/>
                <w:bCs/>
                <w:i w:val="0"/>
                <w:iCs w:val="0"/>
                <w:color w:val="auto"/>
                <w:kern w:val="0"/>
                <w:sz w:val="21"/>
                <w:szCs w:val="21"/>
                <w:u w:val="none"/>
                <w:lang w:val="en-US" w:eastAsia="zh-CN" w:bidi="ar"/>
              </w:rPr>
              <w:t>单位</w:t>
            </w:r>
          </w:p>
        </w:tc>
        <w:tc>
          <w:tcPr>
            <w:tcW w:w="1056" w:type="dxa"/>
            <w:noWrap w:val="0"/>
            <w:vAlign w:val="center"/>
          </w:tcPr>
          <w:p w14:paraId="62F266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宋体" w:hAnsi="宋体" w:eastAsia="宋体" w:cs="宋体"/>
                <w:color w:val="auto"/>
                <w:kern w:val="0"/>
                <w:sz w:val="24"/>
              </w:rPr>
            </w:pPr>
            <w:r>
              <w:rPr>
                <w:rFonts w:hint="eastAsia" w:ascii="宋体" w:hAnsi="宋体" w:eastAsia="宋体" w:cs="宋体"/>
                <w:b/>
                <w:bCs/>
                <w:i w:val="0"/>
                <w:iCs w:val="0"/>
                <w:color w:val="auto"/>
                <w:kern w:val="0"/>
                <w:sz w:val="21"/>
                <w:szCs w:val="21"/>
                <w:u w:val="none"/>
                <w:lang w:val="en-US" w:eastAsia="zh-CN" w:bidi="ar"/>
              </w:rPr>
              <w:t>综合单价（元）</w:t>
            </w:r>
          </w:p>
        </w:tc>
        <w:tc>
          <w:tcPr>
            <w:tcW w:w="1416" w:type="dxa"/>
            <w:noWrap w:val="0"/>
            <w:vAlign w:val="center"/>
          </w:tcPr>
          <w:p w14:paraId="2FD8E4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ascii="宋体" w:hAnsi="宋体" w:eastAsia="宋体" w:cs="宋体"/>
                <w:color w:val="auto"/>
                <w:kern w:val="0"/>
                <w:sz w:val="24"/>
              </w:rPr>
            </w:pPr>
            <w:r>
              <w:rPr>
                <w:rFonts w:hint="eastAsia" w:ascii="宋体" w:hAnsi="宋体" w:eastAsia="宋体" w:cs="宋体"/>
                <w:b/>
                <w:bCs/>
                <w:i w:val="0"/>
                <w:iCs w:val="0"/>
                <w:color w:val="auto"/>
                <w:kern w:val="0"/>
                <w:sz w:val="21"/>
                <w:szCs w:val="21"/>
                <w:u w:val="none"/>
                <w:lang w:val="en-US" w:eastAsia="zh-CN" w:bidi="ar"/>
              </w:rPr>
              <w:t>小计</w:t>
            </w:r>
            <w:r>
              <w:rPr>
                <w:rFonts w:hint="eastAsia" w:ascii="宋体" w:hAnsi="宋体" w:eastAsia="宋体" w:cs="宋体"/>
                <w:b/>
                <w:bCs/>
                <w:i w:val="0"/>
                <w:iCs w:val="0"/>
                <w:color w:val="auto"/>
                <w:kern w:val="0"/>
                <w:sz w:val="21"/>
                <w:szCs w:val="21"/>
                <w:u w:val="none"/>
                <w:lang w:val="en-US" w:eastAsia="zh-CN" w:bidi="ar"/>
              </w:rPr>
              <w:br w:type="textWrapping"/>
            </w:r>
            <w:r>
              <w:rPr>
                <w:rFonts w:hint="eastAsia" w:ascii="宋体" w:hAnsi="宋体" w:eastAsia="宋体" w:cs="宋体"/>
                <w:b/>
                <w:bCs/>
                <w:i w:val="0"/>
                <w:iCs w:val="0"/>
                <w:color w:val="auto"/>
                <w:kern w:val="0"/>
                <w:sz w:val="21"/>
                <w:szCs w:val="21"/>
                <w:u w:val="none"/>
                <w:lang w:val="en-US" w:eastAsia="zh-CN" w:bidi="ar"/>
              </w:rPr>
              <w:t>（元）</w:t>
            </w:r>
          </w:p>
        </w:tc>
        <w:tc>
          <w:tcPr>
            <w:tcW w:w="1416" w:type="dxa"/>
            <w:vMerge w:val="continue"/>
            <w:noWrap w:val="0"/>
            <w:vAlign w:val="top"/>
          </w:tcPr>
          <w:p w14:paraId="3A17CF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auto"/>
                <w:kern w:val="0"/>
                <w:sz w:val="24"/>
              </w:rPr>
            </w:pPr>
          </w:p>
        </w:tc>
        <w:tc>
          <w:tcPr>
            <w:tcW w:w="1675" w:type="dxa"/>
            <w:vMerge w:val="continue"/>
            <w:noWrap w:val="0"/>
            <w:vAlign w:val="top"/>
          </w:tcPr>
          <w:p w14:paraId="60A44E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eastAsia="宋体" w:cs="宋体"/>
                <w:color w:val="auto"/>
                <w:kern w:val="0"/>
                <w:sz w:val="24"/>
              </w:rPr>
            </w:pPr>
          </w:p>
        </w:tc>
      </w:tr>
      <w:tr w14:paraId="1C37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noWrap w:val="0"/>
            <w:vAlign w:val="center"/>
          </w:tcPr>
          <w:p w14:paraId="18F50CE7">
            <w:pPr>
              <w:keepNext w:val="0"/>
              <w:keepLines w:val="0"/>
              <w:pageBreakBefore w:val="0"/>
              <w:kinsoku/>
              <w:wordWrap/>
              <w:overflowPunct/>
              <w:topLinePunct w:val="0"/>
              <w:autoSpaceDE/>
              <w:autoSpaceDN/>
              <w:bidi w:val="0"/>
              <w:adjustRightInd/>
              <w:snapToGrid/>
              <w:spacing w:line="29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1</w:t>
            </w:r>
          </w:p>
        </w:tc>
        <w:tc>
          <w:tcPr>
            <w:tcW w:w="1425" w:type="dxa"/>
            <w:gridSpan w:val="2"/>
            <w:noWrap w:val="0"/>
            <w:vAlign w:val="center"/>
          </w:tcPr>
          <w:p w14:paraId="43BE013F">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工程岩土勘察费</w:t>
            </w:r>
          </w:p>
        </w:tc>
        <w:tc>
          <w:tcPr>
            <w:tcW w:w="816" w:type="dxa"/>
            <w:noWrap w:val="0"/>
            <w:vAlign w:val="center"/>
          </w:tcPr>
          <w:p w14:paraId="2123FE20">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456" w:type="dxa"/>
            <w:noWrap w:val="0"/>
            <w:vAlign w:val="center"/>
          </w:tcPr>
          <w:p w14:paraId="6C872812">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056" w:type="dxa"/>
            <w:noWrap w:val="0"/>
            <w:vAlign w:val="center"/>
          </w:tcPr>
          <w:p w14:paraId="13430BF2">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416" w:type="dxa"/>
            <w:noWrap w:val="0"/>
            <w:vAlign w:val="center"/>
          </w:tcPr>
          <w:p w14:paraId="2A91AF64">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416" w:type="dxa"/>
            <w:noWrap w:val="0"/>
            <w:vAlign w:val="center"/>
          </w:tcPr>
          <w:p w14:paraId="57291883">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675" w:type="dxa"/>
            <w:noWrap w:val="0"/>
            <w:vAlign w:val="center"/>
          </w:tcPr>
          <w:p w14:paraId="668B0C1D">
            <w:pPr>
              <w:keepNext w:val="0"/>
              <w:keepLines w:val="0"/>
              <w:pageBreakBefore w:val="0"/>
              <w:kinsoku/>
              <w:wordWrap/>
              <w:overflowPunct/>
              <w:topLinePunct w:val="0"/>
              <w:autoSpaceDE/>
              <w:autoSpaceDN/>
              <w:bidi w:val="0"/>
              <w:adjustRightInd/>
              <w:snapToGrid/>
              <w:spacing w:line="29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在合同实施期间岩土工程勘察费用按实际完成工程量调整，但费率浮动幅度不变。</w:t>
            </w:r>
          </w:p>
        </w:tc>
      </w:tr>
      <w:tr w14:paraId="19FA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5" w:type="dxa"/>
            <w:vMerge w:val="restart"/>
            <w:noWrap w:val="0"/>
            <w:vAlign w:val="center"/>
          </w:tcPr>
          <w:p w14:paraId="0461D243">
            <w:pPr>
              <w:keepNext w:val="0"/>
              <w:keepLines w:val="0"/>
              <w:pageBreakBefore w:val="0"/>
              <w:kinsoku/>
              <w:wordWrap/>
              <w:overflowPunct/>
              <w:topLinePunct w:val="0"/>
              <w:autoSpaceDE/>
              <w:autoSpaceDN/>
              <w:bidi w:val="0"/>
              <w:adjustRightInd/>
              <w:snapToGrid/>
              <w:spacing w:line="29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2</w:t>
            </w:r>
          </w:p>
        </w:tc>
        <w:tc>
          <w:tcPr>
            <w:tcW w:w="531" w:type="dxa"/>
            <w:vMerge w:val="restart"/>
            <w:noWrap w:val="0"/>
            <w:vAlign w:val="center"/>
          </w:tcPr>
          <w:p w14:paraId="69B148E8">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工程定测</w:t>
            </w:r>
          </w:p>
        </w:tc>
        <w:tc>
          <w:tcPr>
            <w:tcW w:w="894" w:type="dxa"/>
            <w:noWrap w:val="0"/>
            <w:vAlign w:val="center"/>
          </w:tcPr>
          <w:p w14:paraId="6DEF88F4">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highlight w:val="none"/>
                <w:u w:val="none"/>
                <w:lang w:val="en-US" w:eastAsia="zh-CN" w:bidi="ar"/>
              </w:rPr>
              <w:t>定测纵断面测量1：500</w:t>
            </w:r>
          </w:p>
        </w:tc>
        <w:tc>
          <w:tcPr>
            <w:tcW w:w="816" w:type="dxa"/>
            <w:noWrap w:val="0"/>
            <w:vAlign w:val="center"/>
          </w:tcPr>
          <w:p w14:paraId="7A010A3F">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456" w:type="dxa"/>
            <w:noWrap w:val="0"/>
            <w:vAlign w:val="center"/>
          </w:tcPr>
          <w:p w14:paraId="1A4C32F8">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056" w:type="dxa"/>
            <w:noWrap w:val="0"/>
            <w:vAlign w:val="center"/>
          </w:tcPr>
          <w:p w14:paraId="61F582B0">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416" w:type="dxa"/>
            <w:noWrap w:val="0"/>
            <w:vAlign w:val="center"/>
          </w:tcPr>
          <w:p w14:paraId="1727FBC7">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416" w:type="dxa"/>
            <w:vMerge w:val="restart"/>
            <w:noWrap w:val="0"/>
            <w:vAlign w:val="center"/>
          </w:tcPr>
          <w:p w14:paraId="1768049F">
            <w:pPr>
              <w:keepNext w:val="0"/>
              <w:keepLines w:val="0"/>
              <w:pageBreakBefore w:val="0"/>
              <w:widowControl/>
              <w:suppressLineNumbers w:val="0"/>
              <w:kinsoku/>
              <w:wordWrap/>
              <w:overflowPunct/>
              <w:topLinePunct w:val="0"/>
              <w:autoSpaceDE/>
              <w:autoSpaceDN/>
              <w:bidi w:val="0"/>
              <w:adjustRightInd/>
              <w:snapToGrid/>
              <w:spacing w:line="290" w:lineRule="exact"/>
              <w:jc w:val="right"/>
              <w:textAlignment w:val="center"/>
              <w:rPr>
                <w:rFonts w:hint="eastAsia" w:ascii="宋体" w:hAnsi="宋体" w:eastAsia="宋体" w:cs="宋体"/>
                <w:color w:val="auto"/>
                <w:kern w:val="0"/>
                <w:sz w:val="24"/>
                <w:szCs w:val="24"/>
              </w:rPr>
            </w:pPr>
          </w:p>
        </w:tc>
        <w:tc>
          <w:tcPr>
            <w:tcW w:w="1675" w:type="dxa"/>
            <w:vMerge w:val="restart"/>
            <w:noWrap w:val="0"/>
            <w:vAlign w:val="center"/>
          </w:tcPr>
          <w:p w14:paraId="1CACF3C4">
            <w:pPr>
              <w:keepNext w:val="0"/>
              <w:keepLines w:val="0"/>
              <w:pageBreakBefore w:val="0"/>
              <w:kinsoku/>
              <w:wordWrap/>
              <w:overflowPunct/>
              <w:topLinePunct w:val="0"/>
              <w:autoSpaceDE/>
              <w:autoSpaceDN/>
              <w:bidi w:val="0"/>
              <w:adjustRightInd/>
              <w:snapToGrid/>
              <w:spacing w:line="290" w:lineRule="exact"/>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同一管沟，相同种类的管线只按延长公里计费一次；同一管沟，不同种类的管线，可分别计费。</w:t>
            </w:r>
          </w:p>
        </w:tc>
      </w:tr>
      <w:tr w14:paraId="53D3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5" w:type="dxa"/>
            <w:vMerge w:val="continue"/>
            <w:noWrap w:val="0"/>
            <w:vAlign w:val="center"/>
          </w:tcPr>
          <w:p w14:paraId="7EE8B285">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p>
        </w:tc>
        <w:tc>
          <w:tcPr>
            <w:tcW w:w="531" w:type="dxa"/>
            <w:vMerge w:val="continue"/>
            <w:noWrap w:val="0"/>
            <w:vAlign w:val="center"/>
          </w:tcPr>
          <w:p w14:paraId="364D427E">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p>
        </w:tc>
        <w:tc>
          <w:tcPr>
            <w:tcW w:w="894" w:type="dxa"/>
            <w:noWrap w:val="0"/>
            <w:vAlign w:val="center"/>
          </w:tcPr>
          <w:p w14:paraId="34857D67">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highlight w:val="none"/>
                <w:u w:val="none"/>
                <w:lang w:val="en-US" w:eastAsia="zh-CN" w:bidi="ar"/>
              </w:rPr>
              <w:t>定测中桩施放</w:t>
            </w:r>
          </w:p>
        </w:tc>
        <w:tc>
          <w:tcPr>
            <w:tcW w:w="816" w:type="dxa"/>
            <w:noWrap w:val="0"/>
            <w:vAlign w:val="center"/>
          </w:tcPr>
          <w:p w14:paraId="7BA0E37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456" w:type="dxa"/>
            <w:noWrap w:val="0"/>
            <w:vAlign w:val="center"/>
          </w:tcPr>
          <w:p w14:paraId="64539FAB">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056" w:type="dxa"/>
            <w:noWrap w:val="0"/>
            <w:vAlign w:val="center"/>
          </w:tcPr>
          <w:p w14:paraId="707AD7F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416" w:type="dxa"/>
            <w:noWrap w:val="0"/>
            <w:vAlign w:val="center"/>
          </w:tcPr>
          <w:p w14:paraId="2A59AB97">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416" w:type="dxa"/>
            <w:vMerge w:val="continue"/>
            <w:noWrap w:val="0"/>
            <w:vAlign w:val="center"/>
          </w:tcPr>
          <w:p w14:paraId="371D238F">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p>
        </w:tc>
        <w:tc>
          <w:tcPr>
            <w:tcW w:w="1675" w:type="dxa"/>
            <w:vMerge w:val="continue"/>
            <w:noWrap w:val="0"/>
            <w:vAlign w:val="center"/>
          </w:tcPr>
          <w:p w14:paraId="77A04668">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p>
        </w:tc>
      </w:tr>
      <w:tr w14:paraId="2F9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5" w:type="dxa"/>
            <w:vMerge w:val="continue"/>
            <w:noWrap w:val="0"/>
            <w:vAlign w:val="center"/>
          </w:tcPr>
          <w:p w14:paraId="51BABEFA">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p>
        </w:tc>
        <w:tc>
          <w:tcPr>
            <w:tcW w:w="531" w:type="dxa"/>
            <w:vMerge w:val="continue"/>
            <w:noWrap w:val="0"/>
            <w:vAlign w:val="center"/>
          </w:tcPr>
          <w:p w14:paraId="62B54E82">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p>
        </w:tc>
        <w:tc>
          <w:tcPr>
            <w:tcW w:w="894" w:type="dxa"/>
            <w:noWrap w:val="0"/>
            <w:vAlign w:val="center"/>
          </w:tcPr>
          <w:p w14:paraId="71706355">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color w:val="auto"/>
                <w:kern w:val="0"/>
                <w:sz w:val="24"/>
                <w:szCs w:val="24"/>
              </w:rPr>
            </w:pPr>
            <w:r>
              <w:rPr>
                <w:rFonts w:hint="eastAsia" w:ascii="宋体" w:hAnsi="宋体" w:eastAsia="宋体" w:cs="宋体"/>
                <w:i w:val="0"/>
                <w:iCs w:val="0"/>
                <w:color w:val="auto"/>
                <w:kern w:val="0"/>
                <w:sz w:val="24"/>
                <w:szCs w:val="24"/>
                <w:highlight w:val="none"/>
                <w:u w:val="none"/>
                <w:lang w:val="en-US" w:eastAsia="zh-CN" w:bidi="ar"/>
              </w:rPr>
              <w:t>定测横断面测量1：200</w:t>
            </w:r>
          </w:p>
        </w:tc>
        <w:tc>
          <w:tcPr>
            <w:tcW w:w="816" w:type="dxa"/>
            <w:noWrap w:val="0"/>
            <w:vAlign w:val="center"/>
          </w:tcPr>
          <w:p w14:paraId="0AF2A17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456" w:type="dxa"/>
            <w:noWrap w:val="0"/>
            <w:vAlign w:val="center"/>
          </w:tcPr>
          <w:p w14:paraId="07FE783C">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056" w:type="dxa"/>
            <w:noWrap w:val="0"/>
            <w:vAlign w:val="center"/>
          </w:tcPr>
          <w:p w14:paraId="54A1535A">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416" w:type="dxa"/>
            <w:noWrap w:val="0"/>
            <w:vAlign w:val="center"/>
          </w:tcPr>
          <w:p w14:paraId="1618BE91">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color w:val="auto"/>
                <w:kern w:val="0"/>
                <w:sz w:val="24"/>
                <w:szCs w:val="24"/>
              </w:rPr>
            </w:pPr>
          </w:p>
        </w:tc>
        <w:tc>
          <w:tcPr>
            <w:tcW w:w="1416" w:type="dxa"/>
            <w:vMerge w:val="continue"/>
            <w:noWrap w:val="0"/>
            <w:vAlign w:val="center"/>
          </w:tcPr>
          <w:p w14:paraId="0534BC0E">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p>
        </w:tc>
        <w:tc>
          <w:tcPr>
            <w:tcW w:w="1675" w:type="dxa"/>
            <w:vMerge w:val="continue"/>
            <w:noWrap w:val="0"/>
            <w:vAlign w:val="center"/>
          </w:tcPr>
          <w:p w14:paraId="0A843754">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p>
        </w:tc>
      </w:tr>
      <w:tr w14:paraId="44FA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755" w:type="dxa"/>
            <w:gridSpan w:val="9"/>
            <w:noWrap w:val="0"/>
            <w:vAlign w:val="center"/>
          </w:tcPr>
          <w:p w14:paraId="7CD08BE9">
            <w:pPr>
              <w:keepNext w:val="0"/>
              <w:keepLines w:val="0"/>
              <w:pageBreakBefore w:val="0"/>
              <w:kinsoku/>
              <w:wordWrap/>
              <w:overflowPunct/>
              <w:topLinePunct w:val="0"/>
              <w:autoSpaceDE/>
              <w:autoSpaceDN/>
              <w:bidi w:val="0"/>
              <w:adjustRightInd/>
              <w:snapToGrid/>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按《房屋建筑和市政基础设施工程设计收费导则》中所附的《工程勘察设计收费标准》（2002年修订本）的收费标准费用合计：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1421F3A">
            <w:pPr>
              <w:keepNext w:val="0"/>
              <w:keepLines w:val="0"/>
              <w:pageBreakBefore w:val="0"/>
              <w:kinsoku/>
              <w:wordWrap/>
              <w:overflowPunct/>
              <w:topLinePunct w:val="0"/>
              <w:autoSpaceDE/>
              <w:autoSpaceDN/>
              <w:bidi w:val="0"/>
              <w:adjustRightInd/>
              <w:snapToGrid/>
              <w:spacing w:line="290" w:lineRule="exact"/>
              <w:rPr>
                <w:rFonts w:hint="eastAsia" w:ascii="宋体" w:hAnsi="宋体" w:eastAsia="宋体" w:cs="宋体"/>
                <w:b/>
                <w:bCs/>
                <w:color w:val="auto"/>
                <w:kern w:val="0"/>
                <w:sz w:val="24"/>
                <w:szCs w:val="24"/>
              </w:rPr>
            </w:pPr>
            <w:r>
              <w:rPr>
                <w:rFonts w:hint="eastAsia" w:ascii="宋体" w:hAnsi="宋体" w:eastAsia="宋体" w:cs="宋体"/>
                <w:bCs/>
                <w:color w:val="auto"/>
                <w:sz w:val="24"/>
                <w:szCs w:val="24"/>
                <w:highlight w:val="none"/>
              </w:rPr>
              <w:t>按收费标准下浮20%：</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1D80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664" w:type="dxa"/>
            <w:gridSpan w:val="7"/>
            <w:noWrap w:val="0"/>
            <w:vAlign w:val="center"/>
          </w:tcPr>
          <w:p w14:paraId="263156BE">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勘察费投标下浮率</w:t>
            </w:r>
          </w:p>
        </w:tc>
        <w:tc>
          <w:tcPr>
            <w:tcW w:w="3091" w:type="dxa"/>
            <w:gridSpan w:val="2"/>
            <w:noWrap w:val="0"/>
            <w:vAlign w:val="center"/>
          </w:tcPr>
          <w:p w14:paraId="10B446FE">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2B0E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664" w:type="dxa"/>
            <w:gridSpan w:val="7"/>
            <w:noWrap w:val="0"/>
            <w:vAlign w:val="center"/>
          </w:tcPr>
          <w:p w14:paraId="2011B18E">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工程勘察费报</w:t>
            </w:r>
            <w:r>
              <w:rPr>
                <w:rFonts w:hint="eastAsia" w:ascii="宋体" w:hAnsi="宋体" w:eastAsia="宋体" w:cs="宋体"/>
                <w:snapToGrid w:val="0"/>
                <w:color w:val="auto"/>
                <w:spacing w:val="4"/>
                <w:sz w:val="24"/>
                <w:szCs w:val="24"/>
                <w:highlight w:val="none"/>
              </w:rPr>
              <w:t>价</w:t>
            </w:r>
          </w:p>
        </w:tc>
        <w:tc>
          <w:tcPr>
            <w:tcW w:w="3091" w:type="dxa"/>
            <w:gridSpan w:val="2"/>
            <w:noWrap w:val="0"/>
            <w:vAlign w:val="center"/>
          </w:tcPr>
          <w:p w14:paraId="2926254F">
            <w:pPr>
              <w:keepNext w:val="0"/>
              <w:keepLines w:val="0"/>
              <w:pageBreakBefore w:val="0"/>
              <w:kinsoku/>
              <w:wordWrap/>
              <w:overflowPunct/>
              <w:topLinePunct w:val="0"/>
              <w:autoSpaceDE/>
              <w:autoSpaceDN/>
              <w:bidi w:val="0"/>
              <w:adjustRightInd/>
              <w:snapToGrid/>
              <w:spacing w:line="290" w:lineRule="exact"/>
              <w:jc w:val="center"/>
              <w:rPr>
                <w:rFonts w:hint="eastAsia" w:ascii="宋体" w:hAnsi="宋体" w:eastAsia="宋体" w:cs="宋体"/>
                <w:b/>
                <w:bCs/>
                <w:color w:val="auto"/>
                <w:kern w:val="0"/>
                <w:sz w:val="24"/>
                <w:szCs w:val="24"/>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元</w:t>
            </w:r>
          </w:p>
        </w:tc>
      </w:tr>
    </w:tbl>
    <w:p w14:paraId="4471B6A4">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color w:val="auto"/>
          <w:kern w:val="0"/>
          <w:sz w:val="24"/>
          <w:u w:val="single"/>
        </w:rPr>
      </w:pPr>
    </w:p>
    <w:p w14:paraId="4D17190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 xml:space="preserve">注： </w:t>
      </w:r>
    </w:p>
    <w:p w14:paraId="6411BA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1</w:t>
      </w:r>
      <w:r>
        <w:rPr>
          <w:rFonts w:hint="eastAsia" w:ascii="宋体" w:hAnsi="宋体" w:eastAsia="宋体" w:cs="宋体"/>
          <w:color w:val="auto"/>
          <w:kern w:val="0"/>
          <w:sz w:val="24"/>
          <w:szCs w:val="21"/>
          <w:lang w:eastAsia="zh-CN"/>
        </w:rPr>
        <w:t>、</w:t>
      </w:r>
      <w:r>
        <w:rPr>
          <w:rFonts w:hint="eastAsia" w:ascii="宋体" w:hAnsi="宋体" w:eastAsia="宋体" w:cs="宋体"/>
          <w:color w:val="auto"/>
          <w:kern w:val="0"/>
          <w:sz w:val="24"/>
        </w:rPr>
        <w:t>勘察费投标报价按广东省工程勘察设计行业协会2019年4月12日印发的《房屋建筑和市政基础设施工程设计收费导则》中所附的《工程勘察设计收费标准》（2002年修订本）的收费标准下浮20%，在收费标准下浮20%的基础上自行下浮报价。若投标人的报价不符合招标文件规定，招标人有权作出修正。</w:t>
      </w:r>
    </w:p>
    <w:p w14:paraId="36888C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2</w:t>
      </w:r>
      <w:r>
        <w:rPr>
          <w:rFonts w:hint="eastAsia" w:ascii="宋体" w:hAnsi="宋体" w:eastAsia="宋体" w:cs="宋体"/>
          <w:color w:val="auto"/>
          <w:kern w:val="0"/>
          <w:sz w:val="24"/>
          <w:szCs w:val="21"/>
          <w:lang w:eastAsia="zh-CN"/>
        </w:rPr>
        <w:t>、</w:t>
      </w:r>
      <w:r>
        <w:rPr>
          <w:rFonts w:hint="eastAsia" w:ascii="宋体" w:hAnsi="宋体" w:eastAsia="宋体" w:cs="宋体"/>
          <w:color w:val="auto"/>
          <w:kern w:val="0"/>
          <w:sz w:val="24"/>
          <w:szCs w:val="21"/>
        </w:rPr>
        <w:t>经算术复核的投标人报价与其投标报价不一致时，按就低不就高原则确定其最终报价。按上述修正错误原则及方法调整或修正投标文件的投标报价，调整后的投标报价对投标人起约束作用。如果投标人不接受修正后的报价，则取消其投标资格；</w:t>
      </w:r>
      <w:r>
        <w:rPr>
          <w:rFonts w:hint="eastAsia" w:ascii="宋体" w:hAnsi="宋体" w:eastAsia="宋体" w:cs="宋体"/>
          <w:color w:val="auto"/>
          <w:kern w:val="0"/>
          <w:sz w:val="24"/>
          <w:u w:val="single"/>
        </w:rPr>
        <w:t>工程勘察费</w:t>
      </w:r>
      <w:r>
        <w:rPr>
          <w:rFonts w:hint="eastAsia" w:ascii="宋体" w:hAnsi="宋体" w:eastAsia="宋体" w:cs="宋体"/>
          <w:color w:val="auto"/>
          <w:kern w:val="0"/>
          <w:sz w:val="24"/>
        </w:rPr>
        <w:t>最高投标限价为：</w:t>
      </w:r>
      <w:r>
        <w:rPr>
          <w:rFonts w:hint="eastAsia" w:ascii="宋体" w:hAnsi="宋体" w:eastAsia="宋体" w:cs="宋体"/>
          <w:color w:val="auto"/>
          <w:kern w:val="0"/>
          <w:sz w:val="24"/>
          <w:u w:val="single"/>
          <w:lang w:val="en-US" w:eastAsia="zh-CN"/>
        </w:rPr>
        <w:t>71.96</w:t>
      </w:r>
      <w:r>
        <w:rPr>
          <w:rFonts w:hint="eastAsia" w:ascii="宋体" w:hAnsi="宋体" w:eastAsia="宋体" w:cs="宋体"/>
          <w:color w:val="auto"/>
          <w:kern w:val="0"/>
          <w:sz w:val="24"/>
          <w:u w:val="single"/>
        </w:rPr>
        <w:t>万元</w:t>
      </w:r>
      <w:r>
        <w:rPr>
          <w:rFonts w:hint="eastAsia" w:ascii="宋体" w:hAnsi="宋体" w:eastAsia="宋体" w:cs="宋体"/>
          <w:color w:val="auto"/>
          <w:kern w:val="0"/>
          <w:sz w:val="24"/>
        </w:rPr>
        <w:t>（</w:t>
      </w:r>
      <w:r>
        <w:rPr>
          <w:rFonts w:hint="eastAsia" w:ascii="宋体" w:hAnsi="宋体" w:eastAsia="宋体" w:cs="宋体"/>
          <w:color w:val="auto"/>
          <w:kern w:val="0"/>
          <w:sz w:val="24"/>
          <w:u w:val="single"/>
        </w:rPr>
        <w:t>勘察费最高投标限价暂按设计费25%计取，投标总价不得超过相应的最高投标限</w:t>
      </w:r>
      <w:r>
        <w:rPr>
          <w:rFonts w:hint="eastAsia" w:ascii="宋体" w:hAnsi="宋体" w:eastAsia="宋体" w:cs="宋体"/>
          <w:color w:val="auto"/>
          <w:kern w:val="0"/>
          <w:sz w:val="24"/>
        </w:rPr>
        <w:t>价，否则由评标委员作废标处理。</w:t>
      </w:r>
    </w:p>
    <w:p w14:paraId="5E2CEB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1"/>
        </w:rPr>
      </w:pPr>
      <w:r>
        <w:rPr>
          <w:rFonts w:hint="eastAsia" w:ascii="宋体" w:hAnsi="宋体" w:eastAsia="宋体" w:cs="宋体"/>
          <w:color w:val="auto"/>
          <w:kern w:val="0"/>
          <w:sz w:val="24"/>
          <w:szCs w:val="21"/>
        </w:rPr>
        <w:t>3</w:t>
      </w:r>
      <w:r>
        <w:rPr>
          <w:rFonts w:hint="eastAsia" w:ascii="宋体" w:hAnsi="宋体" w:eastAsia="宋体" w:cs="宋体"/>
          <w:color w:val="auto"/>
          <w:kern w:val="0"/>
          <w:sz w:val="24"/>
          <w:szCs w:val="21"/>
          <w:lang w:eastAsia="zh-CN"/>
        </w:rPr>
        <w:t>、</w:t>
      </w:r>
      <w:r>
        <w:rPr>
          <w:rFonts w:hint="eastAsia" w:ascii="宋体" w:hAnsi="宋体" w:eastAsia="宋体" w:cs="宋体"/>
          <w:color w:val="auto"/>
          <w:kern w:val="0"/>
          <w:sz w:val="24"/>
          <w:szCs w:val="21"/>
        </w:rPr>
        <w:t>勘察费用中应包括临时占用土地、青苗补偿、交通工具费用及影响勘察施工正常进行发生的有关费用。</w:t>
      </w:r>
    </w:p>
    <w:p w14:paraId="5682E7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b/>
          <w:color w:val="auto"/>
          <w:sz w:val="24"/>
        </w:rPr>
      </w:pPr>
      <w:r>
        <w:rPr>
          <w:rFonts w:hint="eastAsia" w:ascii="宋体" w:hAnsi="宋体" w:eastAsia="宋体" w:cs="宋体"/>
          <w:color w:val="auto"/>
          <w:kern w:val="0"/>
          <w:sz w:val="24"/>
          <w:szCs w:val="21"/>
        </w:rPr>
        <w:t>4</w:t>
      </w:r>
      <w:r>
        <w:rPr>
          <w:rFonts w:hint="eastAsia" w:ascii="宋体" w:hAnsi="宋体" w:eastAsia="宋体" w:cs="宋体"/>
          <w:color w:val="auto"/>
          <w:kern w:val="0"/>
          <w:sz w:val="24"/>
          <w:szCs w:val="21"/>
          <w:lang w:eastAsia="zh-CN"/>
        </w:rPr>
        <w:t>、</w:t>
      </w:r>
      <w:r>
        <w:rPr>
          <w:rFonts w:hint="eastAsia" w:ascii="宋体" w:hAnsi="宋体" w:eastAsia="宋体" w:cs="宋体"/>
          <w:color w:val="auto"/>
          <w:kern w:val="0"/>
          <w:sz w:val="24"/>
          <w:szCs w:val="21"/>
        </w:rPr>
        <w:t>勘察费报价及计算依据所拟的表格不能完全反映本项目特征的情况下，投标人可自行增加所需列项，完善表述内容。</w:t>
      </w:r>
      <w:r>
        <w:rPr>
          <w:rFonts w:hint="eastAsia" w:ascii="宋体" w:hAnsi="宋体"/>
          <w:b/>
          <w:color w:val="auto"/>
          <w:sz w:val="24"/>
        </w:rPr>
        <w:br w:type="page"/>
      </w:r>
    </w:p>
    <w:p w14:paraId="66E6D67A">
      <w:pPr>
        <w:tabs>
          <w:tab w:val="center" w:pos="4596"/>
        </w:tabs>
        <w:rPr>
          <w:rFonts w:hint="eastAsia" w:ascii="宋体" w:hAnsi="宋体"/>
          <w:b/>
          <w:color w:val="auto"/>
          <w:sz w:val="28"/>
          <w:szCs w:val="28"/>
        </w:rPr>
      </w:pPr>
      <w:r>
        <w:rPr>
          <w:rFonts w:hint="eastAsia" w:ascii="宋体" w:hAnsi="宋体"/>
          <w:b/>
          <w:color w:val="auto"/>
          <w:sz w:val="24"/>
        </w:rPr>
        <w:t>合同附件1</w:t>
      </w:r>
      <w:r>
        <w:rPr>
          <w:rFonts w:hint="eastAsia" w:ascii="宋体" w:hAnsi="宋体"/>
          <w:b/>
          <w:color w:val="auto"/>
          <w:sz w:val="24"/>
          <w:lang w:val="en-US" w:eastAsia="zh-CN"/>
        </w:rPr>
        <w:t>2</w:t>
      </w:r>
      <w:r>
        <w:rPr>
          <w:rFonts w:hint="eastAsia" w:ascii="宋体" w:hAnsi="宋体"/>
          <w:b/>
          <w:color w:val="auto"/>
          <w:sz w:val="24"/>
        </w:rPr>
        <w:t xml:space="preserve">：                          </w:t>
      </w:r>
      <w:r>
        <w:rPr>
          <w:rFonts w:hint="eastAsia" w:ascii="宋体" w:hAnsi="宋体"/>
          <w:b/>
          <w:color w:val="auto"/>
          <w:sz w:val="28"/>
          <w:szCs w:val="28"/>
        </w:rPr>
        <w:t>中标通知书</w:t>
      </w:r>
    </w:p>
    <w:p w14:paraId="49E34393">
      <w:pPr>
        <w:rPr>
          <w:rFonts w:hint="eastAsia"/>
          <w:color w:val="auto"/>
        </w:rPr>
      </w:pPr>
    </w:p>
    <w:sectPr>
      <w:pgSz w:w="11906" w:h="16838"/>
      <w:pgMar w:top="1276" w:right="1274" w:bottom="1276" w:left="1440" w:header="851" w:footer="6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Helvetica">
    <w:panose1 w:val="020B0504020202030204"/>
    <w:charset w:val="00"/>
    <w:family w:val="swiss"/>
    <w:pitch w:val="default"/>
    <w:sig w:usb0="00000007" w:usb1="00000000" w:usb2="00000000" w:usb3="00000000" w:csb0="00000093"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公文小标宋简">
    <w:altName w:val="宋体"/>
    <w:panose1 w:val="02010609010101010101"/>
    <w:charset w:val="86"/>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57A34">
    <w:pPr>
      <w:pStyle w:val="6"/>
    </w:pPr>
    <w:r>
      <mc:AlternateContent>
        <mc:Choice Requires="wps">
          <w:drawing>
            <wp:anchor distT="0" distB="0" distL="114300" distR="114300" simplePos="0" relativeHeight="251659264" behindDoc="0" locked="0" layoutInCell="1" allowOverlap="1">
              <wp:simplePos x="0" y="0"/>
              <wp:positionH relativeFrom="margin">
                <wp:posOffset>3106420</wp:posOffset>
              </wp:positionH>
              <wp:positionV relativeFrom="paragraph">
                <wp:posOffset>88265</wp:posOffset>
              </wp:positionV>
              <wp:extent cx="436880" cy="65468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436880" cy="654685"/>
                      </a:xfrm>
                      <a:prstGeom prst="rect">
                        <a:avLst/>
                      </a:prstGeom>
                      <a:noFill/>
                      <a:ln>
                        <a:noFill/>
                      </a:ln>
                    </wps:spPr>
                    <wps:txbx>
                      <w:txbxContent>
                        <w:p w14:paraId="376A6D0C">
                          <w:pPr>
                            <w:pStyle w:val="6"/>
                            <w:jc w:val="both"/>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p>
                      </w:txbxContent>
                    </wps:txbx>
                    <wps:bodyPr wrap="square" lIns="0" tIns="0" rIns="0" bIns="0" upright="0"/>
                  </wps:wsp>
                </a:graphicData>
              </a:graphic>
            </wp:anchor>
          </w:drawing>
        </mc:Choice>
        <mc:Fallback>
          <w:pict>
            <v:shape id="_x0000_s1026" o:spid="_x0000_s1026" o:spt="202" type="#_x0000_t202" style="position:absolute;left:0pt;margin-left:244.6pt;margin-top:6.95pt;height:51.55pt;width:34.4pt;mso-position-horizontal-relative:margin;mso-wrap-distance-bottom:0pt;mso-wrap-distance-left:9pt;mso-wrap-distance-right:9pt;mso-wrap-distance-top:0pt;z-index:251659264;mso-width-relative:page;mso-height-relative:page;" filled="f" stroked="f" coordsize="21600,21600" o:gfxdata="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a8kV2AAAAAoBAAAPAAAAAAAAAAEAIAAAACIAAABkcnMvZG93bnJl&#10;di54bWxQSwECFAAUAAAACACHTuJAVF6pGMQBAAB/AwAADgAAAAAAAAABACAAAAAnAQAAZHJzL2Uy&#10;b0RvYy54bWxQSwUGAAAAAAYABgBZAQAAXQUAAAAA&#10;">
              <v:fill on="f" focussize="0,0"/>
              <v:stroke on="f"/>
              <v:imagedata o:title=""/>
              <o:lock v:ext="edit" aspectratio="f"/>
              <v:textbox inset="0mm,0mm,0mm,0mm">
                <w:txbxContent>
                  <w:p w14:paraId="376A6D0C">
                    <w:pPr>
                      <w:pStyle w:val="6"/>
                      <w:jc w:val="both"/>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1</w:t>
                    </w:r>
                    <w:r>
                      <w:rPr>
                        <w:rFonts w:hint="eastAsia"/>
                      </w:rPr>
                      <w:fldChar w:fldCharType="end"/>
                    </w:r>
                  </w:p>
                </w:txbxContent>
              </v:textbox>
              <w10:wrap type="squar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AA70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4B129"/>
    <w:multiLevelType w:val="singleLevel"/>
    <w:tmpl w:val="BB94B129"/>
    <w:lvl w:ilvl="0" w:tentative="0">
      <w:start w:val="4"/>
      <w:numFmt w:val="chineseCounting"/>
      <w:suff w:val="space"/>
      <w:lvlText w:val="第%1条"/>
      <w:lvlJc w:val="left"/>
      <w:rPr>
        <w:rFonts w:hint="eastAsia"/>
      </w:rPr>
    </w:lvl>
  </w:abstractNum>
  <w:abstractNum w:abstractNumId="1">
    <w:nsid w:val="C38307AB"/>
    <w:multiLevelType w:val="singleLevel"/>
    <w:tmpl w:val="C38307AB"/>
    <w:lvl w:ilvl="0" w:tentative="0">
      <w:start w:val="9"/>
      <w:numFmt w:val="chineseCounting"/>
      <w:suff w:val="space"/>
      <w:lvlText w:val="第%1条"/>
      <w:lvlJc w:val="left"/>
      <w:rPr>
        <w:rFonts w:hint="eastAsia"/>
      </w:rPr>
    </w:lvl>
  </w:abstractNum>
  <w:abstractNum w:abstractNumId="2">
    <w:nsid w:val="3E267822"/>
    <w:multiLevelType w:val="multilevel"/>
    <w:tmpl w:val="3E267822"/>
    <w:lvl w:ilvl="0" w:tentative="0">
      <w:start w:val="1"/>
      <w:numFmt w:val="japaneseCounting"/>
      <w:lvlText w:val="第%1条"/>
      <w:lvlJc w:val="left"/>
      <w:pPr>
        <w:tabs>
          <w:tab w:val="left" w:pos="795"/>
        </w:tabs>
        <w:ind w:left="795" w:hanging="795"/>
      </w:pPr>
      <w:rPr>
        <w:rFonts w:hint="eastAsia"/>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MzQ2ZjIxNjViOGNjMzFiZDE0NTg5OGNmNjVmNjIifQ=="/>
  </w:docVars>
  <w:rsids>
    <w:rsidRoot w:val="00172A27"/>
    <w:rsid w:val="000C3679"/>
    <w:rsid w:val="000E3FDA"/>
    <w:rsid w:val="001125A4"/>
    <w:rsid w:val="00163D91"/>
    <w:rsid w:val="00167BAA"/>
    <w:rsid w:val="001B39FA"/>
    <w:rsid w:val="001B7900"/>
    <w:rsid w:val="001D5887"/>
    <w:rsid w:val="00222A28"/>
    <w:rsid w:val="00246707"/>
    <w:rsid w:val="00247292"/>
    <w:rsid w:val="002513F7"/>
    <w:rsid w:val="00281838"/>
    <w:rsid w:val="00296109"/>
    <w:rsid w:val="00301BE6"/>
    <w:rsid w:val="003E4348"/>
    <w:rsid w:val="004118EB"/>
    <w:rsid w:val="004B4297"/>
    <w:rsid w:val="004C434E"/>
    <w:rsid w:val="00506370"/>
    <w:rsid w:val="00553A74"/>
    <w:rsid w:val="005857C0"/>
    <w:rsid w:val="005B07E2"/>
    <w:rsid w:val="005F4FE6"/>
    <w:rsid w:val="00600890"/>
    <w:rsid w:val="00602D42"/>
    <w:rsid w:val="00604FE9"/>
    <w:rsid w:val="00610BC0"/>
    <w:rsid w:val="006779C1"/>
    <w:rsid w:val="00690954"/>
    <w:rsid w:val="006955BC"/>
    <w:rsid w:val="006E126D"/>
    <w:rsid w:val="0071671E"/>
    <w:rsid w:val="00765E76"/>
    <w:rsid w:val="007E7702"/>
    <w:rsid w:val="007F6263"/>
    <w:rsid w:val="00811449"/>
    <w:rsid w:val="00811EED"/>
    <w:rsid w:val="00846FF8"/>
    <w:rsid w:val="008872F4"/>
    <w:rsid w:val="008F6AAF"/>
    <w:rsid w:val="009605C7"/>
    <w:rsid w:val="009979CE"/>
    <w:rsid w:val="009E75B2"/>
    <w:rsid w:val="00A216C7"/>
    <w:rsid w:val="00A24A64"/>
    <w:rsid w:val="00A507F7"/>
    <w:rsid w:val="00AB1FB7"/>
    <w:rsid w:val="00AC3880"/>
    <w:rsid w:val="00AE0C64"/>
    <w:rsid w:val="00B35D3E"/>
    <w:rsid w:val="00B511D5"/>
    <w:rsid w:val="00B6532C"/>
    <w:rsid w:val="00B814CD"/>
    <w:rsid w:val="00BD73F7"/>
    <w:rsid w:val="00C201BD"/>
    <w:rsid w:val="00CD14C5"/>
    <w:rsid w:val="00D339D3"/>
    <w:rsid w:val="00D34912"/>
    <w:rsid w:val="00D82C22"/>
    <w:rsid w:val="00D93191"/>
    <w:rsid w:val="00DA426C"/>
    <w:rsid w:val="00DA747C"/>
    <w:rsid w:val="00E11938"/>
    <w:rsid w:val="00E36FF5"/>
    <w:rsid w:val="00E56451"/>
    <w:rsid w:val="00EA0896"/>
    <w:rsid w:val="00EA34B6"/>
    <w:rsid w:val="00EA4516"/>
    <w:rsid w:val="00F23621"/>
    <w:rsid w:val="00F63F0C"/>
    <w:rsid w:val="00FB16D4"/>
    <w:rsid w:val="00FD6046"/>
    <w:rsid w:val="02093E16"/>
    <w:rsid w:val="039B5946"/>
    <w:rsid w:val="03DB1142"/>
    <w:rsid w:val="059D767B"/>
    <w:rsid w:val="06DC754A"/>
    <w:rsid w:val="06E25967"/>
    <w:rsid w:val="071F1AE1"/>
    <w:rsid w:val="07C43674"/>
    <w:rsid w:val="0865499C"/>
    <w:rsid w:val="090B2123"/>
    <w:rsid w:val="0A4A16D0"/>
    <w:rsid w:val="0B9A5455"/>
    <w:rsid w:val="0C3C429B"/>
    <w:rsid w:val="0D1A00E2"/>
    <w:rsid w:val="0E903335"/>
    <w:rsid w:val="0F3813E0"/>
    <w:rsid w:val="107D5E72"/>
    <w:rsid w:val="12407ED1"/>
    <w:rsid w:val="15630241"/>
    <w:rsid w:val="165E3DB0"/>
    <w:rsid w:val="17840BBD"/>
    <w:rsid w:val="18E5476B"/>
    <w:rsid w:val="1A3C3599"/>
    <w:rsid w:val="1A4C21B0"/>
    <w:rsid w:val="1BF82B13"/>
    <w:rsid w:val="1C29446D"/>
    <w:rsid w:val="1CC95AD4"/>
    <w:rsid w:val="1D211170"/>
    <w:rsid w:val="1D9B71EB"/>
    <w:rsid w:val="2033658E"/>
    <w:rsid w:val="21075890"/>
    <w:rsid w:val="219C3E79"/>
    <w:rsid w:val="219E5551"/>
    <w:rsid w:val="226E56EA"/>
    <w:rsid w:val="22E13630"/>
    <w:rsid w:val="23904823"/>
    <w:rsid w:val="23C6332B"/>
    <w:rsid w:val="24BA5584"/>
    <w:rsid w:val="258368DF"/>
    <w:rsid w:val="26D51C9B"/>
    <w:rsid w:val="280C1F66"/>
    <w:rsid w:val="29DF336D"/>
    <w:rsid w:val="2AE85674"/>
    <w:rsid w:val="2B0A7D31"/>
    <w:rsid w:val="2C417AD1"/>
    <w:rsid w:val="2C57124A"/>
    <w:rsid w:val="2C5F765F"/>
    <w:rsid w:val="2C662418"/>
    <w:rsid w:val="2CF85933"/>
    <w:rsid w:val="2D1E29B5"/>
    <w:rsid w:val="2F0F47FB"/>
    <w:rsid w:val="2F7323EC"/>
    <w:rsid w:val="306540D5"/>
    <w:rsid w:val="310A6C64"/>
    <w:rsid w:val="31554A54"/>
    <w:rsid w:val="31C4746F"/>
    <w:rsid w:val="342033A2"/>
    <w:rsid w:val="397A3554"/>
    <w:rsid w:val="3A14565A"/>
    <w:rsid w:val="3A5C410C"/>
    <w:rsid w:val="3B28490C"/>
    <w:rsid w:val="3BD028FC"/>
    <w:rsid w:val="3C4A38FD"/>
    <w:rsid w:val="3CDE6822"/>
    <w:rsid w:val="3FDB42B5"/>
    <w:rsid w:val="40FF1B86"/>
    <w:rsid w:val="41356466"/>
    <w:rsid w:val="423C58D1"/>
    <w:rsid w:val="4254313E"/>
    <w:rsid w:val="43652AE0"/>
    <w:rsid w:val="437B6E58"/>
    <w:rsid w:val="44ED3391"/>
    <w:rsid w:val="46D05839"/>
    <w:rsid w:val="475A156C"/>
    <w:rsid w:val="47E6697A"/>
    <w:rsid w:val="48FE1D77"/>
    <w:rsid w:val="494914A9"/>
    <w:rsid w:val="4AB74C24"/>
    <w:rsid w:val="4C0C2B9A"/>
    <w:rsid w:val="4C1A1AFF"/>
    <w:rsid w:val="50652482"/>
    <w:rsid w:val="50AB0E05"/>
    <w:rsid w:val="50EC5412"/>
    <w:rsid w:val="51207F80"/>
    <w:rsid w:val="524C6E42"/>
    <w:rsid w:val="574D0AD6"/>
    <w:rsid w:val="588D3E05"/>
    <w:rsid w:val="58967720"/>
    <w:rsid w:val="5991624E"/>
    <w:rsid w:val="5A0C7528"/>
    <w:rsid w:val="5A6F53B2"/>
    <w:rsid w:val="5A764449"/>
    <w:rsid w:val="5CB6425E"/>
    <w:rsid w:val="5D241186"/>
    <w:rsid w:val="5F336E67"/>
    <w:rsid w:val="604D2EC1"/>
    <w:rsid w:val="60593C72"/>
    <w:rsid w:val="62B4602C"/>
    <w:rsid w:val="65C6508D"/>
    <w:rsid w:val="65CF07A5"/>
    <w:rsid w:val="67876323"/>
    <w:rsid w:val="67916664"/>
    <w:rsid w:val="69103C53"/>
    <w:rsid w:val="69A76D0A"/>
    <w:rsid w:val="6DA71AD9"/>
    <w:rsid w:val="6E7656B5"/>
    <w:rsid w:val="70AD5734"/>
    <w:rsid w:val="71DD19D8"/>
    <w:rsid w:val="72AB5F51"/>
    <w:rsid w:val="73996154"/>
    <w:rsid w:val="742A5E00"/>
    <w:rsid w:val="743A35D3"/>
    <w:rsid w:val="770D2260"/>
    <w:rsid w:val="7A750B13"/>
    <w:rsid w:val="7A9D6AC7"/>
    <w:rsid w:val="7B002EB0"/>
    <w:rsid w:val="7B502FE1"/>
    <w:rsid w:val="7BC346F0"/>
    <w:rsid w:val="7D854140"/>
    <w:rsid w:val="7D8B17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Plain Text"/>
    <w:basedOn w:val="1"/>
    <w:uiPriority w:val="0"/>
    <w:rPr>
      <w:rFonts w:ascii="宋体" w:hAnsi="Courier New"/>
      <w:kern w:val="0"/>
      <w:sz w:val="20"/>
      <w:szCs w:val="20"/>
    </w:rPr>
  </w:style>
  <w:style w:type="paragraph" w:styleId="4">
    <w:name w:val="Body Text Indent 2"/>
    <w:basedOn w:val="1"/>
    <w:uiPriority w:val="0"/>
    <w:pPr>
      <w:snapToGrid w:val="0"/>
      <w:spacing w:line="348" w:lineRule="auto"/>
      <w:ind w:right="2318" w:firstLine="600"/>
    </w:pPr>
    <w:rPr>
      <w:kern w:val="0"/>
      <w:sz w:val="30"/>
      <w:szCs w:val="20"/>
    </w:rPr>
  </w:style>
  <w:style w:type="paragraph" w:styleId="5">
    <w:name w:val="Balloon Text"/>
    <w:basedOn w:val="1"/>
    <w:link w:val="11"/>
    <w:uiPriority w:val="0"/>
    <w:rPr>
      <w:sz w:val="18"/>
      <w:szCs w:val="18"/>
    </w:rPr>
  </w:style>
  <w:style w:type="paragraph" w:styleId="6">
    <w:name w:val="footer"/>
    <w:basedOn w:val="1"/>
    <w:unhideWhenUsed/>
    <w:uiPriority w:val="99"/>
    <w:pPr>
      <w:tabs>
        <w:tab w:val="center" w:pos="4153"/>
        <w:tab w:val="right" w:pos="8306"/>
      </w:tabs>
      <w:snapToGrid w:val="0"/>
      <w:jc w:val="left"/>
    </w:pPr>
    <w:rPr>
      <w:rFonts w:ascii="Calibri" w:hAnsi="Calibri"/>
      <w:kern w:val="0"/>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kern w:val="0"/>
      <w:sz w:val="24"/>
    </w:rPr>
  </w:style>
  <w:style w:type="character" w:customStyle="1" w:styleId="11">
    <w:name w:val="批注框文本 Char"/>
    <w:link w:val="5"/>
    <w:uiPriority w:val="0"/>
    <w:rPr>
      <w:rFonts w:ascii="Times New Roman" w:hAnsi="Times New Roman"/>
      <w:kern w:val="2"/>
      <w:sz w:val="18"/>
      <w:szCs w:val="18"/>
    </w:rPr>
  </w:style>
  <w:style w:type="character" w:customStyle="1" w:styleId="12">
    <w:name w:val="页眉 Char"/>
    <w:link w:val="7"/>
    <w:uiPriority w:val="0"/>
    <w:rPr>
      <w:rFonts w:ascii="Times New Roman" w:hAnsi="Times New Roman"/>
      <w:kern w:val="2"/>
      <w:sz w:val="18"/>
      <w:szCs w:val="18"/>
    </w:rPr>
  </w:style>
  <w:style w:type="paragraph" w:customStyle="1" w:styleId="13">
    <w:name w:val=" Char Char"/>
    <w:basedOn w:val="1"/>
    <w:uiPriority w:val="0"/>
    <w:pPr>
      <w:widowControl/>
      <w:jc w:val="left"/>
    </w:pPr>
    <w:rPr>
      <w:rFonts w:ascii="宋体" w:hAnsi="宋体" w:cs="宋体"/>
      <w:kern w:val="0"/>
      <w:sz w:val="30"/>
    </w:rPr>
  </w:style>
  <w:style w:type="paragraph" w:customStyle="1" w:styleId="14">
    <w:name w:val="Default"/>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5">
    <w:name w:val="正文1"/>
    <w:basedOn w:val="1"/>
    <w:qFormat/>
    <w:uiPriority w:val="0"/>
    <w:pPr>
      <w:widowControl w:val="0"/>
      <w:adjustRightInd/>
      <w:spacing w:before="0" w:beforeAutospacing="0" w:after="0" w:afterAutospacing="0"/>
      <w:ind w:firstLine="440"/>
    </w:pPr>
    <w:rPr>
      <w:rFonts w:ascii="宋体" w:eastAsia="宋体"/>
      <w:kern w:val="2"/>
      <w:sz w:val="24"/>
      <w:szCs w:val="24"/>
    </w:rPr>
  </w:style>
  <w:style w:type="paragraph" w:customStyle="1" w:styleId="16">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54</Pages>
  <Words>18360</Words>
  <Characters>19279</Characters>
  <Lines>196</Lines>
  <Paragraphs>55</Paragraphs>
  <TotalTime>12</TotalTime>
  <ScaleCrop>false</ScaleCrop>
  <LinksUpToDate>false</LinksUpToDate>
  <CharactersWithSpaces>19987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2025-01-13T09:06:00Z</dcterms:created>
  <dc:creator>123</dc:creator>
  <cp:lastModifiedBy>Administrator</cp:lastModifiedBy>
  <cp:lastPrinted>2025-07-03T04:07:22Z</cp:lastPrinted>
  <dcterms:modified xsi:type="dcterms:W3CDTF">2025-08-05T03:45:35Z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9EC488B57479448DBF0076162152978D_13</vt:lpwstr>
  </property>
  <property fmtid="{D5CDD505-2E9C-101B-9397-08002B2CF9AE}" pid="4" name="KSOTemplateDocerSaveRecord">
    <vt:lpwstr>eyJoZGlkIjoiYWJhMDdhZmYyMmZiMjY3NTY5NWRlZTlkZGMxMmZhYjgiLCJ1c2VySWQiOiIyMjE0NTgwNDEifQ==</vt:lpwstr>
  </property>
</Properties>
</file>