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4E5B0">
      <w:pPr>
        <w:autoSpaceDE w:val="0"/>
        <w:autoSpaceDN w:val="0"/>
        <w:spacing w:line="300" w:lineRule="auto"/>
        <w:rPr>
          <w:rFonts w:hint="default" w:ascii="Times New Roman" w:hAnsi="Times New Roman" w:eastAsia="宋体" w:cs="Times New Roman"/>
          <w:b/>
          <w:color w:val="auto"/>
          <w:sz w:val="22"/>
          <w:szCs w:val="22"/>
          <w:highlight w:val="none"/>
          <w:lang w:val="en-US" w:eastAsia="zh-CN"/>
        </w:rPr>
      </w:pPr>
      <w:r>
        <w:rPr>
          <w:rFonts w:hint="default" w:ascii="Times New Roman" w:hAnsi="Times New Roman" w:cs="Times New Roman"/>
          <w:b/>
          <w:color w:val="auto"/>
          <w:sz w:val="22"/>
          <w:szCs w:val="22"/>
          <w:highlight w:val="none"/>
        </w:rPr>
        <w:t>合同编号：</w:t>
      </w:r>
      <w:r>
        <w:rPr>
          <w:rFonts w:hint="eastAsia" w:cs="Times New Roman"/>
          <w:b/>
          <w:color w:val="auto"/>
          <w:sz w:val="22"/>
          <w:szCs w:val="22"/>
          <w:highlight w:val="none"/>
          <w:lang w:val="en-US" w:eastAsia="zh-CN"/>
        </w:rPr>
        <w:t xml:space="preserve"> </w:t>
      </w:r>
    </w:p>
    <w:p w14:paraId="1D8506BD">
      <w:pPr>
        <w:rPr>
          <w:color w:val="auto"/>
          <w:sz w:val="18"/>
          <w:szCs w:val="21"/>
          <w:highlight w:val="none"/>
        </w:rPr>
      </w:pPr>
    </w:p>
    <w:p w14:paraId="2AE7B3D8">
      <w:pPr>
        <w:rPr>
          <w:color w:val="auto"/>
          <w:sz w:val="18"/>
          <w:szCs w:val="21"/>
          <w:highlight w:val="none"/>
        </w:rPr>
      </w:pPr>
    </w:p>
    <w:p w14:paraId="354EED84">
      <w:pPr>
        <w:rPr>
          <w:color w:val="auto"/>
          <w:sz w:val="18"/>
          <w:szCs w:val="21"/>
          <w:highlight w:val="none"/>
        </w:rPr>
      </w:pPr>
    </w:p>
    <w:p w14:paraId="76982D2C">
      <w:pPr>
        <w:ind w:firstLine="0" w:firstLineChars="0"/>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技</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术</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服</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务</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合</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同</w:t>
      </w:r>
    </w:p>
    <w:p w14:paraId="2675A6A0">
      <w:pPr>
        <w:ind w:firstLine="0"/>
        <w:jc w:val="left"/>
        <w:rPr>
          <w:rFonts w:hint="eastAsia"/>
          <w:color w:val="auto"/>
          <w:sz w:val="18"/>
          <w:szCs w:val="21"/>
          <w:highlight w:val="none"/>
        </w:rPr>
      </w:pPr>
    </w:p>
    <w:p w14:paraId="207B6759">
      <w:pPr>
        <w:ind w:firstLine="0"/>
        <w:jc w:val="left"/>
        <w:rPr>
          <w:rFonts w:hint="eastAsia"/>
          <w:color w:val="auto"/>
          <w:sz w:val="18"/>
          <w:szCs w:val="21"/>
          <w:highlight w:val="none"/>
        </w:rPr>
      </w:pPr>
    </w:p>
    <w:p w14:paraId="3580F7A6">
      <w:pPr>
        <w:ind w:firstLine="0"/>
        <w:jc w:val="left"/>
        <w:rPr>
          <w:rFonts w:hint="eastAsia"/>
          <w:color w:val="auto"/>
          <w:sz w:val="18"/>
          <w:szCs w:val="21"/>
          <w:highlight w:val="none"/>
        </w:rPr>
      </w:pPr>
    </w:p>
    <w:p w14:paraId="26933ABD">
      <w:pPr>
        <w:ind w:firstLine="0"/>
        <w:jc w:val="left"/>
        <w:rPr>
          <w:rFonts w:hint="eastAsia"/>
          <w:color w:val="auto"/>
          <w:sz w:val="18"/>
          <w:szCs w:val="21"/>
          <w:highlight w:val="none"/>
        </w:rPr>
      </w:pPr>
    </w:p>
    <w:p w14:paraId="6CF7AE9D">
      <w:pPr>
        <w:tabs>
          <w:tab w:val="left" w:pos="630"/>
        </w:tabs>
        <w:spacing w:line="1000" w:lineRule="exact"/>
        <w:ind w:firstLine="631"/>
        <w:rPr>
          <w:rFonts w:hint="eastAsia" w:ascii="宋体" w:hAnsi="宋体" w:eastAsia="宋体" w:cs="宋体"/>
          <w:b/>
          <w:color w:val="auto"/>
          <w:sz w:val="24"/>
          <w:szCs w:val="21"/>
          <w:highlight w:val="none"/>
          <w:u w:val="none"/>
          <w:lang w:val="en-US" w:eastAsia="zh-CN"/>
        </w:rPr>
      </w:pPr>
      <w:r>
        <w:rPr>
          <w:rFonts w:hint="eastAsia" w:ascii="宋体" w:hAnsi="宋体" w:cs="宋体"/>
          <w:b/>
          <w:color w:val="auto"/>
          <w:sz w:val="24"/>
          <w:szCs w:val="21"/>
          <w:highlight w:val="none"/>
        </w:rPr>
        <w:t>工程名称：</w:t>
      </w:r>
      <w:r>
        <w:rPr>
          <w:rFonts w:hint="eastAsia" w:ascii="宋体" w:hAnsi="宋体" w:cs="宋体"/>
          <w:b w:val="0"/>
          <w:bCs/>
          <w:color w:val="auto"/>
          <w:sz w:val="24"/>
          <w:szCs w:val="21"/>
          <w:highlight w:val="none"/>
          <w:u w:val="single"/>
        </w:rPr>
        <w:t xml:space="preserve"> </w:t>
      </w:r>
      <w:r>
        <w:rPr>
          <w:rFonts w:hint="eastAsia" w:ascii="宋体" w:hAnsi="宋体" w:cs="宋体"/>
          <w:b w:val="0"/>
          <w:bCs/>
          <w:color w:val="auto"/>
          <w:sz w:val="24"/>
          <w:szCs w:val="21"/>
          <w:highlight w:val="none"/>
          <w:u w:val="single"/>
          <w:lang w:val="en-US" w:eastAsia="zh-CN"/>
        </w:rPr>
        <w:t xml:space="preserve">阳江水资源配置工程（一期）   </w:t>
      </w:r>
      <w:r>
        <w:rPr>
          <w:rFonts w:hint="eastAsia" w:ascii="宋体" w:hAnsi="宋体" w:cs="宋体"/>
          <w:b w:val="0"/>
          <w:bCs/>
          <w:color w:val="auto"/>
          <w:sz w:val="24"/>
          <w:szCs w:val="21"/>
          <w:highlight w:val="none"/>
          <w:u w:val="single"/>
        </w:rPr>
        <w:t xml:space="preserve">   </w:t>
      </w:r>
      <w:r>
        <w:rPr>
          <w:rFonts w:hint="eastAsia" w:ascii="宋体" w:hAnsi="宋体" w:cs="宋体"/>
          <w:b w:val="0"/>
          <w:bCs/>
          <w:color w:val="auto"/>
          <w:sz w:val="24"/>
          <w:szCs w:val="21"/>
          <w:highlight w:val="none"/>
          <w:u w:val="single"/>
          <w:lang w:val="en-US" w:eastAsia="zh-CN"/>
        </w:rPr>
        <w:t xml:space="preserve">               </w:t>
      </w:r>
    </w:p>
    <w:p w14:paraId="134B462B">
      <w:pPr>
        <w:tabs>
          <w:tab w:val="left" w:pos="630"/>
        </w:tabs>
        <w:spacing w:line="1000" w:lineRule="exact"/>
        <w:ind w:firstLine="631"/>
        <w:rPr>
          <w:color w:val="auto"/>
          <w:sz w:val="18"/>
          <w:szCs w:val="21"/>
          <w:highlight w:val="none"/>
        </w:rPr>
      </w:pPr>
      <w:r>
        <w:rPr>
          <w:rFonts w:hint="eastAsia" w:ascii="宋体" w:hAnsi="宋体" w:cs="宋体"/>
          <w:b/>
          <w:color w:val="auto"/>
          <w:sz w:val="24"/>
          <w:szCs w:val="21"/>
          <w:highlight w:val="none"/>
          <w:lang w:val="en-US" w:eastAsia="zh-CN"/>
        </w:rPr>
        <w:t>合同</w:t>
      </w:r>
      <w:r>
        <w:rPr>
          <w:rFonts w:hint="eastAsia" w:ascii="宋体" w:hAnsi="宋体" w:cs="宋体"/>
          <w:b/>
          <w:color w:val="auto"/>
          <w:sz w:val="24"/>
          <w:szCs w:val="21"/>
          <w:highlight w:val="none"/>
        </w:rPr>
        <w:t>名称：</w:t>
      </w:r>
      <w:r>
        <w:rPr>
          <w:rFonts w:hint="eastAsia" w:ascii="宋体" w:hAnsi="宋体" w:cs="宋体"/>
          <w:color w:val="auto"/>
          <w:sz w:val="24"/>
          <w:szCs w:val="21"/>
          <w:highlight w:val="none"/>
          <w:u w:val="single"/>
          <w:lang w:eastAsia="zh-CN"/>
        </w:rPr>
        <w:t>阳江水资源配置工程（一期）工程质量检测</w:t>
      </w:r>
      <w:r>
        <w:rPr>
          <w:rFonts w:hint="eastAsia" w:ascii="宋体" w:hAnsi="宋体" w:cs="宋体"/>
          <w:color w:val="auto"/>
          <w:sz w:val="24"/>
          <w:szCs w:val="21"/>
          <w:highlight w:val="none"/>
          <w:u w:val="single"/>
          <w:lang w:val="en-US" w:eastAsia="zh-CN"/>
        </w:rPr>
        <w:t>服务合同</w:t>
      </w:r>
      <w:r>
        <w:rPr>
          <w:rFonts w:hint="eastAsia" w:ascii="宋体" w:hAnsi="宋体" w:cs="宋体"/>
          <w:color w:val="auto"/>
          <w:sz w:val="24"/>
          <w:szCs w:val="21"/>
          <w:highlight w:val="none"/>
          <w:u w:val="single"/>
        </w:rPr>
        <w:t xml:space="preserve">  </w:t>
      </w:r>
    </w:p>
    <w:p w14:paraId="15FAB61B">
      <w:pPr>
        <w:tabs>
          <w:tab w:val="left" w:pos="630"/>
        </w:tabs>
        <w:spacing w:line="1000" w:lineRule="exact"/>
        <w:ind w:firstLine="631"/>
        <w:rPr>
          <w:rFonts w:ascii="宋体" w:hAnsi="宋体" w:cs="宋体"/>
          <w:color w:val="auto"/>
          <w:sz w:val="24"/>
          <w:szCs w:val="21"/>
          <w:highlight w:val="none"/>
        </w:rPr>
      </w:pPr>
      <w:r>
        <w:rPr>
          <w:rFonts w:hint="eastAsia" w:ascii="宋体" w:hAnsi="宋体" w:cs="宋体"/>
          <w:b/>
          <w:color w:val="auto"/>
          <w:sz w:val="24"/>
          <w:szCs w:val="21"/>
          <w:highlight w:val="none"/>
        </w:rPr>
        <w:t>工程地点：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 阳江市、阳春市</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u w:val="single"/>
        </w:rPr>
        <w:t xml:space="preserve">          </w:t>
      </w:r>
    </w:p>
    <w:p w14:paraId="437CA291">
      <w:pPr>
        <w:spacing w:line="1000" w:lineRule="exact"/>
        <w:rPr>
          <w:rFonts w:ascii="宋体" w:hAnsi="宋体" w:cs="宋体"/>
          <w:color w:val="auto"/>
          <w:sz w:val="24"/>
          <w:szCs w:val="21"/>
          <w:highlight w:val="none"/>
        </w:rPr>
      </w:pPr>
    </w:p>
    <w:p w14:paraId="07321C90">
      <w:pPr>
        <w:tabs>
          <w:tab w:val="left" w:pos="7035"/>
          <w:tab w:val="left" w:pos="7245"/>
          <w:tab w:val="left" w:pos="7455"/>
        </w:tabs>
        <w:spacing w:line="1000" w:lineRule="exact"/>
        <w:ind w:firstLine="639"/>
        <w:rPr>
          <w:rFonts w:ascii="宋体" w:hAnsi="宋体" w:cs="宋体"/>
          <w:color w:val="auto"/>
          <w:sz w:val="24"/>
          <w:szCs w:val="21"/>
          <w:highlight w:val="none"/>
          <w:u w:val="single"/>
        </w:rPr>
      </w:pPr>
      <w:r>
        <w:rPr>
          <w:rFonts w:hint="eastAsia" w:ascii="宋体" w:hAnsi="宋体" w:cs="宋体"/>
          <w:b/>
          <w:color w:val="auto"/>
          <w:sz w:val="24"/>
          <w:szCs w:val="21"/>
          <w:highlight w:val="none"/>
        </w:rPr>
        <w:t>委托人（甲方）：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阳江市碧源水资源开发有限公司  </w:t>
      </w:r>
      <w:r>
        <w:rPr>
          <w:rFonts w:hint="eastAsia" w:ascii="宋体" w:hAnsi="宋体" w:cs="宋体"/>
          <w:color w:val="auto"/>
          <w:sz w:val="24"/>
          <w:szCs w:val="21"/>
          <w:highlight w:val="none"/>
          <w:u w:val="single"/>
        </w:rPr>
        <w:t xml:space="preserve">         </w:t>
      </w:r>
    </w:p>
    <w:p w14:paraId="559F78A9">
      <w:pPr>
        <w:tabs>
          <w:tab w:val="left" w:pos="7140"/>
          <w:tab w:val="left" w:pos="7350"/>
        </w:tabs>
        <w:spacing w:line="1000" w:lineRule="exact"/>
        <w:ind w:firstLine="639"/>
        <w:rPr>
          <w:rFonts w:ascii="宋体" w:hAnsi="宋体" w:cs="宋体"/>
          <w:b/>
          <w:color w:val="auto"/>
          <w:sz w:val="24"/>
          <w:szCs w:val="21"/>
          <w:highlight w:val="none"/>
          <w:u w:val="single"/>
        </w:rPr>
      </w:pPr>
      <w:r>
        <w:rPr>
          <w:rFonts w:hint="eastAsia" w:ascii="宋体" w:hAnsi="宋体" w:cs="宋体"/>
          <w:b/>
          <w:color w:val="auto"/>
          <w:sz w:val="24"/>
          <w:szCs w:val="21"/>
          <w:highlight w:val="none"/>
        </w:rPr>
        <w:t>受托人（乙方）：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u w:val="single"/>
        </w:rPr>
        <w:t xml:space="preserve">          </w:t>
      </w:r>
    </w:p>
    <w:p w14:paraId="31D1DF6F">
      <w:pPr>
        <w:spacing w:line="1000" w:lineRule="exact"/>
        <w:ind w:firstLine="945"/>
        <w:rPr>
          <w:rFonts w:ascii="宋体" w:hAnsi="宋体" w:cs="宋体"/>
          <w:b/>
          <w:color w:val="auto"/>
          <w:sz w:val="22"/>
          <w:szCs w:val="21"/>
          <w:highlight w:val="none"/>
        </w:rPr>
      </w:pPr>
    </w:p>
    <w:p w14:paraId="48C6DF94">
      <w:pPr>
        <w:tabs>
          <w:tab w:val="left" w:pos="630"/>
        </w:tabs>
        <w:spacing w:line="1000" w:lineRule="exact"/>
        <w:ind w:firstLine="630"/>
        <w:rPr>
          <w:rFonts w:ascii="宋体" w:hAnsi="宋体" w:cs="宋体"/>
          <w:color w:val="auto"/>
          <w:sz w:val="22"/>
          <w:szCs w:val="21"/>
          <w:highlight w:val="none"/>
        </w:rPr>
      </w:pPr>
      <w:r>
        <w:rPr>
          <w:rFonts w:hint="eastAsia" w:ascii="宋体" w:hAnsi="宋体" w:cs="宋体"/>
          <w:b/>
          <w:color w:val="auto"/>
          <w:sz w:val="22"/>
          <w:szCs w:val="21"/>
          <w:highlight w:val="none"/>
        </w:rPr>
        <w:t>签约地点：</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u w:val="single"/>
          <w:lang w:val="en-US" w:eastAsia="zh-CN"/>
        </w:rPr>
        <w:t xml:space="preserve">阳江市   </w:t>
      </w:r>
      <w:r>
        <w:rPr>
          <w:rFonts w:hint="eastAsia" w:ascii="宋体" w:hAnsi="宋体" w:cs="宋体"/>
          <w:color w:val="auto"/>
          <w:sz w:val="22"/>
          <w:szCs w:val="21"/>
          <w:highlight w:val="none"/>
          <w:u w:val="single"/>
        </w:rPr>
        <w:t xml:space="preserve">                                 </w:t>
      </w:r>
    </w:p>
    <w:p w14:paraId="719ED05D">
      <w:pPr>
        <w:tabs>
          <w:tab w:val="left" w:pos="630"/>
        </w:tabs>
        <w:spacing w:line="1000" w:lineRule="exact"/>
        <w:ind w:firstLine="630"/>
        <w:rPr>
          <w:rFonts w:ascii="宋体" w:hAnsi="宋体" w:cs="宋体"/>
          <w:b/>
          <w:color w:val="auto"/>
          <w:sz w:val="22"/>
          <w:szCs w:val="21"/>
          <w:highlight w:val="none"/>
          <w:u w:val="single"/>
        </w:rPr>
      </w:pPr>
      <w:r>
        <w:rPr>
          <w:rFonts w:hint="eastAsia" w:ascii="宋体" w:hAnsi="宋体" w:cs="宋体"/>
          <w:b/>
          <w:color w:val="auto"/>
          <w:sz w:val="22"/>
          <w:szCs w:val="21"/>
          <w:highlight w:val="none"/>
        </w:rPr>
        <w:t>签订日期：</w:t>
      </w:r>
      <w:r>
        <w:rPr>
          <w:rFonts w:hint="eastAsia" w:ascii="宋体" w:hAnsi="宋体" w:cs="宋体"/>
          <w:b w:val="0"/>
          <w:bCs/>
          <w:color w:val="auto"/>
          <w:sz w:val="22"/>
          <w:szCs w:val="21"/>
          <w:highlight w:val="none"/>
          <w:u w:val="single"/>
        </w:rPr>
        <w:t xml:space="preserve">             </w:t>
      </w:r>
      <w:r>
        <w:rPr>
          <w:rFonts w:hint="eastAsia" w:ascii="宋体" w:hAnsi="宋体" w:cs="宋体"/>
          <w:b w:val="0"/>
          <w:bCs/>
          <w:color w:val="auto"/>
          <w:sz w:val="22"/>
          <w:szCs w:val="21"/>
          <w:highlight w:val="none"/>
        </w:rPr>
        <w:t>年</w:t>
      </w:r>
      <w:r>
        <w:rPr>
          <w:rFonts w:hint="eastAsia" w:ascii="宋体" w:hAnsi="宋体" w:cs="宋体"/>
          <w:b w:val="0"/>
          <w:bCs/>
          <w:color w:val="auto"/>
          <w:sz w:val="22"/>
          <w:szCs w:val="21"/>
          <w:highlight w:val="none"/>
          <w:u w:val="single"/>
        </w:rPr>
        <w:t xml:space="preserve">         </w:t>
      </w:r>
      <w:r>
        <w:rPr>
          <w:rFonts w:hint="eastAsia" w:ascii="宋体" w:hAnsi="宋体" w:cs="宋体"/>
          <w:b w:val="0"/>
          <w:bCs/>
          <w:color w:val="auto"/>
          <w:sz w:val="22"/>
          <w:szCs w:val="21"/>
          <w:highlight w:val="none"/>
        </w:rPr>
        <w:t>月</w:t>
      </w:r>
      <w:r>
        <w:rPr>
          <w:rFonts w:hint="eastAsia" w:ascii="宋体" w:hAnsi="宋体" w:cs="宋体"/>
          <w:b w:val="0"/>
          <w:bCs/>
          <w:color w:val="auto"/>
          <w:sz w:val="22"/>
          <w:szCs w:val="21"/>
          <w:highlight w:val="none"/>
          <w:u w:val="single"/>
        </w:rPr>
        <w:t xml:space="preserve">         </w:t>
      </w:r>
      <w:r>
        <w:rPr>
          <w:rFonts w:hint="eastAsia" w:ascii="宋体" w:hAnsi="宋体" w:cs="宋体"/>
          <w:b w:val="0"/>
          <w:bCs/>
          <w:color w:val="auto"/>
          <w:sz w:val="22"/>
          <w:szCs w:val="21"/>
          <w:highlight w:val="none"/>
        </w:rPr>
        <w:t>日</w:t>
      </w:r>
    </w:p>
    <w:p w14:paraId="286828EB">
      <w:pPr>
        <w:ind w:firstLine="0" w:firstLineChars="0"/>
        <w:jc w:val="center"/>
        <w:rPr>
          <w:rFonts w:hint="eastAsia" w:ascii="方正小标宋简体" w:hAnsi="方正小标宋简体" w:eastAsia="方正小标宋简体" w:cs="方正小标宋简体"/>
          <w:b w:val="0"/>
          <w:bCs/>
          <w:color w:val="auto"/>
          <w:sz w:val="40"/>
          <w:szCs w:val="40"/>
          <w:highlight w:val="none"/>
        </w:rPr>
      </w:pPr>
      <w:r>
        <w:rPr>
          <w:rFonts w:hint="eastAsia" w:ascii="宋体" w:hAnsi="宋体" w:cs="宋体"/>
          <w:b/>
          <w:color w:val="auto"/>
          <w:sz w:val="40"/>
          <w:szCs w:val="22"/>
          <w:highlight w:val="none"/>
        </w:rPr>
        <w:br w:type="page"/>
      </w:r>
      <w:r>
        <w:rPr>
          <w:rFonts w:hint="eastAsia" w:ascii="方正小标宋简体" w:hAnsi="方正小标宋简体" w:eastAsia="方正小标宋简体" w:cs="方正小标宋简体"/>
          <w:b w:val="0"/>
          <w:bCs/>
          <w:color w:val="auto"/>
          <w:sz w:val="32"/>
          <w:szCs w:val="32"/>
          <w:highlight w:val="none"/>
        </w:rPr>
        <w:t>技</w:t>
      </w:r>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术</w:t>
      </w:r>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服</w:t>
      </w:r>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务</w:t>
      </w:r>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合</w:t>
      </w:r>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同</w:t>
      </w:r>
    </w:p>
    <w:p w14:paraId="5D4CAE5F">
      <w:pPr>
        <w:spacing w:line="360" w:lineRule="auto"/>
        <w:rPr>
          <w:rFonts w:ascii="宋体" w:hAnsi="宋体" w:cs="宋体"/>
          <w:b/>
          <w:color w:val="auto"/>
          <w:sz w:val="24"/>
          <w:szCs w:val="24"/>
          <w:highlight w:val="none"/>
        </w:rPr>
      </w:pPr>
    </w:p>
    <w:p w14:paraId="4291824B">
      <w:pPr>
        <w:spacing w:line="360" w:lineRule="auto"/>
        <w:rPr>
          <w:rFonts w:ascii="宋体" w:hAnsi="宋体" w:cs="宋体"/>
          <w:b/>
          <w:color w:val="auto"/>
          <w:sz w:val="21"/>
          <w:szCs w:val="21"/>
          <w:highlight w:val="none"/>
          <w:u w:val="single"/>
        </w:rPr>
      </w:pPr>
      <w:r>
        <w:rPr>
          <w:rFonts w:hint="eastAsia" w:ascii="宋体" w:hAnsi="宋体" w:cs="宋体"/>
          <w:b/>
          <w:color w:val="auto"/>
          <w:sz w:val="21"/>
          <w:szCs w:val="21"/>
          <w:highlight w:val="none"/>
        </w:rPr>
        <w:t>委托人（甲方）：</w:t>
      </w:r>
      <w:r>
        <w:rPr>
          <w:rFonts w:hint="eastAsia" w:ascii="宋体" w:hAnsi="宋体" w:cs="宋体"/>
          <w:b/>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阳江市碧源水资源开发有限公司</w:t>
      </w:r>
      <w:r>
        <w:rPr>
          <w:rFonts w:hint="eastAsia" w:ascii="宋体" w:hAnsi="宋体" w:cs="宋体"/>
          <w:b/>
          <w:color w:val="auto"/>
          <w:sz w:val="21"/>
          <w:szCs w:val="21"/>
          <w:highlight w:val="none"/>
          <w:u w:val="single"/>
          <w:lang w:val="en-US" w:eastAsia="zh-CN"/>
        </w:rPr>
        <w:t xml:space="preserve">       </w:t>
      </w:r>
    </w:p>
    <w:p w14:paraId="20215323">
      <w:pPr>
        <w:spacing w:line="360" w:lineRule="auto"/>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受托人（乙方）：</w:t>
      </w:r>
      <w:r>
        <w:rPr>
          <w:rFonts w:hint="eastAsia" w:ascii="宋体" w:hAnsi="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cs="宋体"/>
          <w:b/>
          <w:color w:val="auto"/>
          <w:sz w:val="21"/>
          <w:szCs w:val="21"/>
          <w:highlight w:val="none"/>
          <w:u w:val="single"/>
        </w:rPr>
        <w:t xml:space="preserve">                </w:t>
      </w:r>
    </w:p>
    <w:p w14:paraId="2943A036">
      <w:pPr>
        <w:spacing w:line="360" w:lineRule="auto"/>
        <w:rPr>
          <w:color w:val="auto"/>
          <w:highlight w:val="none"/>
        </w:rPr>
      </w:pPr>
      <w:r>
        <w:rPr>
          <w:rFonts w:hint="eastAsia" w:ascii="宋体" w:hAnsi="宋体" w:cs="宋体"/>
          <w:b/>
          <w:color w:val="auto"/>
          <w:sz w:val="21"/>
          <w:szCs w:val="21"/>
          <w:highlight w:val="none"/>
        </w:rPr>
        <w:t>受托人（乙方）</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如有</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 xml:space="preserve">                               </w:t>
      </w:r>
    </w:p>
    <w:p w14:paraId="226656D9">
      <w:pPr>
        <w:pStyle w:val="5"/>
        <w:spacing w:after="0"/>
        <w:ind w:firstLine="420" w:firstLineChars="200"/>
        <w:rPr>
          <w:rFonts w:ascii="宋体" w:hAnsi="宋体" w:cs="宋体"/>
          <w:bCs/>
          <w:color w:val="auto"/>
          <w:sz w:val="21"/>
          <w:szCs w:val="21"/>
          <w:highlight w:val="none"/>
        </w:rPr>
      </w:pPr>
      <w:r>
        <w:rPr>
          <w:rFonts w:hint="default" w:ascii="宋体" w:hAnsi="宋体" w:cs="宋体"/>
          <w:bCs/>
          <w:color w:val="auto"/>
          <w:sz w:val="21"/>
          <w:szCs w:val="21"/>
          <w:highlight w:val="none"/>
        </w:rPr>
        <w:t>根据《中华人民共和国民法典》及国家有关法律、法规的规定，甲、乙双方在平等、自愿、等价有偿、公平、诚实信用的基础上，经友好协商，就甲方委托乙方承担</w:t>
      </w:r>
      <w:r>
        <w:rPr>
          <w:rFonts w:hint="eastAsia" w:ascii="宋体" w:hAnsi="宋体" w:cs="宋体"/>
          <w:bCs/>
          <w:color w:val="auto"/>
          <w:sz w:val="21"/>
          <w:szCs w:val="21"/>
          <w:highlight w:val="none"/>
          <w:u w:val="single"/>
          <w:lang w:val="en-US" w:eastAsia="zh-CN"/>
        </w:rPr>
        <w:t xml:space="preserve"> 阳江水资源配置工程（一期）工程质量检测  </w:t>
      </w:r>
      <w:r>
        <w:rPr>
          <w:rFonts w:hint="default" w:ascii="宋体" w:hAnsi="宋体" w:cs="宋体"/>
          <w:bCs/>
          <w:color w:val="auto"/>
          <w:sz w:val="21"/>
          <w:szCs w:val="21"/>
          <w:highlight w:val="none"/>
        </w:rPr>
        <w:t>工作达成一致意见，特签订本合同，以资信守。</w:t>
      </w:r>
    </w:p>
    <w:p w14:paraId="66BD29D5">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 xml:space="preserve">第一条 </w:t>
      </w:r>
      <w:r>
        <w:rPr>
          <w:rFonts w:hint="eastAsia" w:ascii="宋体" w:hAnsi="宋体" w:cs="宋体"/>
          <w:b/>
          <w:color w:val="auto"/>
          <w:sz w:val="22"/>
          <w:szCs w:val="22"/>
          <w:highlight w:val="none"/>
          <w:lang w:val="en-US" w:eastAsia="zh-CN"/>
        </w:rPr>
        <w:t xml:space="preserve"> </w:t>
      </w:r>
      <w:r>
        <w:rPr>
          <w:rFonts w:hint="eastAsia" w:ascii="宋体" w:hAnsi="宋体" w:cs="宋体"/>
          <w:b/>
          <w:color w:val="auto"/>
          <w:sz w:val="22"/>
          <w:szCs w:val="22"/>
          <w:highlight w:val="none"/>
        </w:rPr>
        <w:t>工程概况</w:t>
      </w:r>
    </w:p>
    <w:p w14:paraId="49A3C1BA">
      <w:pPr>
        <w:spacing w:line="360" w:lineRule="auto"/>
        <w:ind w:firstLine="420" w:firstLineChars="200"/>
        <w:rPr>
          <w:rFonts w:hint="default" w:ascii="宋体" w:hAnsi="宋体"/>
          <w:color w:val="auto"/>
          <w:kern w:val="0"/>
          <w:sz w:val="21"/>
          <w:szCs w:val="21"/>
          <w:highlight w:val="none"/>
          <w:u w:val="single"/>
          <w:lang w:val="en-US" w:eastAsia="zh-CN"/>
        </w:rPr>
      </w:pPr>
      <w:r>
        <w:rPr>
          <w:rFonts w:hint="eastAsia" w:ascii="宋体" w:hAnsi="宋体" w:cs="宋体"/>
          <w:color w:val="auto"/>
          <w:sz w:val="21"/>
          <w:szCs w:val="21"/>
          <w:highlight w:val="none"/>
        </w:rPr>
        <w:t>1、工程名称：</w:t>
      </w:r>
      <w:r>
        <w:rPr>
          <w:rFonts w:hint="eastAsia" w:ascii="宋体" w:hAnsi="宋体"/>
          <w:color w:val="auto"/>
          <w:kern w:val="0"/>
          <w:sz w:val="21"/>
          <w:szCs w:val="21"/>
          <w:highlight w:val="none"/>
          <w:u w:val="single"/>
          <w:lang w:val="en-US" w:eastAsia="zh-CN"/>
        </w:rPr>
        <w:t xml:space="preserve">阳江水资源配置工程（一期）                  </w:t>
      </w:r>
    </w:p>
    <w:p w14:paraId="38CB01C4">
      <w:pPr>
        <w:spacing w:line="360" w:lineRule="auto"/>
        <w:ind w:firstLine="420" w:firstLineChars="200"/>
        <w:rPr>
          <w:rFonts w:hint="default" w:ascii="宋体" w:hAnsi="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2、合同名称：</w:t>
      </w:r>
      <w:r>
        <w:rPr>
          <w:rFonts w:hint="eastAsia" w:ascii="宋体" w:hAnsi="宋体" w:cs="宋体"/>
          <w:color w:val="auto"/>
          <w:sz w:val="21"/>
          <w:szCs w:val="21"/>
          <w:highlight w:val="none"/>
          <w:u w:val="single"/>
          <w:lang w:val="en-US" w:eastAsia="zh-CN"/>
        </w:rPr>
        <w:t>阳江水资源配置工程（一期）工程质量检测服务合同</w:t>
      </w:r>
    </w:p>
    <w:p w14:paraId="74007962">
      <w:pPr>
        <w:spacing w:line="360" w:lineRule="auto"/>
        <w:ind w:firstLine="480"/>
        <w:rPr>
          <w:rFonts w:hint="default" w:ascii="宋体" w:hAnsi="宋体" w:cs="宋体"/>
          <w:color w:val="auto"/>
          <w:sz w:val="21"/>
          <w:szCs w:val="21"/>
          <w:highlight w:val="none"/>
          <w:u w:val="single"/>
          <w:lang w:val="en-US"/>
        </w:rPr>
      </w:pPr>
      <w:r>
        <w:rPr>
          <w:rFonts w:hint="eastAsia" w:ascii="宋体" w:hAnsi="宋体" w:cs="宋体"/>
          <w:color w:val="auto"/>
          <w:sz w:val="21"/>
          <w:szCs w:val="21"/>
          <w:highlight w:val="none"/>
        </w:rPr>
        <w:t>2、工程地点：</w:t>
      </w:r>
      <w:r>
        <w:rPr>
          <w:rFonts w:hint="eastAsia" w:ascii="宋体" w:hAnsi="宋体" w:cs="宋体"/>
          <w:color w:val="auto"/>
          <w:sz w:val="21"/>
          <w:szCs w:val="21"/>
          <w:highlight w:val="none"/>
          <w:u w:val="single"/>
          <w:lang w:eastAsia="zh-CN"/>
        </w:rPr>
        <w:t>阳江市</w:t>
      </w:r>
      <w:r>
        <w:rPr>
          <w:rFonts w:hint="eastAsia" w:ascii="宋体" w:hAnsi="宋体" w:cs="宋体"/>
          <w:color w:val="auto"/>
          <w:sz w:val="21"/>
          <w:szCs w:val="21"/>
          <w:highlight w:val="none"/>
          <w:u w:val="single"/>
          <w:lang w:val="en-US" w:eastAsia="zh-CN"/>
        </w:rPr>
        <w:t xml:space="preserve">、阳春市                              </w:t>
      </w:r>
    </w:p>
    <w:p w14:paraId="3CB33636">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第二条  服务范围</w:t>
      </w:r>
    </w:p>
    <w:p w14:paraId="251D3E60">
      <w:pPr>
        <w:spacing w:line="360" w:lineRule="auto"/>
        <w:ind w:firstLine="420" w:firstLineChars="200"/>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按国家现行的规范及规定，对阳江水资源配置工程(一期)第三方工程质量检测（含对比检测、平行检测等），以便为安全施工、质量评定及工程验收提供依据。按照工程进度及时组织检测人员对相应项目进行检测，并出具正式的检测报告。服务范围除以上工程检测与试验工作外，还包括：</w:t>
      </w:r>
    </w:p>
    <w:p w14:paraId="254527F7">
      <w:pPr>
        <w:spacing w:line="360" w:lineRule="auto"/>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①与工程所在行政区域的相关水务行政主管部门和监督部门进行检测工作的沟通协调；及时出具检测数据、成果，确保检测工作不影响工程项目的建设进度和工程验收。</w:t>
      </w:r>
    </w:p>
    <w:p w14:paraId="7284AB38">
      <w:pPr>
        <w:spacing w:line="360" w:lineRule="auto"/>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②在进行检测工作的过程中，应做好与该工程相关的施工、监理、设计、项目建设管理等单位的协调工作。</w:t>
      </w:r>
    </w:p>
    <w:p w14:paraId="402889DD">
      <w:pPr>
        <w:spacing w:line="360" w:lineRule="auto"/>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③根据相关规范、规定，以及相关部门的要求，提供符合要求的检测资料。</w:t>
      </w:r>
    </w:p>
    <w:p w14:paraId="794DE914">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第三条  检测服务期</w:t>
      </w:r>
    </w:p>
    <w:p w14:paraId="21C9AD1F">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检测服务期</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rPr>
        <w:t>自合同签订之日起至工程完工验收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具体开始工作的时间以</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书面通知为准，结束时间以</w:t>
      </w:r>
      <w:r>
        <w:rPr>
          <w:rFonts w:hint="eastAsia" w:ascii="宋体" w:hAnsi="宋体" w:cs="宋体"/>
          <w:color w:val="auto"/>
          <w:sz w:val="21"/>
          <w:szCs w:val="21"/>
          <w:highlight w:val="none"/>
        </w:rPr>
        <w:t>完成所有检测服务内容和工作并提交检测报告为止</w:t>
      </w:r>
      <w:r>
        <w:rPr>
          <w:rFonts w:hint="eastAsia" w:ascii="宋体" w:hAnsi="宋体" w:cs="宋体"/>
          <w:color w:val="auto"/>
          <w:sz w:val="21"/>
          <w:szCs w:val="21"/>
          <w:highlight w:val="none"/>
        </w:rPr>
        <w:t>。</w:t>
      </w:r>
    </w:p>
    <w:p w14:paraId="2569F246">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第四条  检测费用、结算方式及付款方式</w:t>
      </w:r>
    </w:p>
    <w:p w14:paraId="1DCCED53">
      <w:pPr>
        <w:keepNext w:val="0"/>
        <w:keepLines w:val="0"/>
        <w:pageBreakBefore w:val="0"/>
        <w:widowControl w:val="0"/>
        <w:tabs>
          <w:tab w:val="left" w:pos="254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（一）检测费用</w:t>
      </w:r>
    </w:p>
    <w:p w14:paraId="6CF8DC9B">
      <w:pPr>
        <w:spacing w:line="360" w:lineRule="auto"/>
        <w:ind w:firstLine="480"/>
        <w:rPr>
          <w:rFonts w:hint="eastAsia" w:ascii="宋体" w:hAnsi="宋体" w:cs="宋体"/>
          <w:b w:val="0"/>
          <w:bCs/>
          <w:color w:val="auto"/>
          <w:sz w:val="21"/>
          <w:szCs w:val="21"/>
          <w:highlight w:val="none"/>
          <w:lang w:val="en-US" w:eastAsia="zh-CN"/>
        </w:rPr>
      </w:pPr>
      <w:r>
        <w:rPr>
          <w:rFonts w:hint="eastAsia" w:ascii="宋体" w:hAnsi="宋体" w:cs="宋体"/>
          <w:bCs/>
          <w:color w:val="auto"/>
          <w:sz w:val="21"/>
          <w:szCs w:val="21"/>
          <w:highlight w:val="none"/>
        </w:rPr>
        <w:t>本合同暂定</w:t>
      </w:r>
      <w:r>
        <w:rPr>
          <w:rFonts w:hint="eastAsia" w:ascii="宋体" w:hAnsi="宋体" w:cs="宋体"/>
          <w:bCs/>
          <w:color w:val="auto"/>
          <w:sz w:val="21"/>
          <w:szCs w:val="21"/>
          <w:highlight w:val="none"/>
          <w:lang w:val="en-US" w:eastAsia="zh-CN"/>
        </w:rPr>
        <w:t>价</w:t>
      </w:r>
      <w:r>
        <w:rPr>
          <w:rFonts w:hint="eastAsia" w:ascii="宋体" w:hAnsi="宋体" w:cs="宋体"/>
          <w:bCs/>
          <w:color w:val="auto"/>
          <w:sz w:val="21"/>
          <w:szCs w:val="21"/>
          <w:highlight w:val="none"/>
        </w:rPr>
        <w:t>为人民币</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（大写：</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u w:val="none"/>
        </w:rPr>
        <w:t>中标下浮率为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已包</w:t>
      </w:r>
      <w:r>
        <w:rPr>
          <w:rFonts w:hint="eastAsia" w:ascii="宋体" w:hAnsi="宋体" w:cs="宋体"/>
          <w:bCs/>
          <w:color w:val="auto"/>
          <w:sz w:val="21"/>
          <w:szCs w:val="21"/>
          <w:highlight w:val="none"/>
          <w:lang w:val="en-US" w:eastAsia="zh-CN"/>
        </w:rPr>
        <w:t>含检测项的</w:t>
      </w:r>
      <w:r>
        <w:rPr>
          <w:rFonts w:hint="eastAsia" w:ascii="宋体" w:hAnsi="宋体" w:cs="宋体"/>
          <w:bCs/>
          <w:color w:val="auto"/>
          <w:sz w:val="21"/>
          <w:szCs w:val="21"/>
          <w:highlight w:val="none"/>
        </w:rPr>
        <w:t>实物工作收费、技术工作收费、取样、实验及利润、税金等全部费用。</w:t>
      </w:r>
      <w:r>
        <w:rPr>
          <w:rFonts w:hint="eastAsia" w:ascii="宋体" w:hAnsi="宋体" w:cs="宋体"/>
          <w:bCs/>
          <w:color w:val="auto"/>
          <w:sz w:val="21"/>
          <w:szCs w:val="21"/>
          <w:highlight w:val="none"/>
          <w:lang w:val="en-US" w:eastAsia="zh-CN"/>
        </w:rPr>
        <w:t>本合同价为完成阳江水资源配置工程（一期）工程质量检测的所有费用，</w:t>
      </w:r>
      <w:r>
        <w:rPr>
          <w:rFonts w:hint="eastAsia" w:ascii="宋体" w:hAnsi="宋体" w:cs="宋体"/>
          <w:b w:val="0"/>
          <w:bCs/>
          <w:color w:val="auto"/>
          <w:sz w:val="21"/>
          <w:szCs w:val="21"/>
          <w:highlight w:val="none"/>
          <w:lang w:val="en-US" w:eastAsia="zh-CN"/>
        </w:rPr>
        <w:t>包括但不限于为完成阳江水资源配置工程（一期）检测范围的所有监测及检测工作。</w:t>
      </w:r>
    </w:p>
    <w:p w14:paraId="62DD437C">
      <w:pPr>
        <w:spacing w:line="360" w:lineRule="auto"/>
        <w:ind w:firstLine="48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本合同</w:t>
      </w:r>
      <w:r>
        <w:rPr>
          <w:rFonts w:hint="eastAsia" w:ascii="宋体" w:hAnsi="宋体" w:cs="宋体"/>
          <w:bCs/>
          <w:color w:val="auto"/>
          <w:sz w:val="21"/>
          <w:szCs w:val="21"/>
          <w:highlight w:val="none"/>
        </w:rPr>
        <w:t>最终结算金额以财政部门或</w:t>
      </w:r>
      <w:r>
        <w:rPr>
          <w:rFonts w:hint="eastAsia" w:ascii="宋体" w:hAnsi="宋体" w:cs="宋体"/>
          <w:bCs/>
          <w:color w:val="auto"/>
          <w:sz w:val="21"/>
          <w:szCs w:val="21"/>
          <w:highlight w:val="none"/>
          <w:lang w:val="en-US" w:eastAsia="zh-CN"/>
        </w:rPr>
        <w:t>甲方</w:t>
      </w:r>
      <w:r>
        <w:rPr>
          <w:rFonts w:hint="eastAsia" w:ascii="宋体" w:hAnsi="宋体" w:cs="宋体"/>
          <w:bCs/>
          <w:color w:val="auto"/>
          <w:sz w:val="21"/>
          <w:szCs w:val="21"/>
          <w:highlight w:val="none"/>
        </w:rPr>
        <w:t>确定的第三方造价咨询机构审定的金额为准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但</w:t>
      </w:r>
      <w:r>
        <w:rPr>
          <w:rFonts w:hint="eastAsia" w:ascii="宋体" w:hAnsi="宋体" w:cs="宋体"/>
          <w:bCs/>
          <w:color w:val="auto"/>
          <w:sz w:val="21"/>
          <w:szCs w:val="21"/>
          <w:highlight w:val="none"/>
        </w:rPr>
        <w:t>不得超过批复概算</w:t>
      </w:r>
      <w:r>
        <w:rPr>
          <w:rFonts w:hint="eastAsia" w:ascii="宋体" w:hAnsi="宋体" w:cs="宋体"/>
          <w:bCs/>
          <w:color w:val="auto"/>
          <w:sz w:val="21"/>
          <w:szCs w:val="21"/>
          <w:highlight w:val="none"/>
          <w:lang w:val="en-US" w:eastAsia="zh-CN"/>
        </w:rPr>
        <w:t>金额。</w:t>
      </w:r>
    </w:p>
    <w:p w14:paraId="785D759B">
      <w:pPr>
        <w:keepNext w:val="0"/>
        <w:keepLines w:val="0"/>
        <w:pageBreakBefore w:val="0"/>
        <w:widowControl w:val="0"/>
        <w:tabs>
          <w:tab w:val="left" w:pos="254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结算方式</w:t>
      </w:r>
    </w:p>
    <w:p w14:paraId="57274E49">
      <w:pPr>
        <w:tabs>
          <w:tab w:val="left" w:pos="2540"/>
        </w:tabs>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1、实际完成金额=实际完成的检测项及数量×相关取费标准规定的单价；</w:t>
      </w:r>
    </w:p>
    <w:p w14:paraId="14A7D05B">
      <w:pPr>
        <w:tabs>
          <w:tab w:val="left" w:pos="2540"/>
        </w:tabs>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2、下浮后金额=实际完成金额×（1-中标下浮率）；</w:t>
      </w:r>
    </w:p>
    <w:p w14:paraId="4F4C2373">
      <w:pPr>
        <w:tabs>
          <w:tab w:val="left" w:pos="2540"/>
        </w:tabs>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3、若下浮后金额大于合同暂定价，则按合同暂定价结算；若下浮后金额小于合同暂定价，则按下浮后金额结算。</w:t>
      </w:r>
    </w:p>
    <w:p w14:paraId="1DEE65B0">
      <w:pPr>
        <w:tabs>
          <w:tab w:val="left" w:pos="2540"/>
        </w:tabs>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相关取费标准指的是《国家计委、建设部关于发布&lt;工程勘察设计收费管理规定&gt;的通知》（计价格[2002]10号）、《省物价局关于交通建设工程现场检测和工程材料试（检）验收费问题的复函》（粤价函[2012]1490号）、《关于建筑工程质量检测收费问题的复函》（粤价函[2004]428号）、《关于印发&lt;广东省房屋建筑和市政工程质量安全检测收费指导价（第一批）&gt;、&lt;广东省既有房屋建筑安全性鉴定收费指导价&gt;的通知》（粤建检协[2015]8号）以及由政府部门发布的最新指导价文件。如同一检测内容的收费标准有不一致时，取最低单价。</w:t>
      </w:r>
    </w:p>
    <w:p w14:paraId="7285B079">
      <w:pPr>
        <w:keepNext w:val="0"/>
        <w:keepLines w:val="0"/>
        <w:pageBreakBefore w:val="0"/>
        <w:widowControl w:val="0"/>
        <w:tabs>
          <w:tab w:val="left" w:pos="254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付款方式（资金到位后支付）</w:t>
      </w:r>
    </w:p>
    <w:p w14:paraId="0576BD06">
      <w:pPr>
        <w:pStyle w:val="8"/>
        <w:adjustRightInd w:val="0"/>
        <w:spacing w:line="360" w:lineRule="auto"/>
        <w:ind w:right="246" w:firstLine="420" w:firstLineChars="20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1、合同双方签订生效后，甲方向乙方支付合同暂定价的30%作预付款；</w:t>
      </w:r>
    </w:p>
    <w:p w14:paraId="2DA7B467">
      <w:pPr>
        <w:pStyle w:val="8"/>
        <w:adjustRightInd w:val="0"/>
        <w:spacing w:line="360" w:lineRule="auto"/>
        <w:ind w:right="246" w:firstLine="420" w:firstLineChars="20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2、乙方可根据检测工作进度据实申请进度款。进度款为实际完成金额×（1-中标下浮率）。</w:t>
      </w:r>
    </w:p>
    <w:p w14:paraId="0FF28708">
      <w:pPr>
        <w:pStyle w:val="8"/>
        <w:adjustRightInd w:val="0"/>
        <w:spacing w:line="360" w:lineRule="auto"/>
        <w:ind w:right="246" w:firstLine="420" w:firstLineChars="20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3、甲方有权根据财政资金到位情况调整请款支付时间。若因财政资金不到位而延迟支付，不属于甲方违约。</w:t>
      </w:r>
    </w:p>
    <w:p w14:paraId="6BD29A41">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第五条 </w:t>
      </w:r>
      <w:r>
        <w:rPr>
          <w:rFonts w:hint="eastAsia" w:ascii="宋体" w:hAnsi="宋体" w:cs="宋体"/>
          <w:b/>
          <w:color w:val="auto"/>
          <w:sz w:val="22"/>
          <w:szCs w:val="22"/>
          <w:highlight w:val="none"/>
          <w:lang w:val="en-US" w:eastAsia="zh-CN"/>
        </w:rPr>
        <w:t xml:space="preserve"> </w:t>
      </w:r>
      <w:r>
        <w:rPr>
          <w:rFonts w:hint="eastAsia" w:ascii="宋体" w:hAnsi="宋体" w:cs="宋体"/>
          <w:b/>
          <w:color w:val="auto"/>
          <w:sz w:val="22"/>
          <w:szCs w:val="22"/>
          <w:highlight w:val="none"/>
        </w:rPr>
        <w:t>双方义务</w:t>
      </w:r>
    </w:p>
    <w:p w14:paraId="6776A9AB">
      <w:pPr>
        <w:keepNext w:val="0"/>
        <w:keepLines w:val="0"/>
        <w:pageBreakBefore w:val="0"/>
        <w:widowControl w:val="0"/>
        <w:tabs>
          <w:tab w:val="left" w:pos="254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（一）甲方义务</w:t>
      </w:r>
    </w:p>
    <w:p w14:paraId="34575720">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1、委派业主代表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lang w:val="en-US" w:eastAsia="zh-CN"/>
        </w:rPr>
        <w:t>及</w:t>
      </w:r>
      <w:r>
        <w:rPr>
          <w:rFonts w:hint="eastAsia" w:ascii="宋体" w:hAnsi="宋体" w:cs="宋体"/>
          <w:color w:val="auto"/>
          <w:sz w:val="21"/>
          <w:szCs w:val="21"/>
          <w:highlight w:val="none"/>
          <w:u w:val="single"/>
          <w:lang w:val="en-US" w:eastAsia="zh-CN"/>
        </w:rPr>
        <w:t>项目管理单位</w:t>
      </w:r>
      <w:r>
        <w:rPr>
          <w:rFonts w:hint="eastAsia" w:ascii="宋体" w:hAnsi="宋体" w:cs="宋体"/>
          <w:color w:val="auto"/>
          <w:sz w:val="21"/>
          <w:szCs w:val="21"/>
          <w:highlight w:val="none"/>
        </w:rPr>
        <w:t>负责对检测工作进行全面管理，解决检测过程中出现的需要甲方协调的相关问题，并参与检测的初验、各种验收和签证工作。如变更</w:t>
      </w:r>
      <w:r>
        <w:rPr>
          <w:rFonts w:hint="eastAsia" w:ascii="宋体" w:hAnsi="宋体" w:cs="宋体"/>
          <w:color w:val="auto"/>
          <w:sz w:val="21"/>
          <w:szCs w:val="21"/>
          <w:highlight w:val="none"/>
          <w:lang w:val="en-US" w:eastAsia="zh-CN"/>
        </w:rPr>
        <w:t>项目管理单位</w:t>
      </w:r>
      <w:r>
        <w:rPr>
          <w:rFonts w:hint="eastAsia" w:ascii="宋体" w:hAnsi="宋体" w:cs="宋体"/>
          <w:color w:val="auto"/>
          <w:sz w:val="21"/>
          <w:szCs w:val="21"/>
          <w:highlight w:val="none"/>
        </w:rPr>
        <w:t>应及时通知乙方。</w:t>
      </w:r>
    </w:p>
    <w:p w14:paraId="21396CE9">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2、提供有关工程检测需要的设计、施工及场地的岩土和地质等资料，并协调乙方与其他各承包单位的关系。</w:t>
      </w:r>
    </w:p>
    <w:p w14:paraId="133F0B69">
      <w:pPr>
        <w:autoSpaceDE w:val="0"/>
        <w:autoSpaceDN w:val="0"/>
        <w:adjustRightInd w:val="0"/>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3、在收到乙方提交的检测报告和相关文件资料</w:t>
      </w:r>
      <w:r>
        <w:rPr>
          <w:rFonts w:hint="eastAsia" w:ascii="宋体" w:hAnsi="宋体" w:cs="宋体"/>
          <w:color w:val="auto"/>
          <w:sz w:val="21"/>
          <w:szCs w:val="21"/>
          <w:highlight w:val="none"/>
          <w:lang w:val="en-US" w:eastAsia="zh-CN"/>
        </w:rPr>
        <w:t>经监理、建设项目管理单位审核</w:t>
      </w:r>
      <w:r>
        <w:rPr>
          <w:rFonts w:hint="eastAsia" w:ascii="宋体" w:hAnsi="宋体" w:cs="宋体"/>
          <w:color w:val="auto"/>
          <w:sz w:val="21"/>
          <w:szCs w:val="21"/>
          <w:highlight w:val="none"/>
        </w:rPr>
        <w:t>后七日内予以确认，并按合同约定支付检测费用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但如因财政资金支付有拖延时，甲方不负任何责任</w:t>
      </w:r>
      <w:r>
        <w:rPr>
          <w:rFonts w:hint="eastAsia" w:ascii="宋体" w:hAnsi="宋体" w:cs="宋体"/>
          <w:color w:val="auto"/>
          <w:sz w:val="21"/>
          <w:szCs w:val="21"/>
          <w:highlight w:val="none"/>
        </w:rPr>
        <w:t>。</w:t>
      </w:r>
    </w:p>
    <w:p w14:paraId="3ED79F87">
      <w:pPr>
        <w:pStyle w:val="2"/>
        <w:spacing w:line="360" w:lineRule="auto"/>
        <w:ind w:left="0" w:leftChars="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4、为现场检测提供必需的条件，包括但不限于：检测场地安全、检测人员出入许可（进出检测现场）、检测仪表安装布置条件等。</w:t>
      </w:r>
    </w:p>
    <w:p w14:paraId="2FAA83E9">
      <w:pPr>
        <w:pStyle w:val="2"/>
        <w:spacing w:line="360" w:lineRule="auto"/>
        <w:ind w:left="0" w:leftChars="0"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5、组织管理单位进行现场配合，并指派1名熟悉本项目的管理人员或工程技术人员和1~2名工人配合。并提供登高作业用的梯子等辅助工具以及辅助性设施。</w:t>
      </w:r>
    </w:p>
    <w:p w14:paraId="239F083B">
      <w:pPr>
        <w:pStyle w:val="2"/>
        <w:spacing w:line="360" w:lineRule="auto"/>
        <w:ind w:left="0" w:leftChars="0" w:firstLine="42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6、负责检测后的现场修复和清理工作以及其它必要的协助工作。</w:t>
      </w:r>
    </w:p>
    <w:p w14:paraId="56B6935F">
      <w:pPr>
        <w:keepNext w:val="0"/>
        <w:keepLines w:val="0"/>
        <w:pageBreakBefore w:val="0"/>
        <w:widowControl w:val="0"/>
        <w:tabs>
          <w:tab w:val="left" w:pos="2540"/>
        </w:tabs>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（二）乙方义务</w:t>
      </w:r>
    </w:p>
    <w:p w14:paraId="51453D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1、合同签订后三天内乙方应将检测工作的主要负责人报甲方确认、备案，如须更换检测工作主要负责人，应事先征得甲方</w:t>
      </w:r>
      <w:r>
        <w:rPr>
          <w:rFonts w:hint="eastAsia" w:ascii="宋体" w:hAnsi="宋体" w:cs="宋体"/>
          <w:color w:val="auto"/>
          <w:sz w:val="21"/>
          <w:szCs w:val="21"/>
          <w:highlight w:val="none"/>
          <w:lang w:val="en-US" w:eastAsia="zh-CN"/>
        </w:rPr>
        <w:t>及项目管理单位</w:t>
      </w:r>
      <w:r>
        <w:rPr>
          <w:rFonts w:hint="eastAsia" w:ascii="宋体" w:hAnsi="宋体" w:cs="宋体"/>
          <w:color w:val="auto"/>
          <w:sz w:val="21"/>
          <w:szCs w:val="21"/>
          <w:highlight w:val="none"/>
        </w:rPr>
        <w:t>的书面同意。</w:t>
      </w:r>
    </w:p>
    <w:p w14:paraId="75CAE25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2、及时组织检测设备及检测人员进入现场，具体实施本项目的检测工作，如相关人员必须进行更换时，必须报经甲方批准。</w:t>
      </w:r>
    </w:p>
    <w:p w14:paraId="6827F6F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3、严格按照甲方审批同意的检测方案及相关技术标准进行检测，对检测结果的公正性、可靠性负责。不得与本合同项下工程有利害关系的第三人恶意串通，损害甲方的合法权益。</w:t>
      </w:r>
    </w:p>
    <w:p w14:paraId="14F3A14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4、乙方须按甲方</w:t>
      </w:r>
      <w:r>
        <w:rPr>
          <w:rFonts w:hint="eastAsia" w:ascii="宋体" w:hAnsi="宋体" w:cs="宋体"/>
          <w:color w:val="auto"/>
          <w:sz w:val="21"/>
          <w:szCs w:val="21"/>
          <w:highlight w:val="none"/>
          <w:lang w:val="en-US" w:eastAsia="zh-CN"/>
        </w:rPr>
        <w:t>及项目管理单位</w:t>
      </w:r>
      <w:r>
        <w:rPr>
          <w:rFonts w:hint="eastAsia" w:ascii="宋体" w:hAnsi="宋体" w:cs="宋体"/>
          <w:color w:val="auto"/>
          <w:sz w:val="21"/>
          <w:szCs w:val="21"/>
          <w:highlight w:val="none"/>
        </w:rPr>
        <w:t>确认的具体数量进行检测，每次检测前</w:t>
      </w:r>
      <w:r>
        <w:rPr>
          <w:rFonts w:hint="eastAsia" w:ascii="宋体" w:hAnsi="宋体" w:cs="宋体"/>
          <w:color w:val="auto"/>
          <w:sz w:val="21"/>
          <w:szCs w:val="21"/>
          <w:highlight w:val="none"/>
          <w:lang w:val="en-US" w:eastAsia="zh-CN"/>
        </w:rPr>
        <w:t>需收到</w:t>
      </w:r>
      <w:r>
        <w:rPr>
          <w:rFonts w:hint="eastAsia" w:ascii="宋体" w:hAnsi="宋体" w:cs="宋体"/>
          <w:color w:val="auto"/>
          <w:sz w:val="21"/>
          <w:szCs w:val="21"/>
          <w:highlight w:val="none"/>
        </w:rPr>
        <w:t>甲方业主代表</w:t>
      </w:r>
      <w:r>
        <w:rPr>
          <w:rFonts w:hint="eastAsia" w:ascii="宋体" w:hAnsi="宋体" w:cs="宋体"/>
          <w:color w:val="auto"/>
          <w:sz w:val="21"/>
          <w:szCs w:val="21"/>
          <w:highlight w:val="none"/>
          <w:lang w:val="en-US" w:eastAsia="zh-CN"/>
        </w:rPr>
        <w:t>提供的签字委托单进场检测</w:t>
      </w:r>
      <w:r>
        <w:rPr>
          <w:rFonts w:hint="eastAsia" w:ascii="宋体" w:hAnsi="宋体" w:cs="宋体"/>
          <w:color w:val="auto"/>
          <w:sz w:val="21"/>
          <w:szCs w:val="21"/>
          <w:highlight w:val="none"/>
        </w:rPr>
        <w:t>，并</w:t>
      </w:r>
      <w:r>
        <w:rPr>
          <w:rFonts w:hint="eastAsia" w:ascii="宋体" w:hAnsi="宋体" w:cs="宋体"/>
          <w:color w:val="auto"/>
          <w:sz w:val="21"/>
          <w:szCs w:val="21"/>
          <w:highlight w:val="none"/>
          <w:lang w:val="en-US" w:eastAsia="zh-CN"/>
        </w:rPr>
        <w:t>要求</w:t>
      </w:r>
      <w:r>
        <w:rPr>
          <w:rFonts w:hint="eastAsia" w:ascii="宋体" w:hAnsi="宋体" w:cs="宋体"/>
          <w:color w:val="auto"/>
          <w:sz w:val="21"/>
          <w:szCs w:val="21"/>
          <w:highlight w:val="none"/>
        </w:rPr>
        <w:t>提交检测报告，且对其提交成果报告的真实性、有效性、准确性负责。</w:t>
      </w:r>
    </w:p>
    <w:p w14:paraId="1A8648A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5、检测过程中如发现桩基设计和施工错误或不合理时，应立即书面通知甲方。</w:t>
      </w:r>
    </w:p>
    <w:p w14:paraId="2A2BF17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6、达到本合同约定的付款条件</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进度款</w:t>
      </w:r>
      <w:r>
        <w:rPr>
          <w:rFonts w:hint="eastAsia" w:ascii="宋体" w:hAnsi="宋体" w:cs="宋体"/>
          <w:color w:val="auto"/>
          <w:sz w:val="21"/>
          <w:szCs w:val="21"/>
          <w:highlight w:val="none"/>
        </w:rPr>
        <w:t>付款申请并提供相关资料</w:t>
      </w:r>
      <w:r>
        <w:rPr>
          <w:rFonts w:hint="eastAsia" w:ascii="宋体" w:hAnsi="宋体" w:cs="宋体"/>
          <w:color w:val="auto"/>
          <w:sz w:val="21"/>
          <w:szCs w:val="21"/>
          <w:highlight w:val="none"/>
          <w:lang w:val="en-US" w:eastAsia="zh-CN"/>
        </w:rPr>
        <w:t>报项目管理单位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甲方</w:t>
      </w:r>
      <w:r>
        <w:rPr>
          <w:rFonts w:hint="eastAsia" w:ascii="宋体" w:hAnsi="宋体" w:cs="宋体"/>
          <w:color w:val="auto"/>
          <w:sz w:val="21"/>
          <w:szCs w:val="21"/>
          <w:highlight w:val="none"/>
          <w:lang w:val="en-US" w:eastAsia="zh-CN"/>
        </w:rPr>
        <w:t>审批支付</w:t>
      </w:r>
      <w:r>
        <w:rPr>
          <w:rFonts w:hint="eastAsia" w:ascii="宋体" w:hAnsi="宋体" w:cs="宋体"/>
          <w:color w:val="auto"/>
          <w:sz w:val="21"/>
          <w:szCs w:val="21"/>
          <w:highlight w:val="none"/>
        </w:rPr>
        <w:t>。若乙方</w:t>
      </w:r>
      <w:r>
        <w:rPr>
          <w:rFonts w:hint="eastAsia" w:ascii="宋体" w:hAnsi="宋体" w:cs="宋体"/>
          <w:color w:val="auto"/>
          <w:sz w:val="21"/>
          <w:szCs w:val="21"/>
          <w:highlight w:val="none"/>
          <w:lang w:val="en-US" w:eastAsia="zh-CN"/>
        </w:rPr>
        <w:t>在审批过程中</w:t>
      </w:r>
      <w:r>
        <w:rPr>
          <w:rFonts w:hint="eastAsia" w:ascii="宋体" w:hAnsi="宋体" w:cs="宋体"/>
          <w:color w:val="auto"/>
          <w:sz w:val="21"/>
          <w:szCs w:val="21"/>
          <w:highlight w:val="none"/>
        </w:rPr>
        <w:t>未及时提供</w:t>
      </w:r>
      <w:r>
        <w:rPr>
          <w:rFonts w:hint="eastAsia" w:ascii="宋体" w:hAnsi="宋体" w:cs="宋体"/>
          <w:color w:val="auto"/>
          <w:sz w:val="21"/>
          <w:szCs w:val="21"/>
          <w:highlight w:val="none"/>
          <w:lang w:val="en-US" w:eastAsia="zh-CN"/>
        </w:rPr>
        <w:t>有关</w:t>
      </w:r>
      <w:r>
        <w:rPr>
          <w:rFonts w:hint="eastAsia" w:ascii="宋体" w:hAnsi="宋体" w:cs="宋体"/>
          <w:color w:val="auto"/>
          <w:sz w:val="21"/>
          <w:szCs w:val="21"/>
          <w:highlight w:val="none"/>
        </w:rPr>
        <w:t>资料，甲方可相应顺延付款时间。</w:t>
      </w:r>
    </w:p>
    <w:p w14:paraId="460C746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7、按相关安全法规</w:t>
      </w:r>
      <w:r>
        <w:rPr>
          <w:rFonts w:hint="eastAsia" w:ascii="宋体" w:hAnsi="宋体" w:cs="宋体"/>
          <w:color w:val="auto"/>
          <w:sz w:val="21"/>
          <w:szCs w:val="21"/>
          <w:highlight w:val="none"/>
          <w:lang w:val="en-US" w:eastAsia="zh-CN"/>
        </w:rPr>
        <w:t>开展</w:t>
      </w:r>
      <w:r>
        <w:rPr>
          <w:rFonts w:hint="eastAsia" w:ascii="宋体" w:hAnsi="宋体" w:cs="宋体"/>
          <w:color w:val="auto"/>
          <w:sz w:val="21"/>
          <w:szCs w:val="21"/>
          <w:highlight w:val="none"/>
        </w:rPr>
        <w:t>检测工作，遵守甲方施工现场管理的有关规定，承担在工作过程中的防火、防盗、防止意外事故发生等安全责任。若由于乙方原因发生安全事故，责任由乙方自行承担。</w:t>
      </w:r>
    </w:p>
    <w:p w14:paraId="4E6A4ADA">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、未经甲方同意，乙方不得将任何工作内容分包或转包给其他单位。</w:t>
      </w:r>
    </w:p>
    <w:p w14:paraId="3A172A39">
      <w:pPr>
        <w:snapToGrid w:val="0"/>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9、乙方应在取得成品样后，立即开展试验，并于15个工作天内出具检测结果或报告。若确需延期出具检测结果的，乙方应事先向甲方及项目管理单位说明。</w:t>
      </w:r>
    </w:p>
    <w:p w14:paraId="40D3A737">
      <w:pPr>
        <w:snapToGrid w:val="0"/>
        <w:spacing w:line="360" w:lineRule="auto"/>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10、乙方应尽快在项目施工现场组建现场试验室（最迟需在主体工程开始之前），对于试验要求较高的检测项，如土料、固结灌浆等，应在现场试验室进行试验，试验结果及时通知甲方及各项目参建单位。</w:t>
      </w:r>
    </w:p>
    <w:p w14:paraId="2C81FF25">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第六条  违约责任</w:t>
      </w:r>
    </w:p>
    <w:p w14:paraId="3C403EB5">
      <w:pPr>
        <w:snapToGrid w:val="0"/>
        <w:spacing w:line="360" w:lineRule="auto"/>
        <w:ind w:firstLine="480"/>
        <w:rPr>
          <w:rFonts w:ascii="宋体" w:hAnsi="宋体" w:cs="宋体"/>
          <w:color w:val="auto"/>
          <w:spacing w:val="6"/>
          <w:sz w:val="21"/>
          <w:szCs w:val="21"/>
          <w:highlight w:val="none"/>
        </w:rPr>
      </w:pPr>
      <w:r>
        <w:rPr>
          <w:rFonts w:hint="eastAsia" w:ascii="宋体" w:hAnsi="宋体" w:cs="宋体"/>
          <w:color w:val="auto"/>
          <w:sz w:val="21"/>
          <w:szCs w:val="21"/>
          <w:highlight w:val="none"/>
        </w:rPr>
        <w:t>1、甲方未能按本合同约定提供检测场地的，工期相应顺延。</w:t>
      </w:r>
    </w:p>
    <w:p w14:paraId="235C7643">
      <w:pPr>
        <w:snapToGri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2、甲方逾期付款的，</w:t>
      </w:r>
      <w:r>
        <w:rPr>
          <w:rFonts w:hint="eastAsia" w:ascii="宋体" w:hAnsi="宋体" w:cs="宋体"/>
          <w:color w:val="auto"/>
          <w:spacing w:val="6"/>
          <w:kern w:val="28"/>
          <w:sz w:val="21"/>
          <w:szCs w:val="21"/>
          <w:highlight w:val="none"/>
        </w:rPr>
        <w:t>每逾期一日，甲方按</w:t>
      </w:r>
      <w:r>
        <w:rPr>
          <w:rFonts w:hint="eastAsia" w:ascii="宋体" w:hAnsi="宋体" w:cs="宋体"/>
          <w:color w:val="auto"/>
          <w:sz w:val="21"/>
          <w:szCs w:val="21"/>
          <w:highlight w:val="none"/>
          <w:lang w:eastAsia="zh-CN"/>
        </w:rPr>
        <w:t>未付款项</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lang w:val="en-US" w:eastAsia="zh-CN"/>
        </w:rPr>
        <w:t>万分之三</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乙</w:t>
      </w:r>
      <w:r>
        <w:rPr>
          <w:rFonts w:hint="eastAsia" w:ascii="宋体" w:hAnsi="宋体" w:cs="宋体"/>
          <w:color w:val="auto"/>
          <w:sz w:val="21"/>
          <w:szCs w:val="21"/>
          <w:highlight w:val="none"/>
        </w:rPr>
        <w:t>方</w:t>
      </w:r>
      <w:r>
        <w:rPr>
          <w:rFonts w:hint="eastAsia" w:ascii="宋体" w:hAnsi="宋体" w:cs="宋体"/>
          <w:color w:val="auto"/>
          <w:spacing w:val="6"/>
          <w:sz w:val="21"/>
          <w:szCs w:val="21"/>
          <w:highlight w:val="none"/>
        </w:rPr>
        <w:t>支付</w:t>
      </w:r>
      <w:r>
        <w:rPr>
          <w:rFonts w:hint="eastAsia" w:ascii="宋体" w:hAnsi="宋体" w:cs="宋体"/>
          <w:color w:val="auto"/>
          <w:sz w:val="21"/>
          <w:szCs w:val="21"/>
          <w:highlight w:val="none"/>
        </w:rPr>
        <w:t>违约金</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因阳江市财审局审核原因除外</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rPr>
        <w:t>。</w:t>
      </w:r>
    </w:p>
    <w:p w14:paraId="1EAE472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3、乙方未能按合同约定</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时间完成</w:t>
      </w:r>
      <w:r>
        <w:rPr>
          <w:rFonts w:hint="eastAsia" w:ascii="宋体" w:hAnsi="宋体" w:cs="宋体"/>
          <w:color w:val="auto"/>
          <w:sz w:val="21"/>
          <w:szCs w:val="21"/>
          <w:highlight w:val="none"/>
          <w:lang w:val="en-US" w:eastAsia="zh-CN"/>
        </w:rPr>
        <w:t>检测报告</w:t>
      </w:r>
      <w:r>
        <w:rPr>
          <w:rFonts w:hint="eastAsia" w:ascii="宋体" w:hAnsi="宋体" w:cs="宋体"/>
          <w:color w:val="auto"/>
          <w:sz w:val="21"/>
          <w:szCs w:val="21"/>
          <w:highlight w:val="none"/>
        </w:rPr>
        <w:t>，乙方应承担违约责任。每逾期一日，须</w:t>
      </w:r>
      <w:r>
        <w:rPr>
          <w:rFonts w:hint="eastAsia" w:ascii="宋体" w:hAnsi="宋体" w:cs="宋体"/>
          <w:color w:val="auto"/>
          <w:spacing w:val="6"/>
          <w:sz w:val="21"/>
          <w:szCs w:val="21"/>
          <w:highlight w:val="none"/>
        </w:rPr>
        <w:t>按</w:t>
      </w:r>
      <w:r>
        <w:rPr>
          <w:rFonts w:hint="eastAsia" w:ascii="宋体" w:hAnsi="宋体" w:cs="宋体"/>
          <w:color w:val="auto"/>
          <w:sz w:val="21"/>
          <w:szCs w:val="21"/>
          <w:highlight w:val="none"/>
        </w:rPr>
        <w:t>合同总价款的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万分之三</w:t>
      </w:r>
      <w:r>
        <w:rPr>
          <w:rFonts w:hint="eastAsia" w:ascii="宋体" w:hAnsi="宋体" w:cs="宋体"/>
          <w:color w:val="auto"/>
          <w:sz w:val="21"/>
          <w:szCs w:val="21"/>
          <w:highlight w:val="none"/>
        </w:rPr>
        <w:t>向甲方</w:t>
      </w:r>
      <w:r>
        <w:rPr>
          <w:rFonts w:hint="eastAsia" w:ascii="宋体" w:hAnsi="宋体" w:cs="宋体"/>
          <w:color w:val="auto"/>
          <w:spacing w:val="6"/>
          <w:sz w:val="21"/>
          <w:szCs w:val="21"/>
          <w:highlight w:val="none"/>
        </w:rPr>
        <w:t>支付</w:t>
      </w:r>
      <w:r>
        <w:rPr>
          <w:rFonts w:hint="eastAsia" w:ascii="宋体" w:hAnsi="宋体" w:cs="宋体"/>
          <w:color w:val="auto"/>
          <w:sz w:val="21"/>
          <w:szCs w:val="21"/>
          <w:highlight w:val="none"/>
        </w:rPr>
        <w:t>违约金</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若因甲方未配合提供资料或者其他原因，导致延迟出具报告的除外</w:t>
      </w:r>
      <w:r>
        <w:rPr>
          <w:rFonts w:hint="eastAsia" w:ascii="宋体" w:hAnsi="宋体" w:cs="宋体"/>
          <w:color w:val="auto"/>
          <w:sz w:val="21"/>
          <w:szCs w:val="21"/>
          <w:highlight w:val="none"/>
          <w:lang w:eastAsia="zh-CN"/>
        </w:rPr>
        <w:t>）</w:t>
      </w:r>
    </w:p>
    <w:p w14:paraId="03C180A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4、若乙方所提交的检测报告及有关资料不完整，不齐全，或内容不符合甲方要求的，乙方应按甲方要求补充或重新进行检测作业，并补齐有关资料。</w:t>
      </w:r>
    </w:p>
    <w:p w14:paraId="23073C41">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5、若乙方若不按时在施工现场组建试验室，乙方须</w:t>
      </w:r>
      <w:r>
        <w:rPr>
          <w:rFonts w:hint="eastAsia" w:ascii="宋体" w:hAnsi="宋体" w:cs="宋体"/>
          <w:color w:val="auto"/>
          <w:sz w:val="21"/>
          <w:szCs w:val="21"/>
          <w:highlight w:val="none"/>
          <w:lang w:val="en-US" w:eastAsia="zh-CN"/>
        </w:rPr>
        <w:t>按合同总价款的2%向甲方支付违约金</w:t>
      </w:r>
      <w:r>
        <w:rPr>
          <w:rFonts w:hint="eastAsia" w:ascii="宋体" w:hAnsi="宋体" w:cs="宋体"/>
          <w:color w:val="auto"/>
          <w:sz w:val="21"/>
          <w:szCs w:val="21"/>
          <w:highlight w:val="none"/>
          <w:lang w:val="en-US" w:eastAsia="zh-CN"/>
        </w:rPr>
        <w:t>。</w:t>
      </w:r>
    </w:p>
    <w:p w14:paraId="6445265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、乙方在检测过程中，除不可抗力或甲方原因外不得以任何理由停工，</w:t>
      </w:r>
      <w:r>
        <w:rPr>
          <w:rFonts w:hint="eastAsia" w:ascii="宋体" w:hAnsi="宋体" w:eastAsia="宋体" w:cs="宋体"/>
          <w:color w:val="auto"/>
          <w:sz w:val="21"/>
          <w:szCs w:val="21"/>
          <w:highlight w:val="none"/>
        </w:rPr>
        <w:t>工期可以顺延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非上述原因</w:t>
      </w:r>
      <w:r>
        <w:rPr>
          <w:rFonts w:hint="eastAsia" w:ascii="宋体" w:hAnsi="宋体" w:cs="宋体"/>
          <w:color w:val="auto"/>
          <w:sz w:val="21"/>
          <w:szCs w:val="21"/>
          <w:highlight w:val="none"/>
          <w:lang w:val="en-US" w:eastAsia="zh-CN"/>
        </w:rPr>
        <w:t>导致停工，需提前3个工作日提前通知甲方。若无通知甲方，</w:t>
      </w:r>
      <w:r>
        <w:rPr>
          <w:rFonts w:hint="eastAsia" w:ascii="宋体" w:hAnsi="宋体" w:cs="宋体"/>
          <w:color w:val="auto"/>
          <w:sz w:val="21"/>
          <w:szCs w:val="21"/>
          <w:highlight w:val="none"/>
        </w:rPr>
        <w:t>连续停工五个工作日以上的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乙方除应</w:t>
      </w:r>
      <w:r>
        <w:commentReference w:id="0"/>
      </w:r>
      <w:r>
        <w:rPr>
          <w:rFonts w:hint="eastAsia" w:ascii="宋体" w:hAnsi="宋体" w:cs="宋体"/>
          <w:color w:val="auto"/>
          <w:sz w:val="21"/>
          <w:szCs w:val="21"/>
          <w:highlight w:val="none"/>
        </w:rPr>
        <w:t>按本合同总价款的</w:t>
      </w:r>
      <w:r>
        <w:rPr>
          <w:rFonts w:hint="eastAsia" w:ascii="宋体" w:hAnsi="宋体" w:cs="宋体"/>
          <w:color w:val="auto"/>
          <w:sz w:val="21"/>
          <w:szCs w:val="21"/>
          <w:highlight w:val="none"/>
          <w:u w:val="single"/>
          <w:lang w:val="en-US" w:eastAsia="zh-CN"/>
        </w:rPr>
        <w:t xml:space="preserve">  1</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向甲方支付违约金外</w:t>
      </w:r>
      <w:r>
        <w:rPr>
          <w:rFonts w:hint="eastAsia" w:ascii="宋体" w:hAnsi="宋体" w:cs="宋体"/>
          <w:color w:val="auto"/>
          <w:sz w:val="21"/>
          <w:szCs w:val="21"/>
          <w:highlight w:val="none"/>
          <w:lang w:eastAsia="zh-CN"/>
        </w:rPr>
        <w:t>，</w:t>
      </w:r>
      <w:r>
        <w:rPr>
          <w:color w:val="auto"/>
          <w:highlight w:val="none"/>
        </w:rPr>
        <w:commentReference w:id="1"/>
      </w:r>
      <w:r>
        <w:rPr>
          <w:rFonts w:hint="eastAsia"/>
          <w:color w:val="auto"/>
          <w:highlight w:val="none"/>
        </w:rPr>
        <w:t>甲方有权与乙方解除合同</w:t>
      </w:r>
      <w:r>
        <w:rPr>
          <w:rFonts w:hint="eastAsia"/>
          <w:color w:val="auto"/>
          <w:highlight w:val="none"/>
          <w:lang w:eastAsia="zh-CN"/>
        </w:rPr>
        <w:t>。</w:t>
      </w:r>
    </w:p>
    <w:p w14:paraId="4093AF0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、乙方应向甲方支付的违约金，甲方有权直接在应付而未付款中扣除，违约金不足以弥补甲方损失的，甲方可继续向乙方追偿。</w:t>
      </w:r>
    </w:p>
    <w:p w14:paraId="4C83B1BD">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第七条  转让条款</w:t>
      </w:r>
    </w:p>
    <w:p w14:paraId="355773A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未经合同其他方书面同意，任何一方不得全部或部分转让其在本合同项下的权利和义务。</w:t>
      </w:r>
    </w:p>
    <w:p w14:paraId="023BF057">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第八条  合同终止</w:t>
      </w:r>
    </w:p>
    <w:p w14:paraId="775B1509">
      <w:pPr>
        <w:tabs>
          <w:tab w:val="left" w:pos="2540"/>
        </w:tabs>
        <w:spacing w:line="360" w:lineRule="auto"/>
        <w:ind w:firstLine="422" w:firstLineChars="200"/>
        <w:rPr>
          <w:rFonts w:hint="eastAsia" w:ascii="宋体" w:hAnsi="宋体" w:cs="宋体"/>
          <w:b/>
          <w:color w:val="auto"/>
          <w:spacing w:val="0"/>
          <w:sz w:val="21"/>
          <w:szCs w:val="21"/>
          <w:highlight w:val="none"/>
        </w:rPr>
      </w:pPr>
      <w:r>
        <w:rPr>
          <w:rFonts w:hint="eastAsia" w:ascii="宋体" w:hAnsi="宋体" w:cs="宋体"/>
          <w:b/>
          <w:color w:val="auto"/>
          <w:sz w:val="21"/>
          <w:szCs w:val="21"/>
          <w:highlight w:val="none"/>
        </w:rPr>
        <w:t>（一）</w:t>
      </w:r>
      <w:r>
        <w:rPr>
          <w:rFonts w:hint="eastAsia" w:ascii="宋体" w:hAnsi="宋体" w:cs="宋体"/>
          <w:b/>
          <w:color w:val="auto"/>
          <w:spacing w:val="0"/>
          <w:sz w:val="21"/>
          <w:szCs w:val="21"/>
          <w:highlight w:val="none"/>
        </w:rPr>
        <w:t>因</w:t>
      </w:r>
      <w:r>
        <w:rPr>
          <w:rFonts w:hint="eastAsia" w:ascii="宋体" w:hAnsi="宋体" w:cs="宋体"/>
          <w:b/>
          <w:color w:val="auto"/>
          <w:sz w:val="21"/>
          <w:szCs w:val="21"/>
          <w:highlight w:val="none"/>
        </w:rPr>
        <w:t>解除</w:t>
      </w:r>
      <w:r>
        <w:rPr>
          <w:rFonts w:hint="eastAsia" w:ascii="宋体" w:hAnsi="宋体" w:cs="宋体"/>
          <w:b/>
          <w:color w:val="auto"/>
          <w:spacing w:val="0"/>
          <w:sz w:val="21"/>
          <w:szCs w:val="21"/>
          <w:highlight w:val="none"/>
        </w:rPr>
        <w:t>而终止</w:t>
      </w:r>
    </w:p>
    <w:p w14:paraId="76DB875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1、合同一方依本合同其他条款约定行使解除权的，合同自解除通知送达之日起终止。违约方应当向另一方支付违约金或赔偿损失</w:t>
      </w:r>
      <w:r>
        <w:rPr>
          <w:rFonts w:hint="eastAsia" w:ascii="宋体" w:hAnsi="宋体" w:cs="宋体"/>
          <w:color w:val="auto"/>
          <w:sz w:val="21"/>
          <w:szCs w:val="21"/>
          <w:highlight w:val="none"/>
          <w:lang w:eastAsia="zh-CN"/>
        </w:rPr>
        <w:t>；</w:t>
      </w:r>
    </w:p>
    <w:p w14:paraId="4A514B6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2、合同终止后，不</w:t>
      </w:r>
      <w:r>
        <w:rPr>
          <w:rFonts w:hint="eastAsia" w:ascii="宋体" w:hAnsi="宋体" w:cs="宋体"/>
          <w:color w:val="auto"/>
          <w:sz w:val="21"/>
          <w:szCs w:val="21"/>
          <w:highlight w:val="none"/>
          <w:lang w:eastAsia="zh-CN"/>
        </w:rPr>
        <w:t>妨</w:t>
      </w:r>
      <w:r>
        <w:rPr>
          <w:rFonts w:hint="eastAsia" w:ascii="宋体" w:hAnsi="宋体" w:cs="宋体"/>
          <w:color w:val="auto"/>
          <w:sz w:val="21"/>
          <w:szCs w:val="21"/>
          <w:highlight w:val="none"/>
        </w:rPr>
        <w:t>碍一方向违约方追究违约责任。</w:t>
      </w:r>
    </w:p>
    <w:p w14:paraId="30268E09">
      <w:pPr>
        <w:tabs>
          <w:tab w:val="left" w:pos="2540"/>
        </w:tabs>
        <w:spacing w:line="360" w:lineRule="auto"/>
        <w:ind w:firstLine="422" w:firstLineChars="200"/>
        <w:rPr>
          <w:rFonts w:hint="eastAsia" w:ascii="宋体" w:hAnsi="宋体" w:cs="宋体"/>
          <w:b/>
          <w:color w:val="auto"/>
          <w:spacing w:val="0"/>
          <w:sz w:val="21"/>
          <w:szCs w:val="21"/>
          <w:highlight w:val="none"/>
        </w:rPr>
      </w:pPr>
      <w:r>
        <w:rPr>
          <w:rFonts w:hint="eastAsia" w:ascii="宋体" w:hAnsi="宋体" w:cs="宋体"/>
          <w:b/>
          <w:color w:val="auto"/>
          <w:spacing w:val="0"/>
          <w:sz w:val="21"/>
          <w:szCs w:val="21"/>
          <w:highlight w:val="none"/>
        </w:rPr>
        <w:t>（二）</w:t>
      </w:r>
      <w:r>
        <w:rPr>
          <w:rFonts w:hint="eastAsia" w:ascii="宋体" w:hAnsi="宋体" w:cs="宋体"/>
          <w:b/>
          <w:color w:val="auto"/>
          <w:sz w:val="21"/>
          <w:szCs w:val="21"/>
          <w:highlight w:val="none"/>
        </w:rPr>
        <w:t>有下列情形之一的，合同权利义务</w:t>
      </w:r>
      <w:r>
        <w:rPr>
          <w:rFonts w:hint="eastAsia" w:ascii="宋体" w:hAnsi="宋体" w:cs="宋体"/>
          <w:b/>
          <w:color w:val="auto"/>
          <w:spacing w:val="0"/>
          <w:sz w:val="21"/>
          <w:szCs w:val="21"/>
          <w:highlight w:val="none"/>
        </w:rPr>
        <w:t>终止：</w:t>
      </w:r>
    </w:p>
    <w:p w14:paraId="304022E5">
      <w:pPr>
        <w:spacing w:line="360" w:lineRule="auto"/>
        <w:ind w:firstLine="480"/>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1、本合同因已按约定履行完毕而自然终止；</w:t>
      </w:r>
    </w:p>
    <w:p w14:paraId="00D079AA">
      <w:pPr>
        <w:spacing w:line="360" w:lineRule="auto"/>
        <w:ind w:firstLine="480"/>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2、本合同经各方协商一致而终止；</w:t>
      </w:r>
    </w:p>
    <w:p w14:paraId="2811223D">
      <w:pPr>
        <w:spacing w:line="360" w:lineRule="auto"/>
        <w:ind w:firstLine="480"/>
        <w:rPr>
          <w:rFonts w:ascii="宋体" w:hAnsi="宋体" w:cs="宋体"/>
          <w:color w:val="auto"/>
          <w:spacing w:val="8"/>
          <w:sz w:val="21"/>
          <w:szCs w:val="21"/>
          <w:highlight w:val="none"/>
        </w:rPr>
      </w:pPr>
      <w:r>
        <w:rPr>
          <w:rFonts w:hint="eastAsia" w:ascii="宋体" w:hAnsi="宋体" w:cs="宋体"/>
          <w:color w:val="auto"/>
          <w:sz w:val="21"/>
          <w:szCs w:val="21"/>
          <w:highlight w:val="none"/>
        </w:rPr>
        <w:t>3、法律法规规定终止的其他情形。</w:t>
      </w:r>
    </w:p>
    <w:p w14:paraId="736D8414">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第九条  保密条款</w:t>
      </w:r>
    </w:p>
    <w:p w14:paraId="2D3FB6F6">
      <w:pPr>
        <w:spacing w:line="360" w:lineRule="auto"/>
        <w:ind w:firstLine="480"/>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14:paraId="4F74C98E">
      <w:pPr>
        <w:spacing w:line="360" w:lineRule="auto"/>
        <w:ind w:firstLine="480"/>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2、一方违反上述约定导致合同其他方遭受损失或不利影响的，责任方应</w:t>
      </w:r>
      <w:r>
        <w:rPr>
          <w:rFonts w:hint="eastAsia" w:ascii="宋体" w:hAnsi="宋体" w:cs="宋体"/>
          <w:color w:val="auto"/>
          <w:spacing w:val="8"/>
          <w:sz w:val="21"/>
          <w:szCs w:val="21"/>
          <w:highlight w:val="none"/>
        </w:rPr>
        <w:t>按检测总价款的</w:t>
      </w:r>
      <w:r>
        <w:rPr>
          <w:rFonts w:hint="eastAsia" w:ascii="宋体" w:hAnsi="宋体" w:cs="宋体"/>
          <w:color w:val="auto"/>
          <w:spacing w:val="8"/>
          <w:sz w:val="21"/>
          <w:szCs w:val="21"/>
          <w:highlight w:val="none"/>
          <w:u w:val="single"/>
          <w:lang w:val="en-US" w:eastAsia="zh-CN"/>
        </w:rPr>
        <w:t xml:space="preserve">  </w:t>
      </w:r>
      <w:r>
        <w:rPr>
          <w:rFonts w:hint="eastAsia" w:ascii="宋体" w:hAnsi="宋体" w:cs="宋体"/>
          <w:color w:val="auto"/>
          <w:spacing w:val="8"/>
          <w:sz w:val="21"/>
          <w:szCs w:val="21"/>
          <w:highlight w:val="none"/>
          <w:u w:val="single"/>
        </w:rPr>
        <w:t>1%</w:t>
      </w:r>
      <w:r>
        <w:rPr>
          <w:rFonts w:hint="eastAsia" w:ascii="宋体" w:hAnsi="宋体" w:cs="宋体"/>
          <w:color w:val="auto"/>
          <w:spacing w:val="8"/>
          <w:sz w:val="21"/>
          <w:szCs w:val="21"/>
          <w:highlight w:val="none"/>
          <w:u w:val="single"/>
          <w:lang w:val="en-US" w:eastAsia="zh-CN"/>
        </w:rPr>
        <w:t xml:space="preserve">  </w:t>
      </w:r>
      <w:r>
        <w:rPr>
          <w:rFonts w:hint="eastAsia" w:ascii="宋体" w:hAnsi="宋体" w:cs="宋体"/>
          <w:color w:val="auto"/>
          <w:spacing w:val="8"/>
          <w:sz w:val="21"/>
          <w:szCs w:val="21"/>
          <w:highlight w:val="none"/>
        </w:rPr>
        <w:t>向合同其他方支付违约金</w:t>
      </w:r>
      <w:r>
        <w:rPr>
          <w:rFonts w:hint="eastAsia" w:ascii="宋体" w:hAnsi="宋体" w:cs="宋体"/>
          <w:color w:val="auto"/>
          <w:spacing w:val="8"/>
          <w:sz w:val="21"/>
          <w:szCs w:val="21"/>
          <w:highlight w:val="none"/>
        </w:rPr>
        <w:t>，违约金不足以赔偿合同其他方损失的，应按合同其他方的实际损失赔偿。</w:t>
      </w:r>
    </w:p>
    <w:p w14:paraId="1EBCB521">
      <w:pPr>
        <w:spacing w:line="360" w:lineRule="auto"/>
        <w:ind w:firstLine="480"/>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3、保密条款具有独立性，不受本合同的终止或解除的影响。</w:t>
      </w:r>
    </w:p>
    <w:p w14:paraId="6A5E9B75">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第十条  免责条款</w:t>
      </w:r>
    </w:p>
    <w:p w14:paraId="08A5EF97">
      <w:pPr>
        <w:spacing w:line="360" w:lineRule="auto"/>
        <w:ind w:firstLine="480"/>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14:paraId="45206D6C">
      <w:pPr>
        <w:spacing w:line="360" w:lineRule="auto"/>
        <w:ind w:firstLine="480"/>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遭受不可抗力的一方未履行上述义务的，不能免除其违约责任。</w:t>
      </w:r>
    </w:p>
    <w:p w14:paraId="0C3408DC">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第十一条  适用法律条款</w:t>
      </w:r>
    </w:p>
    <w:p w14:paraId="122D6474">
      <w:pPr>
        <w:spacing w:line="360" w:lineRule="auto"/>
        <w:ind w:firstLine="512"/>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本合同的订立、效力、解释、履行和争议的解决均适用中华人民共和国法 律法规。</w:t>
      </w:r>
    </w:p>
    <w:p w14:paraId="7352F0AF">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第十二条  争议的解决</w:t>
      </w:r>
    </w:p>
    <w:p w14:paraId="3DB4350A">
      <w:pPr>
        <w:spacing w:line="360" w:lineRule="auto"/>
        <w:ind w:firstLine="525"/>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凡因执行本合同所发生的或与本合同有关的一切争议，合同各方应通过友好协商解决；如果协商不能解决，任何一方均可向</w:t>
      </w:r>
      <w:r>
        <w:rPr>
          <w:rFonts w:hint="eastAsia" w:ascii="宋体" w:hAnsi="宋体" w:cs="宋体"/>
          <w:color w:val="auto"/>
          <w:spacing w:val="8"/>
          <w:sz w:val="21"/>
          <w:szCs w:val="21"/>
          <w:highlight w:val="none"/>
          <w:lang w:eastAsia="zh-CN"/>
        </w:rPr>
        <w:t>工程所在</w:t>
      </w:r>
      <w:r>
        <w:rPr>
          <w:rFonts w:hint="eastAsia" w:ascii="宋体" w:hAnsi="宋体" w:cs="宋体"/>
          <w:color w:val="auto"/>
          <w:spacing w:val="8"/>
          <w:sz w:val="21"/>
          <w:szCs w:val="21"/>
          <w:highlight w:val="none"/>
        </w:rPr>
        <w:t>地人民法院起诉。</w:t>
      </w:r>
    </w:p>
    <w:p w14:paraId="46EB2135">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第十三条  其它</w:t>
      </w:r>
    </w:p>
    <w:p w14:paraId="41BB01FA">
      <w:pPr>
        <w:spacing w:line="360" w:lineRule="auto"/>
        <w:ind w:firstLine="512"/>
        <w:rPr>
          <w:rFonts w:ascii="宋体" w:hAnsi="宋体" w:cs="宋体"/>
          <w:color w:val="auto"/>
          <w:sz w:val="21"/>
          <w:szCs w:val="21"/>
          <w:highlight w:val="none"/>
        </w:rPr>
      </w:pPr>
      <w:r>
        <w:rPr>
          <w:rFonts w:hint="eastAsia" w:ascii="宋体" w:hAnsi="宋体" w:cs="宋体"/>
          <w:color w:val="auto"/>
          <w:spacing w:val="8"/>
          <w:sz w:val="21"/>
          <w:szCs w:val="21"/>
          <w:highlight w:val="none"/>
        </w:rPr>
        <w:t>1、</w:t>
      </w:r>
      <w:r>
        <w:rPr>
          <w:rFonts w:hint="eastAsia" w:ascii="宋体" w:hAnsi="宋体" w:cs="宋体"/>
          <w:color w:val="auto"/>
          <w:sz w:val="21"/>
          <w:szCs w:val="21"/>
          <w:highlight w:val="none"/>
        </w:rPr>
        <w:t>本合同未尽事宜，由甲乙双方友好协商，另签订补充协议。补充协议与本合同具同等法律效力。</w:t>
      </w:r>
    </w:p>
    <w:p w14:paraId="35B8C7E5">
      <w:pPr>
        <w:spacing w:line="360" w:lineRule="auto"/>
        <w:ind w:firstLine="452" w:firstLineChars="200"/>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2、本合同正本一式贰份，双方各执壹份；副本陆份，甲方执叁份，乙方叁份，每份均具同等的法律效力。</w:t>
      </w:r>
    </w:p>
    <w:p w14:paraId="4162FB35">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3、本合同自双方签字盖章后生效，本合同附件与本合同具有同等法律效力。</w:t>
      </w:r>
    </w:p>
    <w:p w14:paraId="0A0D80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2265D24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本页无正文</w:t>
      </w:r>
      <w:r>
        <w:rPr>
          <w:rFonts w:hint="eastAsia"/>
          <w:color w:val="auto"/>
          <w:sz w:val="21"/>
          <w:szCs w:val="21"/>
          <w:highlight w:val="none"/>
          <w:lang w:eastAsia="zh-CN"/>
        </w:rPr>
        <w:t>）</w:t>
      </w:r>
    </w:p>
    <w:p w14:paraId="5B4614E9">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16"/>
          <w:szCs w:val="20"/>
          <w:highlight w:val="none"/>
          <w:lang w:eastAsia="zh-CN"/>
        </w:rPr>
      </w:pPr>
    </w:p>
    <w:tbl>
      <w:tblPr>
        <w:tblStyle w:val="6"/>
        <w:tblW w:w="9962" w:type="dxa"/>
        <w:tblInd w:w="0" w:type="dxa"/>
        <w:tblLayout w:type="fixed"/>
        <w:tblCellMar>
          <w:top w:w="15" w:type="dxa"/>
          <w:left w:w="108" w:type="dxa"/>
          <w:bottom w:w="15" w:type="dxa"/>
          <w:right w:w="108" w:type="dxa"/>
        </w:tblCellMar>
      </w:tblPr>
      <w:tblGrid>
        <w:gridCol w:w="5089"/>
        <w:gridCol w:w="4873"/>
      </w:tblGrid>
      <w:tr w14:paraId="634B71DA">
        <w:tblPrEx>
          <w:tblCellMar>
            <w:top w:w="15" w:type="dxa"/>
            <w:left w:w="108" w:type="dxa"/>
            <w:bottom w:w="15" w:type="dxa"/>
            <w:right w:w="108" w:type="dxa"/>
          </w:tblCellMar>
        </w:tblPrEx>
        <w:trPr>
          <w:trHeight w:val="1020" w:hRule="atLeast"/>
        </w:trPr>
        <w:tc>
          <w:tcPr>
            <w:tcW w:w="5089" w:type="dxa"/>
            <w:noWrap w:val="0"/>
            <w:vAlign w:val="center"/>
          </w:tcPr>
          <w:p w14:paraId="1AD71D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阳江市碧源水资源开发有限公司</w:t>
            </w:r>
            <w:r>
              <w:rPr>
                <w:rFonts w:hint="eastAsia" w:ascii="宋体" w:hAnsi="宋体" w:cs="宋体"/>
                <w:color w:val="auto"/>
                <w:sz w:val="21"/>
                <w:szCs w:val="21"/>
                <w:highlight w:val="none"/>
              </w:rPr>
              <w:t xml:space="preserve">        （盖章）</w:t>
            </w:r>
          </w:p>
        </w:tc>
        <w:tc>
          <w:tcPr>
            <w:tcW w:w="4873" w:type="dxa"/>
            <w:noWrap w:val="0"/>
            <w:vAlign w:val="center"/>
          </w:tcPr>
          <w:p w14:paraId="41A4AE13">
            <w:pPr>
              <w:keepNext w:val="0"/>
              <w:keepLines w:val="0"/>
              <w:pageBreakBefore w:val="0"/>
              <w:widowControl/>
              <w:kinsoku/>
              <w:wordWrap/>
              <w:overflowPunct/>
              <w:topLinePunct w:val="0"/>
              <w:autoSpaceDE/>
              <w:autoSpaceDN/>
              <w:bidi w:val="0"/>
              <w:adjustRightInd/>
              <w:snapToGrid/>
              <w:spacing w:line="360" w:lineRule="auto"/>
              <w:ind w:right="-3396" w:rightChars="-1617"/>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乙方：</w:t>
            </w:r>
          </w:p>
          <w:p w14:paraId="0F509E7A">
            <w:pPr>
              <w:keepNext w:val="0"/>
              <w:keepLines w:val="0"/>
              <w:pageBreakBefore w:val="0"/>
              <w:widowControl/>
              <w:kinsoku/>
              <w:wordWrap/>
              <w:overflowPunct/>
              <w:topLinePunct w:val="0"/>
              <w:autoSpaceDE/>
              <w:autoSpaceDN/>
              <w:bidi w:val="0"/>
              <w:adjustRightInd/>
              <w:snapToGrid/>
              <w:spacing w:line="360" w:lineRule="auto"/>
              <w:ind w:right="-3396" w:rightChars="-1617"/>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（盖章）</w:t>
            </w:r>
          </w:p>
        </w:tc>
      </w:tr>
      <w:tr w14:paraId="07F2B61E">
        <w:tblPrEx>
          <w:tblCellMar>
            <w:top w:w="15" w:type="dxa"/>
            <w:left w:w="108" w:type="dxa"/>
            <w:bottom w:w="15" w:type="dxa"/>
            <w:right w:w="108" w:type="dxa"/>
          </w:tblCellMar>
        </w:tblPrEx>
        <w:trPr>
          <w:trHeight w:val="286" w:hRule="atLeast"/>
        </w:trPr>
        <w:tc>
          <w:tcPr>
            <w:tcW w:w="5089" w:type="dxa"/>
            <w:noWrap w:val="0"/>
            <w:vAlign w:val="center"/>
          </w:tcPr>
          <w:p w14:paraId="0C974E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4873" w:type="dxa"/>
            <w:noWrap w:val="0"/>
            <w:vAlign w:val="center"/>
          </w:tcPr>
          <w:p w14:paraId="56A1D9A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0DABC77B">
        <w:tblPrEx>
          <w:tblCellMar>
            <w:top w:w="15" w:type="dxa"/>
            <w:left w:w="108" w:type="dxa"/>
            <w:bottom w:w="15" w:type="dxa"/>
            <w:right w:w="108" w:type="dxa"/>
          </w:tblCellMar>
        </w:tblPrEx>
        <w:trPr>
          <w:trHeight w:val="286" w:hRule="atLeast"/>
        </w:trPr>
        <w:tc>
          <w:tcPr>
            <w:tcW w:w="5089" w:type="dxa"/>
            <w:noWrap w:val="0"/>
            <w:vAlign w:val="center"/>
          </w:tcPr>
          <w:p w14:paraId="2FC39A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或委托代理人：</w:t>
            </w:r>
          </w:p>
        </w:tc>
        <w:tc>
          <w:tcPr>
            <w:tcW w:w="4873" w:type="dxa"/>
            <w:noWrap w:val="0"/>
            <w:vAlign w:val="center"/>
          </w:tcPr>
          <w:p w14:paraId="20B67A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或委托代理人：</w:t>
            </w:r>
          </w:p>
        </w:tc>
      </w:tr>
      <w:tr w14:paraId="74AE7BD0">
        <w:tblPrEx>
          <w:tblCellMar>
            <w:top w:w="15" w:type="dxa"/>
            <w:left w:w="108" w:type="dxa"/>
            <w:bottom w:w="15" w:type="dxa"/>
            <w:right w:w="108" w:type="dxa"/>
          </w:tblCellMar>
        </w:tblPrEx>
        <w:trPr>
          <w:trHeight w:val="286" w:hRule="atLeast"/>
        </w:trPr>
        <w:tc>
          <w:tcPr>
            <w:tcW w:w="5089" w:type="dxa"/>
            <w:noWrap w:val="0"/>
            <w:vAlign w:val="center"/>
          </w:tcPr>
          <w:p w14:paraId="3AF15D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p>
        </w:tc>
        <w:tc>
          <w:tcPr>
            <w:tcW w:w="4873" w:type="dxa"/>
            <w:noWrap w:val="0"/>
            <w:vAlign w:val="center"/>
          </w:tcPr>
          <w:p w14:paraId="6E5751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14:paraId="36F67316">
        <w:tblPrEx>
          <w:tblCellMar>
            <w:top w:w="15" w:type="dxa"/>
            <w:left w:w="108" w:type="dxa"/>
            <w:bottom w:w="15" w:type="dxa"/>
            <w:right w:w="108" w:type="dxa"/>
          </w:tblCellMar>
        </w:tblPrEx>
        <w:trPr>
          <w:trHeight w:val="286" w:hRule="atLeast"/>
        </w:trPr>
        <w:tc>
          <w:tcPr>
            <w:tcW w:w="5089" w:type="dxa"/>
            <w:noWrap w:val="0"/>
            <w:vAlign w:val="center"/>
          </w:tcPr>
          <w:p w14:paraId="1FE0FC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873" w:type="dxa"/>
            <w:noWrap w:val="0"/>
            <w:vAlign w:val="center"/>
          </w:tcPr>
          <w:p w14:paraId="35B02C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14:paraId="785DCD4A">
        <w:tblPrEx>
          <w:tblCellMar>
            <w:top w:w="15" w:type="dxa"/>
            <w:left w:w="108" w:type="dxa"/>
            <w:bottom w:w="15" w:type="dxa"/>
            <w:right w:w="108" w:type="dxa"/>
          </w:tblCellMar>
        </w:tblPrEx>
        <w:trPr>
          <w:trHeight w:val="286" w:hRule="atLeast"/>
        </w:trPr>
        <w:tc>
          <w:tcPr>
            <w:tcW w:w="5089" w:type="dxa"/>
            <w:noWrap w:val="0"/>
            <w:vAlign w:val="center"/>
          </w:tcPr>
          <w:p w14:paraId="7E6135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873" w:type="dxa"/>
            <w:noWrap w:val="0"/>
            <w:vAlign w:val="center"/>
          </w:tcPr>
          <w:p w14:paraId="2E36DA7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14:paraId="3935E1FF">
        <w:tblPrEx>
          <w:tblCellMar>
            <w:top w:w="15" w:type="dxa"/>
            <w:left w:w="108" w:type="dxa"/>
            <w:bottom w:w="15" w:type="dxa"/>
            <w:right w:w="108" w:type="dxa"/>
          </w:tblCellMar>
        </w:tblPrEx>
        <w:trPr>
          <w:trHeight w:val="90" w:hRule="atLeast"/>
        </w:trPr>
        <w:tc>
          <w:tcPr>
            <w:tcW w:w="5089" w:type="dxa"/>
            <w:noWrap w:val="0"/>
            <w:vAlign w:val="center"/>
          </w:tcPr>
          <w:p w14:paraId="7E8749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873" w:type="dxa"/>
            <w:noWrap w:val="0"/>
            <w:vAlign w:val="center"/>
          </w:tcPr>
          <w:p w14:paraId="73442E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14:paraId="79F09C3E">
        <w:tblPrEx>
          <w:tblCellMar>
            <w:top w:w="15" w:type="dxa"/>
            <w:left w:w="108" w:type="dxa"/>
            <w:bottom w:w="15" w:type="dxa"/>
            <w:right w:w="108" w:type="dxa"/>
          </w:tblCellMar>
        </w:tblPrEx>
        <w:trPr>
          <w:trHeight w:val="286" w:hRule="atLeast"/>
        </w:trPr>
        <w:tc>
          <w:tcPr>
            <w:tcW w:w="5089" w:type="dxa"/>
            <w:noWrap w:val="0"/>
            <w:vAlign w:val="center"/>
          </w:tcPr>
          <w:p w14:paraId="4D6ED0C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4873" w:type="dxa"/>
            <w:noWrap w:val="0"/>
            <w:vAlign w:val="center"/>
          </w:tcPr>
          <w:p w14:paraId="158055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r>
      <w:tr w14:paraId="0821BD69">
        <w:tblPrEx>
          <w:tblCellMar>
            <w:top w:w="15" w:type="dxa"/>
            <w:left w:w="108" w:type="dxa"/>
            <w:bottom w:w="15" w:type="dxa"/>
            <w:right w:w="108" w:type="dxa"/>
          </w:tblCellMar>
        </w:tblPrEx>
        <w:trPr>
          <w:trHeight w:val="286" w:hRule="atLeast"/>
        </w:trPr>
        <w:tc>
          <w:tcPr>
            <w:tcW w:w="5089" w:type="dxa"/>
            <w:noWrap w:val="0"/>
            <w:vAlign w:val="center"/>
          </w:tcPr>
          <w:p w14:paraId="4D4EC8EA">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4873" w:type="dxa"/>
            <w:noWrap w:val="0"/>
            <w:vAlign w:val="center"/>
          </w:tcPr>
          <w:p w14:paraId="2DD3481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r>
    </w:tbl>
    <w:p w14:paraId="14B5E4A4">
      <w:pPr>
        <w:rPr>
          <w:color w:val="auto"/>
          <w:sz w:val="21"/>
          <w:szCs w:val="21"/>
          <w:highlight w:val="none"/>
        </w:rPr>
      </w:pPr>
    </w:p>
    <w:p w14:paraId="6B5FDC4C">
      <w:pPr>
        <w:rPr>
          <w:color w:val="auto"/>
          <w:sz w:val="21"/>
          <w:szCs w:val="21"/>
          <w:highlight w:val="none"/>
        </w:rPr>
      </w:pPr>
    </w:p>
    <w:p w14:paraId="7FAA4469">
      <w:pPr>
        <w:rPr>
          <w:color w:val="auto"/>
          <w:sz w:val="16"/>
          <w:szCs w:val="20"/>
          <w:highlight w:val="none"/>
        </w:rPr>
      </w:pPr>
    </w:p>
    <w:p w14:paraId="0B8C06CE">
      <w:pPr>
        <w:rPr>
          <w:color w:val="auto"/>
          <w:sz w:val="16"/>
          <w:szCs w:val="20"/>
          <w:highlight w:val="none"/>
        </w:rPr>
      </w:pPr>
    </w:p>
    <w:tbl>
      <w:tblPr>
        <w:tblStyle w:val="6"/>
        <w:tblW w:w="9962" w:type="dxa"/>
        <w:tblInd w:w="0" w:type="dxa"/>
        <w:tblLayout w:type="fixed"/>
        <w:tblCellMar>
          <w:top w:w="15" w:type="dxa"/>
          <w:left w:w="108" w:type="dxa"/>
          <w:bottom w:w="15" w:type="dxa"/>
          <w:right w:w="108" w:type="dxa"/>
        </w:tblCellMar>
      </w:tblPr>
      <w:tblGrid>
        <w:gridCol w:w="4873"/>
      </w:tblGrid>
      <w:tr w14:paraId="42BC9E26">
        <w:tblPrEx>
          <w:tblCellMar>
            <w:top w:w="15" w:type="dxa"/>
            <w:left w:w="108" w:type="dxa"/>
            <w:bottom w:w="15" w:type="dxa"/>
            <w:right w:w="108" w:type="dxa"/>
          </w:tblCellMar>
        </w:tblPrEx>
        <w:trPr>
          <w:trHeight w:val="1020" w:hRule="atLeast"/>
        </w:trPr>
        <w:tc>
          <w:tcPr>
            <w:tcW w:w="4873" w:type="dxa"/>
            <w:noWrap w:val="0"/>
            <w:vAlign w:val="center"/>
          </w:tcPr>
          <w:p w14:paraId="210668F6">
            <w:pPr>
              <w:keepNext w:val="0"/>
              <w:keepLines w:val="0"/>
              <w:pageBreakBefore w:val="0"/>
              <w:widowControl/>
              <w:kinsoku/>
              <w:wordWrap/>
              <w:overflowPunct/>
              <w:topLinePunct w:val="0"/>
              <w:autoSpaceDE/>
              <w:autoSpaceDN/>
              <w:bidi w:val="0"/>
              <w:adjustRightInd/>
              <w:snapToGrid/>
              <w:spacing w:line="360" w:lineRule="auto"/>
              <w:ind w:right="-3396" w:rightChars="-1617"/>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5D4F295E">
            <w:pPr>
              <w:keepNext w:val="0"/>
              <w:keepLines w:val="0"/>
              <w:pageBreakBefore w:val="0"/>
              <w:widowControl/>
              <w:kinsoku/>
              <w:wordWrap/>
              <w:overflowPunct/>
              <w:topLinePunct w:val="0"/>
              <w:autoSpaceDE/>
              <w:autoSpaceDN/>
              <w:bidi w:val="0"/>
              <w:adjustRightInd/>
              <w:snapToGrid/>
              <w:spacing w:line="360" w:lineRule="auto"/>
              <w:ind w:right="-3396" w:rightChars="-1617"/>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（盖章）</w:t>
            </w:r>
          </w:p>
        </w:tc>
      </w:tr>
      <w:tr w14:paraId="57A77D2E">
        <w:tblPrEx>
          <w:tblCellMar>
            <w:top w:w="15" w:type="dxa"/>
            <w:left w:w="108" w:type="dxa"/>
            <w:bottom w:w="15" w:type="dxa"/>
            <w:right w:w="108" w:type="dxa"/>
          </w:tblCellMar>
        </w:tblPrEx>
        <w:trPr>
          <w:trHeight w:val="286" w:hRule="atLeast"/>
        </w:trPr>
        <w:tc>
          <w:tcPr>
            <w:tcW w:w="4873" w:type="dxa"/>
            <w:noWrap w:val="0"/>
            <w:vAlign w:val="center"/>
          </w:tcPr>
          <w:p w14:paraId="1327C2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70FCDA40">
        <w:tblPrEx>
          <w:tblCellMar>
            <w:top w:w="15" w:type="dxa"/>
            <w:left w:w="108" w:type="dxa"/>
            <w:bottom w:w="15" w:type="dxa"/>
            <w:right w:w="108" w:type="dxa"/>
          </w:tblCellMar>
        </w:tblPrEx>
        <w:trPr>
          <w:trHeight w:val="286" w:hRule="atLeast"/>
        </w:trPr>
        <w:tc>
          <w:tcPr>
            <w:tcW w:w="4873" w:type="dxa"/>
            <w:noWrap w:val="0"/>
            <w:vAlign w:val="center"/>
          </w:tcPr>
          <w:p w14:paraId="5E060E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或委托代理人：</w:t>
            </w:r>
          </w:p>
        </w:tc>
      </w:tr>
      <w:tr w14:paraId="2DCFA2EF">
        <w:tblPrEx>
          <w:tblCellMar>
            <w:top w:w="15" w:type="dxa"/>
            <w:left w:w="108" w:type="dxa"/>
            <w:bottom w:w="15" w:type="dxa"/>
            <w:right w:w="108" w:type="dxa"/>
          </w:tblCellMar>
        </w:tblPrEx>
        <w:trPr>
          <w:trHeight w:val="286" w:hRule="atLeast"/>
        </w:trPr>
        <w:tc>
          <w:tcPr>
            <w:tcW w:w="4873" w:type="dxa"/>
            <w:noWrap w:val="0"/>
            <w:vAlign w:val="center"/>
          </w:tcPr>
          <w:p w14:paraId="1C4DC7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14:paraId="45A8ABE4">
        <w:tblPrEx>
          <w:tblCellMar>
            <w:top w:w="15" w:type="dxa"/>
            <w:left w:w="108" w:type="dxa"/>
            <w:bottom w:w="15" w:type="dxa"/>
            <w:right w:w="108" w:type="dxa"/>
          </w:tblCellMar>
        </w:tblPrEx>
        <w:trPr>
          <w:trHeight w:val="286" w:hRule="atLeast"/>
        </w:trPr>
        <w:tc>
          <w:tcPr>
            <w:tcW w:w="4873" w:type="dxa"/>
            <w:noWrap w:val="0"/>
            <w:vAlign w:val="center"/>
          </w:tcPr>
          <w:p w14:paraId="32904A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14:paraId="52D6F8A4">
        <w:tblPrEx>
          <w:tblCellMar>
            <w:top w:w="15" w:type="dxa"/>
            <w:left w:w="108" w:type="dxa"/>
            <w:bottom w:w="15" w:type="dxa"/>
            <w:right w:w="108" w:type="dxa"/>
          </w:tblCellMar>
        </w:tblPrEx>
        <w:trPr>
          <w:trHeight w:val="286" w:hRule="atLeast"/>
        </w:trPr>
        <w:tc>
          <w:tcPr>
            <w:tcW w:w="4873" w:type="dxa"/>
            <w:noWrap w:val="0"/>
            <w:vAlign w:val="center"/>
          </w:tcPr>
          <w:p w14:paraId="1021A6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14:paraId="4E600214">
        <w:tblPrEx>
          <w:tblCellMar>
            <w:top w:w="15" w:type="dxa"/>
            <w:left w:w="108" w:type="dxa"/>
            <w:bottom w:w="15" w:type="dxa"/>
            <w:right w:w="108" w:type="dxa"/>
          </w:tblCellMar>
        </w:tblPrEx>
        <w:trPr>
          <w:trHeight w:val="90" w:hRule="atLeast"/>
        </w:trPr>
        <w:tc>
          <w:tcPr>
            <w:tcW w:w="4873" w:type="dxa"/>
            <w:noWrap w:val="0"/>
            <w:vAlign w:val="center"/>
          </w:tcPr>
          <w:p w14:paraId="1A478A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14:paraId="144D719B">
        <w:tblPrEx>
          <w:tblCellMar>
            <w:top w:w="15" w:type="dxa"/>
            <w:left w:w="108" w:type="dxa"/>
            <w:bottom w:w="15" w:type="dxa"/>
            <w:right w:w="108" w:type="dxa"/>
          </w:tblCellMar>
        </w:tblPrEx>
        <w:trPr>
          <w:trHeight w:val="286" w:hRule="atLeast"/>
        </w:trPr>
        <w:tc>
          <w:tcPr>
            <w:tcW w:w="4873" w:type="dxa"/>
            <w:noWrap w:val="0"/>
            <w:vAlign w:val="center"/>
          </w:tcPr>
          <w:p w14:paraId="7FA0D9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r>
      <w:tr w14:paraId="5ECB88F3">
        <w:tblPrEx>
          <w:tblCellMar>
            <w:top w:w="15" w:type="dxa"/>
            <w:left w:w="108" w:type="dxa"/>
            <w:bottom w:w="15" w:type="dxa"/>
            <w:right w:w="108" w:type="dxa"/>
          </w:tblCellMar>
        </w:tblPrEx>
        <w:trPr>
          <w:trHeight w:val="286" w:hRule="atLeast"/>
        </w:trPr>
        <w:tc>
          <w:tcPr>
            <w:tcW w:w="4873" w:type="dxa"/>
            <w:noWrap w:val="0"/>
            <w:vAlign w:val="center"/>
          </w:tcPr>
          <w:p w14:paraId="4DA7938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r>
    </w:tbl>
    <w:p w14:paraId="302D98CC">
      <w:pPr>
        <w:snapToGrid w:val="0"/>
        <w:spacing w:line="360" w:lineRule="auto"/>
        <w:rPr>
          <w:rFonts w:hint="default" w:ascii="宋体" w:hAnsi="宋体" w:eastAsia="宋体"/>
          <w:color w:val="auto"/>
          <w:spacing w:val="12"/>
          <w:kern w:val="10"/>
          <w:sz w:val="20"/>
          <w:szCs w:val="20"/>
          <w:highlight w:val="none"/>
          <w:lang w:val="en-US" w:eastAsia="zh-CN"/>
        </w:rPr>
      </w:pPr>
      <w:r>
        <w:rPr>
          <w:rFonts w:hint="eastAsia" w:ascii="宋体" w:hAnsi="宋体" w:cs="宋体"/>
          <w:color w:val="auto"/>
          <w:spacing w:val="8"/>
          <w:sz w:val="20"/>
          <w:szCs w:val="20"/>
          <w:highlight w:val="none"/>
          <w:lang w:eastAsia="zh-CN"/>
        </w:rPr>
        <w:br w:type="page"/>
      </w:r>
      <w:r>
        <w:rPr>
          <w:rFonts w:hint="eastAsia" w:ascii="黑体" w:hAnsi="黑体" w:eastAsia="黑体" w:cs="黑体"/>
          <w:color w:val="auto"/>
          <w:spacing w:val="8"/>
          <w:sz w:val="22"/>
          <w:szCs w:val="22"/>
          <w:highlight w:val="none"/>
          <w:lang w:val="en-US" w:eastAsia="zh-CN"/>
        </w:rPr>
        <w:t>附件1：</w:t>
      </w:r>
    </w:p>
    <w:p w14:paraId="4F604E93">
      <w:pPr>
        <w:snapToGrid w:val="0"/>
        <w:spacing w:line="360" w:lineRule="auto"/>
        <w:jc w:val="center"/>
        <w:rPr>
          <w:rFonts w:hint="eastAsia" w:ascii="方正小标宋简体" w:hAnsi="方正小标宋简体" w:eastAsia="方正小标宋简体" w:cs="方正小标宋简体"/>
          <w:b w:val="0"/>
          <w:bCs/>
          <w:color w:val="auto"/>
          <w:spacing w:val="20"/>
          <w:sz w:val="32"/>
          <w:szCs w:val="32"/>
          <w:highlight w:val="none"/>
        </w:rPr>
      </w:pPr>
      <w:r>
        <w:rPr>
          <w:rFonts w:hint="eastAsia" w:ascii="方正小标宋简体" w:hAnsi="方正小标宋简体" w:eastAsia="方正小标宋简体" w:cs="方正小标宋简体"/>
          <w:b w:val="0"/>
          <w:bCs/>
          <w:color w:val="auto"/>
          <w:spacing w:val="20"/>
          <w:sz w:val="32"/>
          <w:szCs w:val="32"/>
          <w:highlight w:val="none"/>
        </w:rPr>
        <w:t>廉 政 合 同</w:t>
      </w:r>
    </w:p>
    <w:p w14:paraId="5483D1E5">
      <w:pPr>
        <w:spacing w:line="360" w:lineRule="auto"/>
        <w:ind w:firstLine="512"/>
        <w:rPr>
          <w:rFonts w:hint="default" w:ascii="宋体" w:hAnsi="宋体" w:eastAsia="宋体"/>
          <w:bCs/>
          <w:color w:val="auto"/>
          <w:spacing w:val="20"/>
          <w:sz w:val="21"/>
          <w:szCs w:val="21"/>
          <w:highlight w:val="none"/>
          <w:u w:val="single"/>
          <w:lang w:val="en-US" w:eastAsia="zh-CN"/>
        </w:rPr>
      </w:pPr>
      <w:r>
        <w:rPr>
          <w:rFonts w:hint="eastAsia" w:ascii="宋体" w:hAnsi="宋体"/>
          <w:color w:val="auto"/>
          <w:spacing w:val="8"/>
          <w:sz w:val="21"/>
          <w:szCs w:val="21"/>
          <w:highlight w:val="none"/>
        </w:rPr>
        <w:t>委托人</w:t>
      </w:r>
      <w:r>
        <w:rPr>
          <w:rFonts w:hint="eastAsia" w:ascii="宋体" w:hAnsi="宋体"/>
          <w:bCs/>
          <w:color w:val="auto"/>
          <w:spacing w:val="20"/>
          <w:sz w:val="21"/>
          <w:szCs w:val="21"/>
          <w:highlight w:val="none"/>
        </w:rPr>
        <w:t>：（甲方）</w:t>
      </w:r>
      <w:r>
        <w:rPr>
          <w:rFonts w:hint="eastAsia" w:ascii="宋体" w:hAnsi="宋体"/>
          <w:bCs/>
          <w:color w:val="auto"/>
          <w:spacing w:val="20"/>
          <w:sz w:val="21"/>
          <w:szCs w:val="21"/>
          <w:highlight w:val="none"/>
          <w:u w:val="single"/>
          <w:lang w:val="en-US" w:eastAsia="zh-CN"/>
        </w:rPr>
        <w:t xml:space="preserve"> 阳江市碧源水资源开发有限公司             </w:t>
      </w:r>
    </w:p>
    <w:p w14:paraId="3B8325CE">
      <w:pPr>
        <w:spacing w:line="360" w:lineRule="auto"/>
        <w:ind w:firstLine="512"/>
        <w:rPr>
          <w:rFonts w:ascii="宋体" w:hAnsi="宋体"/>
          <w:bCs/>
          <w:color w:val="auto"/>
          <w:spacing w:val="20"/>
          <w:sz w:val="21"/>
          <w:szCs w:val="21"/>
          <w:highlight w:val="none"/>
        </w:rPr>
      </w:pPr>
      <w:r>
        <w:rPr>
          <w:rFonts w:hint="eastAsia" w:ascii="宋体" w:hAnsi="宋体"/>
          <w:bCs/>
          <w:color w:val="auto"/>
          <w:spacing w:val="20"/>
          <w:sz w:val="21"/>
          <w:szCs w:val="21"/>
          <w:highlight w:val="none"/>
        </w:rPr>
        <w:t>受托人：（乙方）</w:t>
      </w:r>
      <w:r>
        <w:rPr>
          <w:rFonts w:hint="eastAsia" w:ascii="宋体" w:hAnsi="宋体"/>
          <w:bCs/>
          <w:color w:val="auto"/>
          <w:spacing w:val="20"/>
          <w:sz w:val="21"/>
          <w:szCs w:val="21"/>
          <w:highlight w:val="none"/>
          <w:u w:val="single"/>
        </w:rPr>
        <w:t xml:space="preserve">                     </w:t>
      </w:r>
      <w:r>
        <w:rPr>
          <w:rFonts w:hint="eastAsia" w:ascii="宋体" w:hAnsi="宋体"/>
          <w:bCs/>
          <w:color w:val="auto"/>
          <w:spacing w:val="20"/>
          <w:sz w:val="21"/>
          <w:szCs w:val="21"/>
          <w:highlight w:val="none"/>
          <w:u w:val="single"/>
          <w:lang w:val="en-US" w:eastAsia="zh-CN"/>
        </w:rPr>
        <w:t xml:space="preserve">      </w:t>
      </w:r>
      <w:r>
        <w:rPr>
          <w:rFonts w:hint="eastAsia" w:ascii="宋体" w:hAnsi="宋体"/>
          <w:bCs/>
          <w:color w:val="auto"/>
          <w:spacing w:val="20"/>
          <w:sz w:val="21"/>
          <w:szCs w:val="21"/>
          <w:highlight w:val="none"/>
          <w:u w:val="single"/>
        </w:rPr>
        <w:t xml:space="preserve">           </w:t>
      </w:r>
    </w:p>
    <w:p w14:paraId="78CF77EF">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根据国家、省有关廉政建设的规定，为做好合同工程的廉政建设，保证工程质量与施工安全，提高建设资金的有效使用和投资效益，合同双方当事人就加强合同工程的廉政建设，订立本合同。</w:t>
      </w:r>
    </w:p>
    <w:p w14:paraId="3A3A3DE4">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第一条</w:t>
      </w:r>
      <w:r>
        <w:rPr>
          <w:rFonts w:hint="eastAsia" w:ascii="宋体" w:hAnsi="宋体" w:cs="宋体"/>
          <w:b/>
          <w:color w:val="auto"/>
          <w:sz w:val="22"/>
          <w:szCs w:val="22"/>
          <w:highlight w:val="none"/>
        </w:rPr>
        <w:t xml:space="preserve">  双方权利和义务</w:t>
      </w:r>
    </w:p>
    <w:p w14:paraId="08242317">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1.1  严格遵守国家、省有关法律法规的规定。</w:t>
      </w:r>
    </w:p>
    <w:p w14:paraId="2809B8EA">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1.2  严格执行合同工程一切合同文件，自觉按合同办事。</w:t>
      </w:r>
    </w:p>
    <w:p w14:paraId="153418DE">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1.3  合同双方当事人的业务活动应坚持公平、公开、公正和诚信的原则（法律认定的商业 秘密和合同文件另有规定除外），不得损害国家和集体利益，不得违反工程建设管理规章制度。</w:t>
      </w:r>
    </w:p>
    <w:p w14:paraId="736480F9">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1.4  建立健全廉政制度，开展廉政教育，设立廉政告示牌，公布举报电话，监督并认真查处违法违纪行为。</w:t>
      </w:r>
      <w:bookmarkStart w:id="0" w:name="_GoBack"/>
      <w:bookmarkEnd w:id="0"/>
    </w:p>
    <w:p w14:paraId="13D43F4C">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1.5  发现对方在业务活动中有违反廉政建设规定的行为，应及时给予提醒和纠正。</w:t>
      </w:r>
    </w:p>
    <w:p w14:paraId="2EE0C1C4">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1.6  发现对方严重违反合同的行为，有向其上级部门举报、建议给予处理并要求告知处理结果的权利。</w:t>
      </w:r>
    </w:p>
    <w:p w14:paraId="130593AF">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第二条</w:t>
      </w:r>
      <w:r>
        <w:rPr>
          <w:rFonts w:hint="eastAsia" w:ascii="宋体" w:hAnsi="宋体" w:cs="宋体"/>
          <w:b/>
          <w:color w:val="auto"/>
          <w:sz w:val="22"/>
          <w:szCs w:val="22"/>
          <w:highlight w:val="none"/>
        </w:rPr>
        <w:t xml:space="preserve">  甲方义务</w:t>
      </w:r>
    </w:p>
    <w:p w14:paraId="56601FB0">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2.1  甲方及其工作人员不得索要或接受承包人的礼金、有价证券和贵重物品，不得在乙方报销任何应由甲方或工作人员个人支付的费用等。</w:t>
      </w:r>
    </w:p>
    <w:p w14:paraId="22B7DB91">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2.2  甲方及其工作人员不得参加乙方安排的宴请（工作餐除外）和娱乐活动；不得接受乙方提供的通讯工具、交通工具和高档办公用品等。</w:t>
      </w:r>
    </w:p>
    <w:p w14:paraId="09876ADE">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2.3  甲方及其工作人员不得要求或者接受乙方为其住房装修、婚丧嫁娶活动、配偶子女的工作安排以及出国出境、旅游等提供方便等。</w:t>
      </w:r>
    </w:p>
    <w:p w14:paraId="74A3AF6A">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2.4  甲方及其工作人员不得以任何理由向乙方推荐分包人、推销材料和工程设备，不得要求乙方购买合同以外的材料和工程设备。</w:t>
      </w:r>
    </w:p>
    <w:p w14:paraId="7A02189A">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2.5  甲方及其工作人员要秉公办事，不准营私舞弊，不准利用职权私自为合同工程安排施工队伍，也不得从事与合同工程有关的各种有偿中介活动。</w:t>
      </w:r>
    </w:p>
    <w:p w14:paraId="49DD7A10">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2.6  甲方及其工作人员（含其配偶、子女）不得从事与合同工程有关的材料和工程设备供应、工程分包、劳务等经济活动。</w:t>
      </w:r>
    </w:p>
    <w:p w14:paraId="72447CA5">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第三条</w:t>
      </w:r>
      <w:r>
        <w:rPr>
          <w:rFonts w:hint="eastAsia" w:ascii="宋体" w:hAnsi="宋体" w:cs="宋体"/>
          <w:b/>
          <w:color w:val="auto"/>
          <w:sz w:val="22"/>
          <w:szCs w:val="22"/>
          <w:highlight w:val="none"/>
        </w:rPr>
        <w:t xml:space="preserve">  乙方义务</w:t>
      </w:r>
    </w:p>
    <w:p w14:paraId="66945674">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3.1  乙方不得以任何理由向甲方及其工作人员行贿或馈赠礼金、有价证券、贵重礼品。</w:t>
      </w:r>
    </w:p>
    <w:p w14:paraId="152DABD5">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3.2  乙方不得以任何名义为甲方及其工作人员报销应由甲方或工作人员个人支付的任何费用。</w:t>
      </w:r>
    </w:p>
    <w:p w14:paraId="12E627F9">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3.3  乙方不得以任何理由安排甲方及其工作人员参加宴请（工作餐除外）及娱乐活动。</w:t>
      </w:r>
    </w:p>
    <w:p w14:paraId="4033185A">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3.4  乙方不得为甲方和个人购置或提供通讯工具、交通工具和高档办公用品等。</w:t>
      </w:r>
    </w:p>
    <w:p w14:paraId="25101E61">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3.5  乙方不得为发包人及其工作人员的住房装修、婚丧嫁娶活动、配偶子女工作安排以及出国出境、旅游等提供方便。</w:t>
      </w:r>
    </w:p>
    <w:p w14:paraId="27018338">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第四条</w:t>
      </w:r>
      <w:r>
        <w:rPr>
          <w:rFonts w:hint="eastAsia" w:ascii="宋体" w:hAnsi="宋体" w:cs="宋体"/>
          <w:b/>
          <w:color w:val="auto"/>
          <w:sz w:val="22"/>
          <w:szCs w:val="22"/>
          <w:highlight w:val="none"/>
        </w:rPr>
        <w:t xml:space="preserve">  违约责任</w:t>
      </w:r>
    </w:p>
    <w:p w14:paraId="0A5238A2">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4.1  甲方及其工作人员违反本合同第1条和第2条规定，应依据有关规定给予廉政建设规定的处分；涉嫌犯罪的，移交司法机关追究刑事责任；给乙方造成经济损失的，应予赔偿。</w:t>
      </w:r>
    </w:p>
    <w:p w14:paraId="400B3568">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4.2  乙方及其工作人员违反本合同第</w:t>
      </w:r>
      <w:r>
        <w:rPr>
          <w:rFonts w:hint="eastAsia" w:ascii="宋体" w:hAnsi="宋体"/>
          <w:color w:val="auto"/>
          <w:spacing w:val="8"/>
          <w:sz w:val="21"/>
          <w:szCs w:val="21"/>
          <w:highlight w:val="none"/>
          <w:u w:val="single"/>
        </w:rPr>
        <w:t xml:space="preserve"> 1 </w:t>
      </w:r>
      <w:r>
        <w:rPr>
          <w:rFonts w:hint="eastAsia" w:ascii="宋体" w:hAnsi="宋体"/>
          <w:color w:val="auto"/>
          <w:spacing w:val="8"/>
          <w:sz w:val="21"/>
          <w:szCs w:val="21"/>
          <w:highlight w:val="none"/>
        </w:rPr>
        <w:t>条和第</w:t>
      </w:r>
      <w:r>
        <w:rPr>
          <w:rFonts w:hint="eastAsia" w:ascii="宋体" w:hAnsi="宋体"/>
          <w:color w:val="auto"/>
          <w:spacing w:val="8"/>
          <w:sz w:val="21"/>
          <w:szCs w:val="21"/>
          <w:highlight w:val="none"/>
          <w:u w:val="single"/>
        </w:rPr>
        <w:t xml:space="preserve"> 3 </w:t>
      </w:r>
      <w:r>
        <w:rPr>
          <w:rFonts w:hint="eastAsia" w:ascii="宋体" w:hAnsi="宋体"/>
          <w:color w:val="auto"/>
          <w:spacing w:val="8"/>
          <w:sz w:val="21"/>
          <w:szCs w:val="21"/>
          <w:highlight w:val="none"/>
        </w:rPr>
        <w:t>条规定，应按照廉政建设的有关规定给予处分；情节严重的，给予乙方</w:t>
      </w:r>
      <w:r>
        <w:rPr>
          <w:rFonts w:hint="eastAsia" w:ascii="宋体" w:hAnsi="宋体"/>
          <w:color w:val="auto"/>
          <w:spacing w:val="8"/>
          <w:sz w:val="21"/>
          <w:szCs w:val="21"/>
          <w:highlight w:val="none"/>
          <w:u w:val="single"/>
        </w:rPr>
        <w:t xml:space="preserve"> 1～3 </w:t>
      </w:r>
      <w:r>
        <w:rPr>
          <w:rFonts w:hint="eastAsia" w:ascii="宋体" w:hAnsi="宋体"/>
          <w:color w:val="auto"/>
          <w:spacing w:val="8"/>
          <w:sz w:val="21"/>
          <w:szCs w:val="21"/>
          <w:highlight w:val="none"/>
        </w:rPr>
        <w:t>年内不得进入工程建设市场的处罚；涉嫌犯罪的，移交司法机关追究刑事责任；给甲方造成损失的，应予赔偿；</w:t>
      </w:r>
    </w:p>
    <w:p w14:paraId="1F848144">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第五条</w:t>
      </w:r>
      <w:r>
        <w:rPr>
          <w:rFonts w:hint="eastAsia" w:ascii="宋体" w:hAnsi="宋体" w:cs="宋体"/>
          <w:b/>
          <w:color w:val="auto"/>
          <w:sz w:val="22"/>
          <w:szCs w:val="22"/>
          <w:highlight w:val="none"/>
        </w:rPr>
        <w:t xml:space="preserve">  双方约定</w:t>
      </w:r>
    </w:p>
    <w:p w14:paraId="6AF1E6EA">
      <w:pPr>
        <w:spacing w:line="360" w:lineRule="auto"/>
        <w:ind w:firstLine="512"/>
        <w:rPr>
          <w:rFonts w:ascii="宋体" w:hAnsi="宋体"/>
          <w:color w:val="auto"/>
          <w:spacing w:val="8"/>
          <w:sz w:val="21"/>
          <w:szCs w:val="21"/>
          <w:highlight w:val="none"/>
        </w:rPr>
      </w:pPr>
      <w:r>
        <w:rPr>
          <w:rFonts w:hint="eastAsia" w:ascii="宋体" w:hAnsi="宋体"/>
          <w:color w:val="auto"/>
          <w:spacing w:val="8"/>
          <w:sz w:val="21"/>
          <w:szCs w:val="21"/>
          <w:highlight w:val="none"/>
        </w:rPr>
        <w:t>本合同由合同双方当事人或其上级部门负责监督执行，并由合同双方当事人或其上级部门 相互约请对本合同执行情况进行检查。</w:t>
      </w:r>
    </w:p>
    <w:p w14:paraId="2866F1B8">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第六条</w:t>
      </w:r>
      <w:r>
        <w:rPr>
          <w:rFonts w:hint="eastAsia" w:ascii="宋体" w:hAnsi="宋体" w:cs="宋体"/>
          <w:b/>
          <w:color w:val="auto"/>
          <w:sz w:val="22"/>
          <w:szCs w:val="22"/>
          <w:highlight w:val="none"/>
        </w:rPr>
        <w:t xml:space="preserve">  合同法律效力</w:t>
      </w:r>
    </w:p>
    <w:p w14:paraId="0BC7513F">
      <w:pPr>
        <w:spacing w:line="360" w:lineRule="auto"/>
        <w:ind w:firstLine="512"/>
        <w:rPr>
          <w:rFonts w:hint="eastAsia" w:ascii="宋体" w:hAnsi="宋体"/>
          <w:color w:val="auto"/>
          <w:spacing w:val="8"/>
          <w:sz w:val="21"/>
          <w:szCs w:val="21"/>
          <w:highlight w:val="none"/>
        </w:rPr>
      </w:pPr>
      <w:r>
        <w:rPr>
          <w:rFonts w:hint="eastAsia" w:ascii="宋体" w:hAnsi="宋体"/>
          <w:color w:val="auto"/>
          <w:spacing w:val="8"/>
          <w:sz w:val="21"/>
          <w:szCs w:val="21"/>
          <w:highlight w:val="none"/>
        </w:rPr>
        <w:t xml:space="preserve">本合同作为 </w:t>
      </w:r>
      <w:r>
        <w:rPr>
          <w:rFonts w:hint="eastAsia" w:ascii="宋体" w:hAnsi="宋体"/>
          <w:color w:val="auto"/>
          <w:spacing w:val="8"/>
          <w:sz w:val="21"/>
          <w:szCs w:val="21"/>
          <w:highlight w:val="none"/>
          <w:u w:val="single"/>
          <w:lang w:eastAsia="zh-CN"/>
        </w:rPr>
        <w:t>阳江水资源配置工程（一期）工程质量检测</w:t>
      </w:r>
      <w:r>
        <w:rPr>
          <w:rFonts w:hint="eastAsia" w:ascii="宋体" w:hAnsi="宋体"/>
          <w:color w:val="auto"/>
          <w:spacing w:val="8"/>
          <w:sz w:val="21"/>
          <w:szCs w:val="21"/>
          <w:highlight w:val="none"/>
          <w:u w:val="single"/>
          <w:lang w:val="en-US" w:eastAsia="zh-CN"/>
        </w:rPr>
        <w:t xml:space="preserve">  </w:t>
      </w:r>
      <w:r>
        <w:rPr>
          <w:rFonts w:hint="eastAsia" w:ascii="宋体" w:hAnsi="宋体"/>
          <w:color w:val="auto"/>
          <w:spacing w:val="8"/>
          <w:sz w:val="21"/>
          <w:szCs w:val="21"/>
          <w:highlight w:val="none"/>
        </w:rPr>
        <w:t>合同的附件，与该合同具有同等的法律效力。</w:t>
      </w:r>
    </w:p>
    <w:p w14:paraId="38C81270">
      <w:pPr>
        <w:bidi w:val="0"/>
        <w:rPr>
          <w:color w:val="auto"/>
          <w:sz w:val="21"/>
          <w:szCs w:val="21"/>
          <w:highlight w:val="none"/>
        </w:rPr>
      </w:pPr>
      <w:r>
        <w:rPr>
          <w:color w:val="auto"/>
          <w:sz w:val="21"/>
          <w:szCs w:val="21"/>
          <w:highlight w:val="none"/>
        </w:rPr>
        <w:br w:type="page"/>
      </w:r>
    </w:p>
    <w:p w14:paraId="20E0E375">
      <w:pPr>
        <w:spacing w:line="360" w:lineRule="auto"/>
        <w:ind w:firstLine="512"/>
        <w:rPr>
          <w:rFonts w:hint="eastAsia" w:ascii="宋体" w:hAnsi="宋体"/>
          <w:color w:val="auto"/>
          <w:spacing w:val="8"/>
          <w:sz w:val="21"/>
          <w:szCs w:val="21"/>
          <w:highlight w:val="none"/>
        </w:rPr>
      </w:pPr>
      <w:r>
        <w:rPr>
          <w:rFonts w:hint="eastAsia" w:ascii="宋体" w:hAnsi="宋体"/>
          <w:color w:val="auto"/>
          <w:spacing w:val="8"/>
          <w:sz w:val="21"/>
          <w:szCs w:val="21"/>
          <w:highlight w:val="none"/>
          <w:lang w:eastAsia="zh-CN"/>
        </w:rPr>
        <w:t>（</w:t>
      </w:r>
      <w:r>
        <w:rPr>
          <w:rFonts w:hint="eastAsia" w:ascii="宋体" w:hAnsi="宋体"/>
          <w:color w:val="auto"/>
          <w:spacing w:val="8"/>
          <w:sz w:val="21"/>
          <w:szCs w:val="21"/>
          <w:highlight w:val="none"/>
          <w:lang w:val="en-US" w:eastAsia="zh-CN"/>
        </w:rPr>
        <w:t>本页无正文</w:t>
      </w:r>
      <w:r>
        <w:rPr>
          <w:rFonts w:hint="eastAsia" w:ascii="宋体" w:hAnsi="宋体"/>
          <w:color w:val="auto"/>
          <w:spacing w:val="8"/>
          <w:sz w:val="21"/>
          <w:szCs w:val="21"/>
          <w:highlight w:val="none"/>
          <w:lang w:eastAsia="zh-CN"/>
        </w:rPr>
        <w:t>）</w:t>
      </w:r>
    </w:p>
    <w:tbl>
      <w:tblPr>
        <w:tblStyle w:val="6"/>
        <w:tblW w:w="9962" w:type="dxa"/>
        <w:tblInd w:w="0" w:type="dxa"/>
        <w:tblLayout w:type="fixed"/>
        <w:tblCellMar>
          <w:top w:w="15" w:type="dxa"/>
          <w:left w:w="108" w:type="dxa"/>
          <w:bottom w:w="15" w:type="dxa"/>
          <w:right w:w="108" w:type="dxa"/>
        </w:tblCellMar>
      </w:tblPr>
      <w:tblGrid>
        <w:gridCol w:w="5089"/>
        <w:gridCol w:w="4873"/>
      </w:tblGrid>
      <w:tr w14:paraId="3CD67270">
        <w:tblPrEx>
          <w:tblCellMar>
            <w:top w:w="15" w:type="dxa"/>
            <w:left w:w="108" w:type="dxa"/>
            <w:bottom w:w="15" w:type="dxa"/>
            <w:right w:w="108" w:type="dxa"/>
          </w:tblCellMar>
        </w:tblPrEx>
        <w:trPr>
          <w:trHeight w:val="1020" w:hRule="atLeast"/>
        </w:trPr>
        <w:tc>
          <w:tcPr>
            <w:tcW w:w="5089" w:type="dxa"/>
            <w:noWrap w:val="0"/>
            <w:vAlign w:val="center"/>
          </w:tcPr>
          <w:p w14:paraId="25D858C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阳江市碧源水资源开发有限公司</w:t>
            </w:r>
            <w:r>
              <w:rPr>
                <w:rFonts w:hint="eastAsia" w:ascii="宋体" w:hAnsi="宋体" w:cs="宋体"/>
                <w:color w:val="auto"/>
                <w:sz w:val="21"/>
                <w:szCs w:val="21"/>
                <w:highlight w:val="none"/>
              </w:rPr>
              <w:t xml:space="preserve">  （盖章）</w:t>
            </w:r>
          </w:p>
        </w:tc>
        <w:tc>
          <w:tcPr>
            <w:tcW w:w="4873" w:type="dxa"/>
            <w:noWrap w:val="0"/>
            <w:vAlign w:val="center"/>
          </w:tcPr>
          <w:p w14:paraId="5FA174D0">
            <w:pPr>
              <w:keepNext w:val="0"/>
              <w:keepLines w:val="0"/>
              <w:pageBreakBefore w:val="0"/>
              <w:widowControl/>
              <w:kinsoku/>
              <w:wordWrap/>
              <w:overflowPunct/>
              <w:topLinePunct w:val="0"/>
              <w:autoSpaceDE/>
              <w:autoSpaceDN/>
              <w:bidi w:val="0"/>
              <w:adjustRightInd/>
              <w:snapToGrid/>
              <w:spacing w:line="360" w:lineRule="auto"/>
              <w:ind w:right="-3396" w:rightChars="-1617"/>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（盖章）</w:t>
            </w:r>
          </w:p>
        </w:tc>
      </w:tr>
      <w:tr w14:paraId="2CECD998">
        <w:tblPrEx>
          <w:tblCellMar>
            <w:top w:w="15" w:type="dxa"/>
            <w:left w:w="108" w:type="dxa"/>
            <w:bottom w:w="15" w:type="dxa"/>
            <w:right w:w="108" w:type="dxa"/>
          </w:tblCellMar>
        </w:tblPrEx>
        <w:trPr>
          <w:trHeight w:val="286" w:hRule="atLeast"/>
        </w:trPr>
        <w:tc>
          <w:tcPr>
            <w:tcW w:w="5089" w:type="dxa"/>
            <w:noWrap w:val="0"/>
            <w:vAlign w:val="center"/>
          </w:tcPr>
          <w:p w14:paraId="328B9B4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4873" w:type="dxa"/>
            <w:noWrap w:val="0"/>
            <w:vAlign w:val="center"/>
          </w:tcPr>
          <w:p w14:paraId="52916F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737A7FF4">
        <w:tblPrEx>
          <w:tblCellMar>
            <w:top w:w="15" w:type="dxa"/>
            <w:left w:w="108" w:type="dxa"/>
            <w:bottom w:w="15" w:type="dxa"/>
            <w:right w:w="108" w:type="dxa"/>
          </w:tblCellMar>
        </w:tblPrEx>
        <w:trPr>
          <w:trHeight w:val="286" w:hRule="atLeast"/>
        </w:trPr>
        <w:tc>
          <w:tcPr>
            <w:tcW w:w="5089" w:type="dxa"/>
            <w:noWrap w:val="0"/>
            <w:vAlign w:val="center"/>
          </w:tcPr>
          <w:p w14:paraId="19FB23B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或委托代理人：</w:t>
            </w:r>
          </w:p>
        </w:tc>
        <w:tc>
          <w:tcPr>
            <w:tcW w:w="4873" w:type="dxa"/>
            <w:noWrap w:val="0"/>
            <w:vAlign w:val="center"/>
          </w:tcPr>
          <w:p w14:paraId="5314D24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或委托代理人：</w:t>
            </w:r>
          </w:p>
        </w:tc>
      </w:tr>
      <w:tr w14:paraId="6C54A02C">
        <w:tblPrEx>
          <w:tblCellMar>
            <w:top w:w="15" w:type="dxa"/>
            <w:left w:w="108" w:type="dxa"/>
            <w:bottom w:w="15" w:type="dxa"/>
            <w:right w:w="108" w:type="dxa"/>
          </w:tblCellMar>
        </w:tblPrEx>
        <w:trPr>
          <w:trHeight w:val="286" w:hRule="atLeast"/>
        </w:trPr>
        <w:tc>
          <w:tcPr>
            <w:tcW w:w="5089" w:type="dxa"/>
            <w:noWrap w:val="0"/>
            <w:vAlign w:val="center"/>
          </w:tcPr>
          <w:p w14:paraId="09790FF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p>
        </w:tc>
        <w:tc>
          <w:tcPr>
            <w:tcW w:w="4873" w:type="dxa"/>
            <w:noWrap w:val="0"/>
            <w:vAlign w:val="center"/>
          </w:tcPr>
          <w:p w14:paraId="525E639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14:paraId="6F0DFDB1">
        <w:tblPrEx>
          <w:tblCellMar>
            <w:top w:w="15" w:type="dxa"/>
            <w:left w:w="108" w:type="dxa"/>
            <w:bottom w:w="15" w:type="dxa"/>
            <w:right w:w="108" w:type="dxa"/>
          </w:tblCellMar>
        </w:tblPrEx>
        <w:trPr>
          <w:trHeight w:val="286" w:hRule="atLeast"/>
        </w:trPr>
        <w:tc>
          <w:tcPr>
            <w:tcW w:w="5089" w:type="dxa"/>
            <w:noWrap w:val="0"/>
            <w:vAlign w:val="center"/>
          </w:tcPr>
          <w:p w14:paraId="3489135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873" w:type="dxa"/>
            <w:noWrap w:val="0"/>
            <w:vAlign w:val="center"/>
          </w:tcPr>
          <w:p w14:paraId="2528A45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14:paraId="439255F4">
        <w:tblPrEx>
          <w:tblCellMar>
            <w:top w:w="15" w:type="dxa"/>
            <w:left w:w="108" w:type="dxa"/>
            <w:bottom w:w="15" w:type="dxa"/>
            <w:right w:w="108" w:type="dxa"/>
          </w:tblCellMar>
        </w:tblPrEx>
        <w:trPr>
          <w:trHeight w:val="286" w:hRule="atLeast"/>
        </w:trPr>
        <w:tc>
          <w:tcPr>
            <w:tcW w:w="5089" w:type="dxa"/>
            <w:noWrap w:val="0"/>
            <w:vAlign w:val="center"/>
          </w:tcPr>
          <w:p w14:paraId="270DE65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873" w:type="dxa"/>
            <w:noWrap w:val="0"/>
            <w:vAlign w:val="center"/>
          </w:tcPr>
          <w:p w14:paraId="3288127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14:paraId="59D142A0">
        <w:tblPrEx>
          <w:tblCellMar>
            <w:top w:w="15" w:type="dxa"/>
            <w:left w:w="108" w:type="dxa"/>
            <w:bottom w:w="15" w:type="dxa"/>
            <w:right w:w="108" w:type="dxa"/>
          </w:tblCellMar>
        </w:tblPrEx>
        <w:trPr>
          <w:trHeight w:val="90" w:hRule="atLeast"/>
        </w:trPr>
        <w:tc>
          <w:tcPr>
            <w:tcW w:w="5089" w:type="dxa"/>
            <w:noWrap w:val="0"/>
            <w:vAlign w:val="center"/>
          </w:tcPr>
          <w:p w14:paraId="558887C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873" w:type="dxa"/>
            <w:noWrap w:val="0"/>
            <w:vAlign w:val="center"/>
          </w:tcPr>
          <w:p w14:paraId="08934DC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14:paraId="47E19AE1">
        <w:tblPrEx>
          <w:tblCellMar>
            <w:top w:w="15" w:type="dxa"/>
            <w:left w:w="108" w:type="dxa"/>
            <w:bottom w:w="15" w:type="dxa"/>
            <w:right w:w="108" w:type="dxa"/>
          </w:tblCellMar>
        </w:tblPrEx>
        <w:trPr>
          <w:trHeight w:val="286" w:hRule="atLeast"/>
        </w:trPr>
        <w:tc>
          <w:tcPr>
            <w:tcW w:w="5089" w:type="dxa"/>
            <w:noWrap w:val="0"/>
            <w:vAlign w:val="center"/>
          </w:tcPr>
          <w:p w14:paraId="31D4B04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4873" w:type="dxa"/>
            <w:noWrap w:val="0"/>
            <w:vAlign w:val="center"/>
          </w:tcPr>
          <w:p w14:paraId="453FC6E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r>
      <w:tr w14:paraId="55B7BC88">
        <w:tblPrEx>
          <w:tblCellMar>
            <w:top w:w="15" w:type="dxa"/>
            <w:left w:w="108" w:type="dxa"/>
            <w:bottom w:w="15" w:type="dxa"/>
            <w:right w:w="108" w:type="dxa"/>
          </w:tblCellMar>
        </w:tblPrEx>
        <w:trPr>
          <w:trHeight w:val="286" w:hRule="atLeast"/>
        </w:trPr>
        <w:tc>
          <w:tcPr>
            <w:tcW w:w="5089" w:type="dxa"/>
            <w:noWrap w:val="0"/>
            <w:vAlign w:val="center"/>
          </w:tcPr>
          <w:p w14:paraId="2B6CC0A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4873" w:type="dxa"/>
            <w:noWrap w:val="0"/>
            <w:vAlign w:val="center"/>
          </w:tcPr>
          <w:p w14:paraId="1837BFA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r>
    </w:tbl>
    <w:p w14:paraId="0D349330">
      <w:pPr>
        <w:bidi w:val="0"/>
        <w:rPr>
          <w:color w:val="auto"/>
          <w:sz w:val="21"/>
          <w:szCs w:val="21"/>
          <w:highlight w:val="none"/>
        </w:rPr>
      </w:pPr>
    </w:p>
    <w:tbl>
      <w:tblPr>
        <w:tblStyle w:val="6"/>
        <w:tblW w:w="9962" w:type="dxa"/>
        <w:tblInd w:w="0" w:type="dxa"/>
        <w:tblLayout w:type="fixed"/>
        <w:tblCellMar>
          <w:top w:w="15" w:type="dxa"/>
          <w:left w:w="108" w:type="dxa"/>
          <w:bottom w:w="15" w:type="dxa"/>
          <w:right w:w="108" w:type="dxa"/>
        </w:tblCellMar>
      </w:tblPr>
      <w:tblGrid>
        <w:gridCol w:w="4873"/>
      </w:tblGrid>
      <w:tr w14:paraId="0ECDED57">
        <w:tblPrEx>
          <w:tblCellMar>
            <w:top w:w="15" w:type="dxa"/>
            <w:left w:w="108" w:type="dxa"/>
            <w:bottom w:w="15" w:type="dxa"/>
            <w:right w:w="108" w:type="dxa"/>
          </w:tblCellMar>
        </w:tblPrEx>
        <w:trPr>
          <w:trHeight w:val="1020" w:hRule="atLeast"/>
        </w:trPr>
        <w:tc>
          <w:tcPr>
            <w:tcW w:w="4873" w:type="dxa"/>
            <w:noWrap w:val="0"/>
            <w:vAlign w:val="center"/>
          </w:tcPr>
          <w:p w14:paraId="4E8F4572">
            <w:pPr>
              <w:keepNext w:val="0"/>
              <w:keepLines w:val="0"/>
              <w:pageBreakBefore w:val="0"/>
              <w:widowControl/>
              <w:kinsoku/>
              <w:wordWrap/>
              <w:overflowPunct/>
              <w:topLinePunct w:val="0"/>
              <w:autoSpaceDE/>
              <w:autoSpaceDN/>
              <w:bidi w:val="0"/>
              <w:adjustRightInd/>
              <w:snapToGrid/>
              <w:spacing w:line="360" w:lineRule="auto"/>
              <w:ind w:right="-3396" w:rightChars="-1617"/>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（盖章）</w:t>
            </w:r>
          </w:p>
        </w:tc>
      </w:tr>
      <w:tr w14:paraId="20E949DA">
        <w:tblPrEx>
          <w:tblCellMar>
            <w:top w:w="15" w:type="dxa"/>
            <w:left w:w="108" w:type="dxa"/>
            <w:bottom w:w="15" w:type="dxa"/>
            <w:right w:w="108" w:type="dxa"/>
          </w:tblCellMar>
        </w:tblPrEx>
        <w:trPr>
          <w:trHeight w:val="286" w:hRule="atLeast"/>
        </w:trPr>
        <w:tc>
          <w:tcPr>
            <w:tcW w:w="4873" w:type="dxa"/>
            <w:noWrap w:val="0"/>
            <w:vAlign w:val="center"/>
          </w:tcPr>
          <w:p w14:paraId="4741067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1D660662">
        <w:tblPrEx>
          <w:tblCellMar>
            <w:top w:w="15" w:type="dxa"/>
            <w:left w:w="108" w:type="dxa"/>
            <w:bottom w:w="15" w:type="dxa"/>
            <w:right w:w="108" w:type="dxa"/>
          </w:tblCellMar>
        </w:tblPrEx>
        <w:trPr>
          <w:trHeight w:val="286" w:hRule="atLeast"/>
        </w:trPr>
        <w:tc>
          <w:tcPr>
            <w:tcW w:w="4873" w:type="dxa"/>
            <w:noWrap w:val="0"/>
            <w:vAlign w:val="center"/>
          </w:tcPr>
          <w:p w14:paraId="168A220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或委托代理人：</w:t>
            </w:r>
          </w:p>
        </w:tc>
      </w:tr>
      <w:tr w14:paraId="6BBA74E9">
        <w:tblPrEx>
          <w:tblCellMar>
            <w:top w:w="15" w:type="dxa"/>
            <w:left w:w="108" w:type="dxa"/>
            <w:bottom w:w="15" w:type="dxa"/>
            <w:right w:w="108" w:type="dxa"/>
          </w:tblCellMar>
        </w:tblPrEx>
        <w:trPr>
          <w:trHeight w:val="286" w:hRule="atLeast"/>
        </w:trPr>
        <w:tc>
          <w:tcPr>
            <w:tcW w:w="4873" w:type="dxa"/>
            <w:noWrap w:val="0"/>
            <w:vAlign w:val="center"/>
          </w:tcPr>
          <w:p w14:paraId="60A5414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p>
        </w:tc>
      </w:tr>
      <w:tr w14:paraId="63022FFC">
        <w:tblPrEx>
          <w:tblCellMar>
            <w:top w:w="15" w:type="dxa"/>
            <w:left w:w="108" w:type="dxa"/>
            <w:bottom w:w="15" w:type="dxa"/>
            <w:right w:w="108" w:type="dxa"/>
          </w:tblCellMar>
        </w:tblPrEx>
        <w:trPr>
          <w:trHeight w:val="286" w:hRule="atLeast"/>
        </w:trPr>
        <w:tc>
          <w:tcPr>
            <w:tcW w:w="4873" w:type="dxa"/>
            <w:noWrap w:val="0"/>
            <w:vAlign w:val="center"/>
          </w:tcPr>
          <w:p w14:paraId="4AE8643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14:paraId="7A3799E2">
        <w:tblPrEx>
          <w:tblCellMar>
            <w:top w:w="15" w:type="dxa"/>
            <w:left w:w="108" w:type="dxa"/>
            <w:bottom w:w="15" w:type="dxa"/>
            <w:right w:w="108" w:type="dxa"/>
          </w:tblCellMar>
        </w:tblPrEx>
        <w:trPr>
          <w:trHeight w:val="286" w:hRule="atLeast"/>
        </w:trPr>
        <w:tc>
          <w:tcPr>
            <w:tcW w:w="4873" w:type="dxa"/>
            <w:noWrap w:val="0"/>
            <w:vAlign w:val="center"/>
          </w:tcPr>
          <w:p w14:paraId="79F453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传真：</w:t>
            </w:r>
          </w:p>
        </w:tc>
      </w:tr>
      <w:tr w14:paraId="52AF75BC">
        <w:tblPrEx>
          <w:tblCellMar>
            <w:top w:w="15" w:type="dxa"/>
            <w:left w:w="108" w:type="dxa"/>
            <w:bottom w:w="15" w:type="dxa"/>
            <w:right w:w="108" w:type="dxa"/>
          </w:tblCellMar>
        </w:tblPrEx>
        <w:trPr>
          <w:trHeight w:val="90" w:hRule="atLeast"/>
        </w:trPr>
        <w:tc>
          <w:tcPr>
            <w:tcW w:w="4873" w:type="dxa"/>
            <w:noWrap w:val="0"/>
            <w:vAlign w:val="center"/>
          </w:tcPr>
          <w:p w14:paraId="780A28B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w:t>
            </w:r>
          </w:p>
        </w:tc>
      </w:tr>
      <w:tr w14:paraId="68252D22">
        <w:tblPrEx>
          <w:tblCellMar>
            <w:top w:w="15" w:type="dxa"/>
            <w:left w:w="108" w:type="dxa"/>
            <w:bottom w:w="15" w:type="dxa"/>
            <w:right w:w="108" w:type="dxa"/>
          </w:tblCellMar>
        </w:tblPrEx>
        <w:trPr>
          <w:trHeight w:val="286" w:hRule="atLeast"/>
        </w:trPr>
        <w:tc>
          <w:tcPr>
            <w:tcW w:w="4873" w:type="dxa"/>
            <w:noWrap w:val="0"/>
            <w:vAlign w:val="center"/>
          </w:tcPr>
          <w:p w14:paraId="52CC09C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w:t>
            </w:r>
          </w:p>
        </w:tc>
      </w:tr>
      <w:tr w14:paraId="0637C9BC">
        <w:tblPrEx>
          <w:tblCellMar>
            <w:top w:w="15" w:type="dxa"/>
            <w:left w:w="108" w:type="dxa"/>
            <w:bottom w:w="15" w:type="dxa"/>
            <w:right w:w="108" w:type="dxa"/>
          </w:tblCellMar>
        </w:tblPrEx>
        <w:trPr>
          <w:trHeight w:val="286" w:hRule="atLeast"/>
        </w:trPr>
        <w:tc>
          <w:tcPr>
            <w:tcW w:w="4873" w:type="dxa"/>
            <w:noWrap w:val="0"/>
            <w:vAlign w:val="center"/>
          </w:tcPr>
          <w:p w14:paraId="27DF862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r>
    </w:tbl>
    <w:p w14:paraId="280B5269">
      <w:pPr>
        <w:spacing w:line="360" w:lineRule="auto"/>
        <w:jc w:val="center"/>
        <w:rPr>
          <w:rFonts w:hint="eastAsia" w:ascii="宋体" w:hAnsi="宋体"/>
          <w:color w:val="auto"/>
          <w:kern w:val="10"/>
          <w:sz w:val="16"/>
          <w:szCs w:val="16"/>
          <w:highlight w:val="none"/>
          <w:u w:val="single"/>
        </w:rPr>
      </w:pPr>
    </w:p>
    <w:p w14:paraId="1D6C881A">
      <w:pPr>
        <w:pStyle w:val="3"/>
        <w:rPr>
          <w:rFonts w:hint="eastAsia"/>
          <w:color w:val="auto"/>
          <w:sz w:val="21"/>
          <w:szCs w:val="21"/>
          <w:highlight w:val="none"/>
        </w:rPr>
        <w:sectPr>
          <w:pgSz w:w="11906" w:h="16838"/>
          <w:pgMar w:top="1440" w:right="1080" w:bottom="1440" w:left="1080" w:header="851" w:footer="992" w:gutter="0"/>
          <w:pgNumType w:fmt="decimal"/>
          <w:cols w:space="720" w:num="1"/>
          <w:docGrid w:type="lines" w:linePitch="312" w:charSpace="0"/>
        </w:sectPr>
      </w:pPr>
    </w:p>
    <w:p w14:paraId="222E8B09">
      <w:pPr>
        <w:spacing w:line="360" w:lineRule="auto"/>
        <w:jc w:val="both"/>
        <w:rPr>
          <w:rFonts w:hint="eastAsia" w:ascii="黑体" w:hAnsi="黑体" w:eastAsia="黑体" w:cs="黑体"/>
          <w:color w:val="auto"/>
          <w:spacing w:val="8"/>
          <w:sz w:val="22"/>
          <w:szCs w:val="22"/>
          <w:highlight w:val="none"/>
          <w:lang w:eastAsia="zh-CN"/>
        </w:rPr>
      </w:pPr>
      <w:r>
        <w:rPr>
          <w:rFonts w:hint="eastAsia" w:ascii="黑体" w:hAnsi="黑体" w:eastAsia="黑体" w:cs="黑体"/>
          <w:color w:val="auto"/>
          <w:spacing w:val="8"/>
          <w:sz w:val="22"/>
          <w:szCs w:val="22"/>
          <w:highlight w:val="none"/>
          <w:lang w:eastAsia="zh-CN"/>
        </w:rPr>
        <w:t>附件</w:t>
      </w:r>
      <w:r>
        <w:rPr>
          <w:rFonts w:hint="eastAsia" w:ascii="黑体" w:hAnsi="黑体" w:eastAsia="黑体" w:cs="黑体"/>
          <w:color w:val="auto"/>
          <w:spacing w:val="8"/>
          <w:sz w:val="22"/>
          <w:szCs w:val="22"/>
          <w:highlight w:val="none"/>
          <w:lang w:val="en-US" w:eastAsia="zh-CN"/>
        </w:rPr>
        <w:t>2</w:t>
      </w:r>
      <w:r>
        <w:rPr>
          <w:rFonts w:hint="eastAsia" w:ascii="黑体" w:hAnsi="黑体" w:eastAsia="黑体" w:cs="黑体"/>
          <w:color w:val="auto"/>
          <w:spacing w:val="8"/>
          <w:sz w:val="22"/>
          <w:szCs w:val="22"/>
          <w:highlight w:val="none"/>
          <w:lang w:eastAsia="zh-CN"/>
        </w:rPr>
        <w:t>：</w:t>
      </w:r>
    </w:p>
    <w:p w14:paraId="18E1ED8E">
      <w:pPr>
        <w:jc w:val="center"/>
        <w:rPr>
          <w:rFonts w:hint="eastAsia" w:ascii="黑体" w:hAnsi="黑体" w:eastAsia="黑体" w:cs="黑体"/>
          <w:color w:val="auto"/>
          <w:sz w:val="32"/>
          <w:szCs w:val="32"/>
          <w:highlight w:val="none"/>
        </w:rPr>
      </w:pPr>
    </w:p>
    <w:p w14:paraId="51FF54A9">
      <w:pPr>
        <w:jc w:val="center"/>
        <w:rPr>
          <w:rFonts w:hint="eastAsia" w:ascii="黑体" w:hAnsi="黑体" w:eastAsia="黑体" w:cs="黑体"/>
          <w:color w:val="auto"/>
          <w:sz w:val="32"/>
          <w:szCs w:val="32"/>
          <w:highlight w:val="none"/>
        </w:rPr>
      </w:pPr>
    </w:p>
    <w:p w14:paraId="72BD31A1">
      <w:pPr>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工程质量终身责任承诺书</w:t>
      </w:r>
    </w:p>
    <w:p w14:paraId="1A4C128D">
      <w:pPr>
        <w:keepNext w:val="0"/>
        <w:keepLines w:val="0"/>
        <w:pageBreakBefore w:val="0"/>
        <w:widowControl w:val="0"/>
        <w:kinsoku/>
        <w:wordWrap/>
        <w:overflowPunct/>
        <w:topLinePunct w:val="0"/>
        <w:autoSpaceDE/>
        <w:autoSpaceDN/>
        <w:bidi w:val="0"/>
        <w:adjustRightInd/>
        <w:snapToGrid/>
        <w:spacing w:before="312" w:beforeLines="10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）授权，担任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项目的(建设、勘察、设计、施工、监理)项目负责人，对该工程项目的(建设、勘察、设计、施工、监理)工作实施组织管理。本人承诺严格依据国家有关法律法规及标准规范履行职责，并对设计使用年限内的工程质量承担相应终身责任。</w:t>
      </w:r>
    </w:p>
    <w:p w14:paraId="7419D0AA">
      <w:pPr>
        <w:ind w:firstLine="420" w:firstLineChars="200"/>
        <w:rPr>
          <w:rFonts w:hint="eastAsia" w:ascii="宋体" w:hAnsi="宋体" w:eastAsia="宋体" w:cs="宋体"/>
          <w:color w:val="auto"/>
          <w:sz w:val="21"/>
          <w:szCs w:val="21"/>
          <w:highlight w:val="none"/>
        </w:rPr>
      </w:pPr>
    </w:p>
    <w:p w14:paraId="213480FB">
      <w:pPr>
        <w:ind w:firstLine="420" w:firstLineChars="200"/>
        <w:rPr>
          <w:rFonts w:hint="eastAsia" w:ascii="宋体" w:hAnsi="宋体" w:eastAsia="宋体" w:cs="宋体"/>
          <w:color w:val="auto"/>
          <w:sz w:val="21"/>
          <w:szCs w:val="21"/>
          <w:highlight w:val="none"/>
        </w:rPr>
      </w:pPr>
    </w:p>
    <w:p w14:paraId="14A454D1">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0"/>
          <w:sz w:val="21"/>
          <w:szCs w:val="21"/>
          <w:highlight w:val="none"/>
        </w:rPr>
        <w:t>承诺人签字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CABB19B">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8"/>
          <w:sz w:val="21"/>
          <w:szCs w:val="21"/>
          <w:highlight w:val="none"/>
        </w:rPr>
        <w:t>身 份 证 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53221DA">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注册执业资格：</w:t>
      </w:r>
      <w:r>
        <w:rPr>
          <w:rFonts w:hint="eastAsia" w:ascii="宋体" w:hAnsi="宋体" w:eastAsia="宋体" w:cs="宋体"/>
          <w:color w:val="auto"/>
          <w:sz w:val="21"/>
          <w:szCs w:val="21"/>
          <w:highlight w:val="none"/>
          <w:u w:val="single"/>
        </w:rPr>
        <w:t xml:space="preserve">                   </w:t>
      </w:r>
    </w:p>
    <w:p w14:paraId="1D7B5C0F">
      <w:pPr>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注册执业证号：</w:t>
      </w:r>
      <w:r>
        <w:rPr>
          <w:rFonts w:hint="eastAsia" w:ascii="宋体" w:hAnsi="宋体" w:eastAsia="宋体" w:cs="宋体"/>
          <w:color w:val="auto"/>
          <w:sz w:val="21"/>
          <w:szCs w:val="21"/>
          <w:highlight w:val="none"/>
          <w:u w:val="single"/>
        </w:rPr>
        <w:t xml:space="preserve">                   </w:t>
      </w:r>
    </w:p>
    <w:p w14:paraId="4A0BFACD">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8"/>
          <w:sz w:val="21"/>
          <w:szCs w:val="21"/>
          <w:highlight w:val="none"/>
        </w:rPr>
        <w:t>签 字 日 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7CDB1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BBD63C2">
      <w:pPr>
        <w:spacing w:line="360" w:lineRule="auto"/>
        <w:jc w:val="both"/>
        <w:rPr>
          <w:rFonts w:hint="eastAsia" w:ascii="黑体" w:hAnsi="黑体" w:eastAsia="黑体" w:cs="黑体"/>
          <w:color w:val="auto"/>
          <w:spacing w:val="8"/>
          <w:sz w:val="22"/>
          <w:szCs w:val="22"/>
          <w:highlight w:val="none"/>
          <w:lang w:val="en-US" w:eastAsia="zh-CN"/>
        </w:rPr>
      </w:pPr>
      <w:r>
        <w:rPr>
          <w:rFonts w:hint="eastAsia" w:ascii="黑体" w:hAnsi="黑体" w:eastAsia="黑体" w:cs="黑体"/>
          <w:color w:val="auto"/>
          <w:spacing w:val="8"/>
          <w:sz w:val="22"/>
          <w:szCs w:val="22"/>
          <w:highlight w:val="none"/>
          <w:lang w:val="en-US" w:eastAsia="zh-CN"/>
        </w:rPr>
        <w:t>附件3：</w:t>
      </w:r>
    </w:p>
    <w:p w14:paraId="67DA3BDB">
      <w:pPr>
        <w:spacing w:line="360" w:lineRule="auto"/>
        <w:jc w:val="both"/>
        <w:rPr>
          <w:rFonts w:hint="eastAsia" w:ascii="黑体" w:hAnsi="黑体" w:eastAsia="黑体" w:cs="黑体"/>
          <w:color w:val="auto"/>
          <w:spacing w:val="8"/>
          <w:sz w:val="22"/>
          <w:szCs w:val="22"/>
          <w:highlight w:val="none"/>
          <w:lang w:val="en-US" w:eastAsia="zh-CN"/>
        </w:rPr>
      </w:pPr>
    </w:p>
    <w:p w14:paraId="63428C5A">
      <w:pPr>
        <w:spacing w:line="360" w:lineRule="auto"/>
        <w:jc w:val="both"/>
        <w:rPr>
          <w:rFonts w:hint="eastAsia" w:ascii="黑体" w:hAnsi="黑体" w:eastAsia="黑体" w:cs="黑体"/>
          <w:color w:val="auto"/>
          <w:spacing w:val="8"/>
          <w:sz w:val="22"/>
          <w:szCs w:val="22"/>
          <w:highlight w:val="none"/>
          <w:lang w:val="en-US" w:eastAsia="zh-CN"/>
        </w:rPr>
      </w:pPr>
    </w:p>
    <w:p w14:paraId="1276DC8A">
      <w:pPr>
        <w:widowControl/>
        <w:spacing w:line="560" w:lineRule="exact"/>
        <w:jc w:val="center"/>
        <w:rPr>
          <w:rFonts w:hint="eastAsia" w:eastAsia="方正小标宋简体" w:cs="方正小标宋简体"/>
          <w:bCs/>
          <w:color w:val="auto"/>
          <w:sz w:val="32"/>
          <w:szCs w:val="22"/>
          <w:highlight w:val="none"/>
        </w:rPr>
      </w:pPr>
      <w:r>
        <w:rPr>
          <w:rFonts w:hint="eastAsia" w:eastAsia="方正小标宋简体" w:cs="方正小标宋简体"/>
          <w:bCs/>
          <w:color w:val="auto"/>
          <w:sz w:val="32"/>
          <w:szCs w:val="22"/>
          <w:highlight w:val="none"/>
        </w:rPr>
        <w:t>法定代表人授权书</w:t>
      </w:r>
    </w:p>
    <w:p w14:paraId="58BDC5B3">
      <w:pPr>
        <w:spacing w:line="560" w:lineRule="exact"/>
        <w:jc w:val="center"/>
        <w:rPr>
          <w:rFonts w:eastAsia="仿宋"/>
          <w:color w:val="auto"/>
          <w:sz w:val="16"/>
          <w:szCs w:val="22"/>
          <w:highlight w:val="none"/>
        </w:rPr>
      </w:pPr>
    </w:p>
    <w:p w14:paraId="543E5520">
      <w:pPr>
        <w:spacing w:line="560" w:lineRule="exact"/>
        <w:ind w:firstLine="420" w:firstLineChars="200"/>
        <w:rPr>
          <w:rFonts w:hint="eastAsia"/>
          <w:color w:val="auto"/>
          <w:sz w:val="21"/>
          <w:szCs w:val="21"/>
          <w:highlight w:val="none"/>
        </w:rPr>
      </w:pPr>
      <w:r>
        <w:rPr>
          <w:rFonts w:hint="eastAsia"/>
          <w:color w:val="auto"/>
          <w:sz w:val="21"/>
          <w:szCs w:val="21"/>
          <w:highlight w:val="none"/>
        </w:rPr>
        <w:t>兹授权我单位</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担任</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项目负责人，对该工程项目的建设工作实施组织管理，依据国家有关法律法规及标准规范履行职责，并依法对设计使用年限内的工程质量承担相应终身责任。</w:t>
      </w:r>
    </w:p>
    <w:p w14:paraId="0E776EDF">
      <w:pPr>
        <w:spacing w:line="560" w:lineRule="exact"/>
        <w:ind w:firstLine="420" w:firstLineChars="200"/>
        <w:rPr>
          <w:rFonts w:hint="eastAsia"/>
          <w:color w:val="auto"/>
          <w:sz w:val="21"/>
          <w:szCs w:val="21"/>
          <w:highlight w:val="none"/>
        </w:rPr>
      </w:pPr>
      <w:r>
        <w:rPr>
          <w:rFonts w:hint="eastAsia"/>
          <w:color w:val="auto"/>
          <w:sz w:val="21"/>
          <w:szCs w:val="21"/>
          <w:highlight w:val="none"/>
        </w:rPr>
        <w:t>本授权书自授权之日起生效。</w:t>
      </w:r>
    </w:p>
    <w:p w14:paraId="573A0737">
      <w:pPr>
        <w:spacing w:line="560" w:lineRule="exact"/>
        <w:ind w:firstLine="420" w:firstLineChars="200"/>
        <w:rPr>
          <w:color w:val="auto"/>
          <w:sz w:val="21"/>
          <w:szCs w:val="21"/>
          <w:highlight w:val="none"/>
        </w:rPr>
      </w:pP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138"/>
        <w:gridCol w:w="2061"/>
        <w:gridCol w:w="2430"/>
      </w:tblGrid>
      <w:tr w14:paraId="3D48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04" w:type="dxa"/>
            <w:gridSpan w:val="4"/>
            <w:noWrap w:val="0"/>
            <w:vAlign w:val="top"/>
          </w:tcPr>
          <w:p w14:paraId="19085A1C">
            <w:pPr>
              <w:spacing w:line="560" w:lineRule="exact"/>
              <w:jc w:val="center"/>
              <w:rPr>
                <w:color w:val="auto"/>
                <w:sz w:val="21"/>
                <w:szCs w:val="21"/>
                <w:highlight w:val="none"/>
              </w:rPr>
            </w:pPr>
            <w:r>
              <w:rPr>
                <w:b/>
                <w:bCs/>
                <w:color w:val="auto"/>
                <w:sz w:val="21"/>
                <w:szCs w:val="21"/>
                <w:highlight w:val="none"/>
              </w:rPr>
              <w:t>被授权人基本情况</w:t>
            </w:r>
          </w:p>
        </w:tc>
      </w:tr>
      <w:tr w14:paraId="61CE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75" w:type="dxa"/>
            <w:noWrap w:val="0"/>
            <w:vAlign w:val="top"/>
          </w:tcPr>
          <w:p w14:paraId="22EE4B39">
            <w:pPr>
              <w:spacing w:line="560" w:lineRule="exact"/>
              <w:jc w:val="center"/>
              <w:rPr>
                <w:color w:val="auto"/>
                <w:sz w:val="21"/>
                <w:szCs w:val="21"/>
                <w:highlight w:val="none"/>
              </w:rPr>
            </w:pPr>
            <w:r>
              <w:rPr>
                <w:color w:val="auto"/>
                <w:sz w:val="21"/>
                <w:szCs w:val="21"/>
                <w:highlight w:val="none"/>
              </w:rPr>
              <w:t>姓  名</w:t>
            </w:r>
          </w:p>
        </w:tc>
        <w:tc>
          <w:tcPr>
            <w:tcW w:w="2138" w:type="dxa"/>
            <w:noWrap w:val="0"/>
            <w:vAlign w:val="top"/>
          </w:tcPr>
          <w:p w14:paraId="3B398D64">
            <w:pPr>
              <w:spacing w:line="560" w:lineRule="exact"/>
              <w:jc w:val="center"/>
              <w:rPr>
                <w:rFonts w:hint="default" w:eastAsia="仿宋_GB2312"/>
                <w:color w:val="auto"/>
                <w:sz w:val="21"/>
                <w:szCs w:val="21"/>
                <w:highlight w:val="none"/>
                <w:lang w:val="en-US" w:eastAsia="zh-CN"/>
              </w:rPr>
            </w:pPr>
          </w:p>
        </w:tc>
        <w:tc>
          <w:tcPr>
            <w:tcW w:w="2061" w:type="dxa"/>
            <w:noWrap w:val="0"/>
            <w:vAlign w:val="top"/>
          </w:tcPr>
          <w:p w14:paraId="1E6EB678">
            <w:pPr>
              <w:spacing w:line="560" w:lineRule="exact"/>
              <w:jc w:val="center"/>
              <w:rPr>
                <w:color w:val="auto"/>
                <w:sz w:val="21"/>
                <w:szCs w:val="21"/>
                <w:highlight w:val="none"/>
              </w:rPr>
            </w:pPr>
            <w:r>
              <w:rPr>
                <w:color w:val="auto"/>
                <w:sz w:val="21"/>
                <w:szCs w:val="21"/>
                <w:highlight w:val="none"/>
              </w:rPr>
              <w:t>身份证号</w:t>
            </w:r>
          </w:p>
        </w:tc>
        <w:tc>
          <w:tcPr>
            <w:tcW w:w="2430" w:type="dxa"/>
            <w:noWrap w:val="0"/>
            <w:vAlign w:val="top"/>
          </w:tcPr>
          <w:p w14:paraId="3542B379">
            <w:pPr>
              <w:spacing w:line="560" w:lineRule="exact"/>
              <w:rPr>
                <w:color w:val="auto"/>
                <w:sz w:val="21"/>
                <w:szCs w:val="21"/>
                <w:highlight w:val="none"/>
              </w:rPr>
            </w:pPr>
          </w:p>
        </w:tc>
      </w:tr>
      <w:tr w14:paraId="201A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75" w:type="dxa"/>
            <w:noWrap w:val="0"/>
            <w:vAlign w:val="top"/>
          </w:tcPr>
          <w:p w14:paraId="0F72A61E">
            <w:pPr>
              <w:spacing w:line="560" w:lineRule="exact"/>
              <w:jc w:val="center"/>
              <w:rPr>
                <w:color w:val="auto"/>
                <w:sz w:val="21"/>
                <w:szCs w:val="21"/>
                <w:highlight w:val="none"/>
              </w:rPr>
            </w:pPr>
            <w:r>
              <w:rPr>
                <w:color w:val="auto"/>
                <w:sz w:val="21"/>
                <w:szCs w:val="21"/>
                <w:highlight w:val="none"/>
              </w:rPr>
              <w:t>注册执业资格</w:t>
            </w:r>
          </w:p>
        </w:tc>
        <w:tc>
          <w:tcPr>
            <w:tcW w:w="2138" w:type="dxa"/>
            <w:noWrap w:val="0"/>
            <w:vAlign w:val="top"/>
          </w:tcPr>
          <w:p w14:paraId="0B8AFACC">
            <w:pPr>
              <w:spacing w:line="560" w:lineRule="exact"/>
              <w:jc w:val="center"/>
              <w:rPr>
                <w:color w:val="auto"/>
                <w:sz w:val="21"/>
                <w:szCs w:val="21"/>
                <w:highlight w:val="none"/>
              </w:rPr>
            </w:pPr>
          </w:p>
        </w:tc>
        <w:tc>
          <w:tcPr>
            <w:tcW w:w="2061" w:type="dxa"/>
            <w:noWrap w:val="0"/>
            <w:vAlign w:val="top"/>
          </w:tcPr>
          <w:p w14:paraId="719B50C8">
            <w:pPr>
              <w:spacing w:line="560" w:lineRule="exact"/>
              <w:jc w:val="center"/>
              <w:rPr>
                <w:color w:val="auto"/>
                <w:sz w:val="21"/>
                <w:szCs w:val="21"/>
                <w:highlight w:val="none"/>
              </w:rPr>
            </w:pPr>
            <w:r>
              <w:rPr>
                <w:color w:val="auto"/>
                <w:sz w:val="21"/>
                <w:szCs w:val="21"/>
                <w:highlight w:val="none"/>
              </w:rPr>
              <w:t>注册执业证号</w:t>
            </w:r>
          </w:p>
        </w:tc>
        <w:tc>
          <w:tcPr>
            <w:tcW w:w="2430" w:type="dxa"/>
            <w:noWrap w:val="0"/>
            <w:vAlign w:val="top"/>
          </w:tcPr>
          <w:p w14:paraId="0146FC22">
            <w:pPr>
              <w:spacing w:line="560" w:lineRule="exact"/>
              <w:rPr>
                <w:color w:val="auto"/>
                <w:sz w:val="21"/>
                <w:szCs w:val="21"/>
                <w:highlight w:val="none"/>
              </w:rPr>
            </w:pPr>
          </w:p>
        </w:tc>
      </w:tr>
      <w:tr w14:paraId="0087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5" w:type="dxa"/>
            <w:noWrap w:val="0"/>
            <w:vAlign w:val="top"/>
          </w:tcPr>
          <w:p w14:paraId="4AC592E4">
            <w:pPr>
              <w:spacing w:line="560" w:lineRule="exact"/>
              <w:jc w:val="center"/>
              <w:rPr>
                <w:color w:val="auto"/>
                <w:sz w:val="21"/>
                <w:szCs w:val="21"/>
                <w:highlight w:val="none"/>
              </w:rPr>
            </w:pPr>
            <w:r>
              <w:rPr>
                <w:rFonts w:hint="eastAsia"/>
                <w:color w:val="auto"/>
                <w:sz w:val="21"/>
                <w:szCs w:val="21"/>
                <w:highlight w:val="none"/>
              </w:rPr>
              <w:t>职称</w:t>
            </w:r>
          </w:p>
        </w:tc>
        <w:tc>
          <w:tcPr>
            <w:tcW w:w="2138" w:type="dxa"/>
            <w:noWrap w:val="0"/>
            <w:vAlign w:val="top"/>
          </w:tcPr>
          <w:p w14:paraId="4AC76545">
            <w:pPr>
              <w:spacing w:line="560" w:lineRule="exact"/>
              <w:jc w:val="center"/>
              <w:rPr>
                <w:rFonts w:hint="default" w:eastAsia="仿宋_GB2312"/>
                <w:color w:val="auto"/>
                <w:sz w:val="21"/>
                <w:szCs w:val="21"/>
                <w:highlight w:val="none"/>
                <w:lang w:val="en-US" w:eastAsia="zh-CN"/>
              </w:rPr>
            </w:pPr>
          </w:p>
        </w:tc>
        <w:tc>
          <w:tcPr>
            <w:tcW w:w="2061" w:type="dxa"/>
            <w:noWrap w:val="0"/>
            <w:vAlign w:val="top"/>
          </w:tcPr>
          <w:p w14:paraId="4E747458">
            <w:pPr>
              <w:spacing w:line="560" w:lineRule="exact"/>
              <w:jc w:val="center"/>
              <w:rPr>
                <w:color w:val="auto"/>
                <w:sz w:val="21"/>
                <w:szCs w:val="21"/>
                <w:highlight w:val="none"/>
              </w:rPr>
            </w:pPr>
            <w:r>
              <w:rPr>
                <w:rFonts w:hint="eastAsia"/>
                <w:color w:val="auto"/>
                <w:sz w:val="21"/>
                <w:szCs w:val="21"/>
                <w:highlight w:val="none"/>
              </w:rPr>
              <w:t>专业</w:t>
            </w:r>
          </w:p>
        </w:tc>
        <w:tc>
          <w:tcPr>
            <w:tcW w:w="2430" w:type="dxa"/>
            <w:noWrap w:val="0"/>
            <w:vAlign w:val="top"/>
          </w:tcPr>
          <w:p w14:paraId="05E67C70">
            <w:pPr>
              <w:spacing w:line="560" w:lineRule="exact"/>
              <w:rPr>
                <w:color w:val="auto"/>
                <w:sz w:val="21"/>
                <w:szCs w:val="21"/>
                <w:highlight w:val="none"/>
              </w:rPr>
            </w:pPr>
          </w:p>
        </w:tc>
      </w:tr>
      <w:tr w14:paraId="6E7D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04" w:type="dxa"/>
            <w:gridSpan w:val="4"/>
            <w:noWrap w:val="0"/>
            <w:vAlign w:val="top"/>
          </w:tcPr>
          <w:p w14:paraId="60839052">
            <w:pPr>
              <w:spacing w:line="560" w:lineRule="exact"/>
              <w:jc w:val="left"/>
              <w:rPr>
                <w:color w:val="auto"/>
                <w:sz w:val="21"/>
                <w:szCs w:val="21"/>
                <w:highlight w:val="none"/>
              </w:rPr>
            </w:pPr>
            <w:r>
              <w:rPr>
                <w:color w:val="auto"/>
                <w:sz w:val="21"/>
                <w:szCs w:val="21"/>
                <w:highlight w:val="none"/>
              </w:rPr>
              <w:t>被授权人签字：</w:t>
            </w:r>
          </w:p>
        </w:tc>
      </w:tr>
    </w:tbl>
    <w:p w14:paraId="531AC07E">
      <w:pPr>
        <w:spacing w:line="560" w:lineRule="exact"/>
        <w:ind w:firstLine="420" w:firstLineChars="200"/>
        <w:rPr>
          <w:color w:val="auto"/>
          <w:sz w:val="21"/>
          <w:szCs w:val="21"/>
          <w:highlight w:val="none"/>
        </w:rPr>
      </w:pPr>
    </w:p>
    <w:p w14:paraId="12FB9B3E">
      <w:pPr>
        <w:spacing w:line="560" w:lineRule="exact"/>
        <w:ind w:firstLine="420" w:firstLineChars="200"/>
        <w:rPr>
          <w:color w:val="auto"/>
          <w:sz w:val="21"/>
          <w:szCs w:val="21"/>
          <w:highlight w:val="none"/>
          <w:u w:val="single"/>
        </w:rPr>
      </w:pP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w:t>
      </w:r>
      <w:r>
        <w:rPr>
          <w:color w:val="auto"/>
          <w:spacing w:val="21"/>
          <w:sz w:val="21"/>
          <w:szCs w:val="21"/>
          <w:highlight w:val="none"/>
        </w:rPr>
        <w:t>授权单位（盖章）</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3CEF04BC">
      <w:pPr>
        <w:spacing w:line="560" w:lineRule="exact"/>
        <w:ind w:firstLine="420" w:firstLineChars="200"/>
        <w:rPr>
          <w:color w:val="auto"/>
          <w:sz w:val="21"/>
          <w:szCs w:val="21"/>
          <w:highlight w:val="none"/>
          <w:u w:val="single"/>
        </w:rPr>
      </w:pP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法定代表人（签字）：</w:t>
      </w:r>
      <w:r>
        <w:rPr>
          <w:color w:val="auto"/>
          <w:sz w:val="21"/>
          <w:szCs w:val="21"/>
          <w:highlight w:val="none"/>
          <w:u w:val="single"/>
        </w:rPr>
        <w:t xml:space="preserve">                    </w:t>
      </w:r>
    </w:p>
    <w:p w14:paraId="103FD747">
      <w:pPr>
        <w:rPr>
          <w:color w:val="auto"/>
          <w:sz w:val="18"/>
          <w:szCs w:val="21"/>
          <w:highlight w:val="none"/>
        </w:rPr>
      </w:pP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w:t>
      </w:r>
      <w:r>
        <w:rPr>
          <w:rFonts w:hint="eastAsia"/>
          <w:color w:val="auto"/>
          <w:sz w:val="21"/>
          <w:szCs w:val="21"/>
          <w:highlight w:val="none"/>
          <w:lang w:val="en-US" w:eastAsia="zh-CN"/>
        </w:rPr>
        <w:t xml:space="preserve">    </w:t>
      </w:r>
      <w:r>
        <w:rPr>
          <w:color w:val="auto"/>
          <w:spacing w:val="21"/>
          <w:sz w:val="21"/>
          <w:szCs w:val="21"/>
          <w:highlight w:val="none"/>
        </w:rPr>
        <w:t>授</w:t>
      </w:r>
      <w:r>
        <w:rPr>
          <w:rFonts w:hint="eastAsia"/>
          <w:color w:val="auto"/>
          <w:spacing w:val="21"/>
          <w:sz w:val="21"/>
          <w:szCs w:val="21"/>
          <w:highlight w:val="none"/>
          <w:lang w:val="en-US" w:eastAsia="zh-CN"/>
        </w:rPr>
        <w:t xml:space="preserve">  </w:t>
      </w:r>
      <w:r>
        <w:rPr>
          <w:color w:val="auto"/>
          <w:spacing w:val="21"/>
          <w:sz w:val="21"/>
          <w:szCs w:val="21"/>
          <w:highlight w:val="none"/>
        </w:rPr>
        <w:t>权</w:t>
      </w:r>
      <w:r>
        <w:rPr>
          <w:rFonts w:hint="eastAsia"/>
          <w:color w:val="auto"/>
          <w:spacing w:val="21"/>
          <w:sz w:val="21"/>
          <w:szCs w:val="21"/>
          <w:highlight w:val="none"/>
          <w:lang w:val="en-US" w:eastAsia="zh-CN"/>
        </w:rPr>
        <w:t xml:space="preserve">  </w:t>
      </w:r>
      <w:r>
        <w:rPr>
          <w:color w:val="auto"/>
          <w:spacing w:val="21"/>
          <w:sz w:val="21"/>
          <w:szCs w:val="21"/>
          <w:highlight w:val="none"/>
        </w:rPr>
        <w:t>日</w:t>
      </w:r>
      <w:r>
        <w:rPr>
          <w:rFonts w:hint="eastAsia"/>
          <w:color w:val="auto"/>
          <w:spacing w:val="21"/>
          <w:sz w:val="21"/>
          <w:szCs w:val="21"/>
          <w:highlight w:val="none"/>
          <w:lang w:val="en-US" w:eastAsia="zh-CN"/>
        </w:rPr>
        <w:t xml:space="preserve">  </w:t>
      </w:r>
      <w:r>
        <w:rPr>
          <w:color w:val="auto"/>
          <w:spacing w:val="21"/>
          <w:sz w:val="21"/>
          <w:szCs w:val="21"/>
          <w:highlight w:val="none"/>
        </w:rPr>
        <w:t>期：</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z w:val="21"/>
          <w:szCs w:val="21"/>
          <w:highlight w:val="none"/>
        </w:rPr>
        <w:t>日</w:t>
      </w:r>
    </w:p>
    <w:p w14:paraId="58FFB2EA">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w:date="2025-07-23T10:16:23Z" w:initials="A">
    <w:p w14:paraId="0CF83EBA">
      <w:pPr>
        <w:pStyle w:val="4"/>
      </w:pPr>
      <w:r>
        <w:annotationRef/>
      </w:r>
    </w:p>
  </w:comment>
  <w:comment w:id="1" w:author="陈忠[荣耀律师]" w:date="2025-07-08T16:09:14Z" w:initials="">
    <w:p w14:paraId="535778F5">
      <w:pPr>
        <w:pStyle w:val="4"/>
        <w:rPr>
          <w:rFonts w:hint="default" w:eastAsia="宋体"/>
          <w:lang w:val="en-US" w:eastAsia="zh-CN"/>
        </w:rPr>
      </w:pPr>
      <w:r>
        <w:rPr>
          <w:rFonts w:hint="eastAsia"/>
          <w:lang w:val="en-US" w:eastAsia="zh-CN"/>
        </w:rPr>
        <w:t>建议完善合同的意思表示，一般的约定是：除...外，还应.......？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F83EBA" w15:done="0"/>
  <w15:commentEx w15:paraId="535778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rson w15:author="陈忠[荣耀律师]">
    <w15:presenceInfo w15:providerId="WPS Office" w15:userId="749615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ZThhZjliYTVjNDdjYjk2ZTNhMDUyYjZlOTM0MTYifQ=="/>
  </w:docVars>
  <w:rsids>
    <w:rsidRoot w:val="0B681924"/>
    <w:rsid w:val="00AA3CEC"/>
    <w:rsid w:val="012C0007"/>
    <w:rsid w:val="019E3125"/>
    <w:rsid w:val="0495080F"/>
    <w:rsid w:val="04E97EFA"/>
    <w:rsid w:val="062A6965"/>
    <w:rsid w:val="063F133E"/>
    <w:rsid w:val="07990616"/>
    <w:rsid w:val="0B2609BD"/>
    <w:rsid w:val="0B681924"/>
    <w:rsid w:val="109C2F25"/>
    <w:rsid w:val="14A80710"/>
    <w:rsid w:val="180A45DF"/>
    <w:rsid w:val="1A564DB3"/>
    <w:rsid w:val="2031368A"/>
    <w:rsid w:val="205F522A"/>
    <w:rsid w:val="2524556B"/>
    <w:rsid w:val="25BA0040"/>
    <w:rsid w:val="2C267E1B"/>
    <w:rsid w:val="2DAA682A"/>
    <w:rsid w:val="2FFD70E5"/>
    <w:rsid w:val="30113625"/>
    <w:rsid w:val="34DB714D"/>
    <w:rsid w:val="35303AB8"/>
    <w:rsid w:val="370C40B1"/>
    <w:rsid w:val="42021888"/>
    <w:rsid w:val="42B15B0D"/>
    <w:rsid w:val="430A1569"/>
    <w:rsid w:val="477B1EE6"/>
    <w:rsid w:val="489D100D"/>
    <w:rsid w:val="4A227A1C"/>
    <w:rsid w:val="505605DA"/>
    <w:rsid w:val="51C01DAA"/>
    <w:rsid w:val="56E60E69"/>
    <w:rsid w:val="5CC11AFF"/>
    <w:rsid w:val="5F775C8B"/>
    <w:rsid w:val="665E7BD6"/>
    <w:rsid w:val="6D53159A"/>
    <w:rsid w:val="6FDFBBC7"/>
    <w:rsid w:val="749537E8"/>
    <w:rsid w:val="75D4262E"/>
    <w:rsid w:val="772E058A"/>
    <w:rsid w:val="78F202E4"/>
    <w:rsid w:val="797920D1"/>
    <w:rsid w:val="7BF2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autoSpaceDE/>
      <w:autoSpaceDN/>
      <w:adjustRightInd/>
      <w:spacing w:after="120" w:afterLines="0" w:line="240" w:lineRule="auto"/>
      <w:ind w:left="420" w:leftChars="200" w:firstLine="420" w:firstLineChars="200"/>
      <w:textAlignment w:val="auto"/>
    </w:pPr>
    <w:rPr>
      <w:rFonts w:ascii="Times New Roman" w:hAnsi="Times New Roman"/>
      <w:color w:val="auto"/>
      <w:kern w:val="2"/>
      <w:sz w:val="21"/>
    </w:rPr>
  </w:style>
  <w:style w:type="paragraph" w:styleId="4">
    <w:name w:val="annotation text"/>
    <w:basedOn w:val="1"/>
    <w:qFormat/>
    <w:uiPriority w:val="0"/>
    <w:pPr>
      <w:jc w:val="left"/>
    </w:pPr>
  </w:style>
  <w:style w:type="paragraph" w:styleId="5">
    <w:name w:val="Body Text Indent"/>
    <w:basedOn w:val="1"/>
    <w:qFormat/>
    <w:uiPriority w:val="0"/>
    <w:pPr>
      <w:snapToGrid w:val="0"/>
      <w:spacing w:after="120" w:line="360" w:lineRule="auto"/>
      <w:ind w:firstLine="630"/>
    </w:pPr>
    <w:rPr>
      <w:sz w:val="28"/>
      <w:szCs w:val="20"/>
    </w:rPr>
  </w:style>
  <w:style w:type="paragraph" w:customStyle="1" w:styleId="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5736</Words>
  <Characters>5814</Characters>
  <Lines>0</Lines>
  <Paragraphs>0</Paragraphs>
  <TotalTime>1</TotalTime>
  <ScaleCrop>false</ScaleCrop>
  <LinksUpToDate>false</LinksUpToDate>
  <CharactersWithSpaces>6772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2024-07-31T15:15:00Z</dcterms:created>
  <dc:creator>Administrator</dc:creator>
  <cp:lastModifiedBy>c</cp:lastModifiedBy>
  <cp:lastPrinted>2025-07-23T02:19:07Z</cp:lastPrinted>
  <dcterms:modified xsi:type="dcterms:W3CDTF">2025-07-23T02:19:10Z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97CD1CD8A9C94694958ACEC664429625_13</vt:lpwstr>
  </property>
  <property fmtid="{D5CDD505-2E9C-101B-9397-08002B2CF9AE}" pid="4" name="KSOTemplateDocerSaveRecord">
    <vt:lpwstr>eyJoZGlkIjoiM2E0M2M3YzNjNDQzNTBiM2FiMjQzYWU0MjE1NTViYzEiLCJ1c2VySWQiOiI0NTkwMzUxMDcifQ==</vt:lpwstr>
  </property>
</Properties>
</file>