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B1DC5">
      <w:pPr>
        <w:spacing w:line="360" w:lineRule="auto"/>
        <w:jc w:val="cente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14:paraId="31F05A5E">
      <w:pPr>
        <w:spacing w:line="360" w:lineRule="auto"/>
        <w:outlineLvl w:val="9"/>
        <w:rPr>
          <w:rFonts w:hint="eastAsia" w:ascii="宋体" w:hAnsi="宋体" w:eastAsia="宋体" w:cs="宋体"/>
          <w:bCs/>
          <w:color w:val="auto"/>
          <w:kern w:val="0"/>
          <w:sz w:val="48"/>
          <w:szCs w:val="48"/>
          <w:highlight w:val="none"/>
        </w:rPr>
      </w:pPr>
    </w:p>
    <w:p w14:paraId="40B3E1F1">
      <w:pPr>
        <w:pStyle w:val="26"/>
        <w:outlineLvl w:val="9"/>
        <w:rPr>
          <w:rFonts w:hint="eastAsia" w:ascii="宋体" w:hAnsi="宋体" w:eastAsia="宋体" w:cs="宋体"/>
          <w:color w:val="auto"/>
          <w:highlight w:val="none"/>
        </w:rPr>
      </w:pPr>
    </w:p>
    <w:p w14:paraId="613CCD64">
      <w:pPr>
        <w:rPr>
          <w:rFonts w:hint="eastAsia" w:ascii="宋体" w:hAnsi="宋体" w:eastAsia="宋体" w:cs="宋体"/>
          <w:color w:val="auto"/>
          <w:highlight w:val="none"/>
        </w:rPr>
      </w:pPr>
    </w:p>
    <w:p w14:paraId="1BF066FD">
      <w:pPr>
        <w:adjustRightInd w:val="0"/>
        <w:snapToGrid w:val="0"/>
        <w:spacing w:line="360" w:lineRule="auto"/>
        <w:ind w:firstLine="0" w:firstLineChars="0"/>
        <w:jc w:val="center"/>
        <w:outlineLvl w:val="9"/>
        <w:rPr>
          <w:rFonts w:hint="eastAsia" w:ascii="宋体" w:hAnsi="宋体" w:eastAsia="宋体" w:cs="宋体"/>
          <w:b/>
          <w:bCs w:val="0"/>
          <w:snapToGrid/>
          <w:color w:val="auto"/>
          <w:spacing w:val="-6"/>
          <w:kern w:val="0"/>
          <w:sz w:val="52"/>
          <w:szCs w:val="52"/>
          <w:highlight w:val="none"/>
          <w:u w:val="none"/>
          <w:lang w:eastAsia="zh-CN"/>
        </w:rPr>
      </w:pPr>
      <w:bookmarkStart w:id="0" w:name="_Toc23846"/>
      <w:bookmarkStart w:id="1" w:name="_Toc31741"/>
      <w:bookmarkStart w:id="2" w:name="_Toc23827"/>
      <w:bookmarkStart w:id="3" w:name="_Toc2243"/>
      <w:bookmarkStart w:id="4" w:name="_Toc14543"/>
      <w:r>
        <w:rPr>
          <w:rFonts w:hint="eastAsia" w:ascii="宋体" w:hAnsi="宋体" w:eastAsia="宋体" w:cs="宋体"/>
          <w:b/>
          <w:bCs w:val="0"/>
          <w:snapToGrid/>
          <w:color w:val="auto"/>
          <w:spacing w:val="-6"/>
          <w:kern w:val="0"/>
          <w:sz w:val="52"/>
          <w:szCs w:val="52"/>
          <w:highlight w:val="none"/>
          <w:u w:val="none"/>
          <w:lang w:eastAsia="zh-CN"/>
        </w:rPr>
        <w:t>穗云水厂常规工艺增容工程</w:t>
      </w:r>
    </w:p>
    <w:bookmarkEnd w:id="0"/>
    <w:bookmarkEnd w:id="1"/>
    <w:bookmarkEnd w:id="2"/>
    <w:bookmarkEnd w:id="3"/>
    <w:bookmarkEnd w:id="4"/>
    <w:p w14:paraId="0C165DA0">
      <w:pPr>
        <w:adjustRightInd w:val="0"/>
        <w:snapToGrid w:val="0"/>
        <w:spacing w:line="360" w:lineRule="auto"/>
        <w:ind w:firstLine="0" w:firstLineChars="0"/>
        <w:jc w:val="center"/>
        <w:outlineLvl w:val="9"/>
        <w:rPr>
          <w:rFonts w:hint="eastAsia" w:ascii="宋体" w:hAnsi="宋体" w:eastAsia="宋体" w:cs="宋体"/>
          <w:b/>
          <w:bCs w:val="0"/>
          <w:snapToGrid/>
          <w:color w:val="auto"/>
          <w:spacing w:val="-6"/>
          <w:kern w:val="0"/>
          <w:sz w:val="52"/>
          <w:szCs w:val="52"/>
          <w:highlight w:val="none"/>
          <w:u w:val="none"/>
        </w:rPr>
      </w:pPr>
      <w:bookmarkStart w:id="5" w:name="_Toc26342"/>
      <w:bookmarkStart w:id="6" w:name="_Toc9022"/>
      <w:bookmarkStart w:id="7" w:name="_Toc10206"/>
      <w:bookmarkStart w:id="8" w:name="_Toc13937"/>
      <w:bookmarkStart w:id="9" w:name="_Toc23885"/>
      <w:bookmarkStart w:id="10" w:name="_Toc1554"/>
      <w:r>
        <w:rPr>
          <w:rFonts w:hint="eastAsia" w:ascii="宋体" w:hAnsi="宋体" w:eastAsia="宋体" w:cs="宋体"/>
          <w:b/>
          <w:bCs w:val="0"/>
          <w:snapToGrid/>
          <w:color w:val="auto"/>
          <w:spacing w:val="-6"/>
          <w:kern w:val="0"/>
          <w:sz w:val="52"/>
          <w:szCs w:val="52"/>
          <w:highlight w:val="none"/>
          <w:u w:val="none"/>
        </w:rPr>
        <w:t>造价咨询服务合同</w:t>
      </w:r>
      <w:bookmarkEnd w:id="5"/>
      <w:bookmarkEnd w:id="6"/>
      <w:bookmarkEnd w:id="7"/>
      <w:bookmarkEnd w:id="8"/>
      <w:bookmarkEnd w:id="9"/>
      <w:bookmarkEnd w:id="10"/>
    </w:p>
    <w:p w14:paraId="7BAE602B">
      <w:pPr>
        <w:spacing w:line="360" w:lineRule="auto"/>
        <w:outlineLvl w:val="9"/>
        <w:rPr>
          <w:rFonts w:hint="eastAsia" w:ascii="宋体" w:hAnsi="宋体" w:eastAsia="宋体" w:cs="宋体"/>
          <w:b/>
          <w:color w:val="auto"/>
          <w:szCs w:val="21"/>
          <w:highlight w:val="none"/>
        </w:rPr>
      </w:pPr>
    </w:p>
    <w:p w14:paraId="0515AA19">
      <w:pPr>
        <w:spacing w:line="360" w:lineRule="auto"/>
        <w:outlineLvl w:val="9"/>
        <w:rPr>
          <w:rFonts w:hint="eastAsia" w:ascii="宋体" w:hAnsi="宋体" w:eastAsia="宋体" w:cs="宋体"/>
          <w:b/>
          <w:color w:val="auto"/>
          <w:szCs w:val="21"/>
          <w:highlight w:val="none"/>
        </w:rPr>
      </w:pPr>
    </w:p>
    <w:p w14:paraId="79964323">
      <w:pPr>
        <w:spacing w:line="360" w:lineRule="auto"/>
        <w:outlineLvl w:val="9"/>
        <w:rPr>
          <w:rFonts w:hint="eastAsia" w:ascii="宋体" w:hAnsi="宋体" w:eastAsia="宋体" w:cs="宋体"/>
          <w:b/>
          <w:color w:val="auto"/>
          <w:szCs w:val="21"/>
          <w:highlight w:val="none"/>
        </w:rPr>
      </w:pPr>
    </w:p>
    <w:p w14:paraId="420DDA5F">
      <w:pPr>
        <w:pStyle w:val="26"/>
        <w:rPr>
          <w:rFonts w:hint="eastAsia" w:ascii="宋体" w:hAnsi="宋体" w:eastAsia="宋体" w:cs="宋体"/>
          <w:b/>
          <w:color w:val="auto"/>
          <w:szCs w:val="21"/>
          <w:highlight w:val="none"/>
        </w:rPr>
      </w:pPr>
    </w:p>
    <w:p w14:paraId="6F8C84C4">
      <w:pPr>
        <w:pStyle w:val="26"/>
        <w:rPr>
          <w:rFonts w:hint="eastAsia" w:ascii="宋体" w:hAnsi="宋体" w:eastAsia="宋体" w:cs="宋体"/>
          <w:b/>
          <w:color w:val="auto"/>
          <w:szCs w:val="21"/>
          <w:highlight w:val="none"/>
        </w:rPr>
      </w:pPr>
    </w:p>
    <w:p w14:paraId="53672A3E">
      <w:pPr>
        <w:pStyle w:val="26"/>
        <w:rPr>
          <w:rFonts w:hint="eastAsia" w:ascii="宋体" w:hAnsi="宋体" w:eastAsia="宋体" w:cs="宋体"/>
          <w:b/>
          <w:color w:val="auto"/>
          <w:szCs w:val="21"/>
          <w:highlight w:val="none"/>
        </w:rPr>
      </w:pPr>
    </w:p>
    <w:p w14:paraId="0082C6E9">
      <w:pPr>
        <w:pStyle w:val="26"/>
        <w:rPr>
          <w:rFonts w:hint="eastAsia" w:ascii="宋体" w:hAnsi="宋体" w:eastAsia="宋体" w:cs="宋体"/>
          <w:b/>
          <w:color w:val="auto"/>
          <w:szCs w:val="21"/>
          <w:highlight w:val="none"/>
        </w:rPr>
      </w:pPr>
    </w:p>
    <w:p w14:paraId="2C8EA977">
      <w:pPr>
        <w:pStyle w:val="26"/>
        <w:jc w:val="both"/>
        <w:rPr>
          <w:rFonts w:hint="eastAsia" w:ascii="宋体" w:hAnsi="宋体" w:eastAsia="宋体" w:cs="宋体"/>
          <w:b/>
          <w:color w:val="auto"/>
          <w:szCs w:val="21"/>
          <w:highlight w:val="none"/>
        </w:rPr>
      </w:pPr>
    </w:p>
    <w:p w14:paraId="3D70DB45">
      <w:pPr>
        <w:pStyle w:val="26"/>
        <w:rPr>
          <w:rFonts w:hint="eastAsia" w:ascii="宋体" w:hAnsi="宋体" w:eastAsia="宋体" w:cs="宋体"/>
          <w:b/>
          <w:color w:val="auto"/>
          <w:szCs w:val="21"/>
          <w:highlight w:val="none"/>
        </w:rPr>
      </w:pPr>
    </w:p>
    <w:p w14:paraId="41BB7DEF">
      <w:pPr>
        <w:pStyle w:val="26"/>
        <w:rPr>
          <w:rFonts w:hint="eastAsia" w:ascii="宋体" w:hAnsi="宋体" w:eastAsia="宋体" w:cs="宋体"/>
          <w:b/>
          <w:color w:val="auto"/>
          <w:szCs w:val="21"/>
          <w:highlight w:val="none"/>
        </w:rPr>
      </w:pPr>
    </w:p>
    <w:p w14:paraId="26EABB78">
      <w:pPr>
        <w:pStyle w:val="26"/>
        <w:rPr>
          <w:rFonts w:hint="eastAsia" w:ascii="宋体" w:hAnsi="宋体" w:eastAsia="宋体" w:cs="宋体"/>
          <w:b/>
          <w:color w:val="auto"/>
          <w:szCs w:val="21"/>
          <w:highlight w:val="none"/>
        </w:rPr>
      </w:pPr>
    </w:p>
    <w:p w14:paraId="5344BC10">
      <w:pPr>
        <w:pStyle w:val="26"/>
        <w:jc w:val="both"/>
        <w:rPr>
          <w:rFonts w:hint="eastAsia" w:ascii="宋体" w:hAnsi="宋体" w:eastAsia="宋体" w:cs="宋体"/>
          <w:b/>
          <w:color w:val="auto"/>
          <w:szCs w:val="21"/>
          <w:highlight w:val="none"/>
        </w:rPr>
      </w:pPr>
    </w:p>
    <w:p w14:paraId="204576A6">
      <w:pPr>
        <w:spacing w:line="360" w:lineRule="auto"/>
        <w:outlineLvl w:val="9"/>
        <w:rPr>
          <w:rFonts w:hint="eastAsia" w:ascii="宋体" w:hAnsi="宋体" w:eastAsia="宋体" w:cs="宋体"/>
          <w:b/>
          <w:color w:val="auto"/>
          <w:szCs w:val="21"/>
          <w:highlight w:val="none"/>
        </w:rPr>
      </w:pPr>
    </w:p>
    <w:p w14:paraId="02800172">
      <w:pPr>
        <w:tabs>
          <w:tab w:val="left" w:leader="underscore" w:pos="7560"/>
        </w:tabs>
        <w:spacing w:line="360" w:lineRule="auto"/>
        <w:ind w:firstLine="420" w:firstLineChars="15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合 同 编 号：</w:t>
      </w:r>
      <w:r>
        <w:rPr>
          <w:rFonts w:hint="eastAsia" w:ascii="宋体" w:hAnsi="宋体" w:eastAsia="宋体" w:cs="宋体"/>
          <w:b w:val="0"/>
          <w:bCs/>
          <w:color w:val="auto"/>
          <w:sz w:val="28"/>
          <w:szCs w:val="28"/>
          <w:highlight w:val="none"/>
          <w:lang w:val="en-US" w:eastAsia="zh-CN"/>
        </w:rPr>
        <w:tab/>
      </w:r>
    </w:p>
    <w:p w14:paraId="1FF9E08E">
      <w:pPr>
        <w:tabs>
          <w:tab w:val="left" w:leader="underscore" w:pos="7560"/>
        </w:tabs>
        <w:spacing w:line="360" w:lineRule="auto"/>
        <w:ind w:firstLine="420" w:firstLineChars="15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项 目 名 称：</w:t>
      </w:r>
      <w:r>
        <w:rPr>
          <w:rFonts w:hint="eastAsia" w:ascii="宋体" w:hAnsi="宋体" w:eastAsia="宋体" w:cs="宋体"/>
          <w:b w:val="0"/>
          <w:bCs/>
          <w:color w:val="auto"/>
          <w:sz w:val="28"/>
          <w:szCs w:val="28"/>
          <w:highlight w:val="none"/>
          <w:u w:val="single"/>
          <w:lang w:val="en-US" w:eastAsia="zh-CN"/>
        </w:rPr>
        <w:t>穗云水厂常规工艺增容工程造价咨询服务</w:t>
      </w:r>
    </w:p>
    <w:p w14:paraId="4ECC3D9A">
      <w:pPr>
        <w:tabs>
          <w:tab w:val="left" w:leader="underscore" w:pos="7560"/>
        </w:tabs>
        <w:spacing w:line="360" w:lineRule="auto"/>
        <w:ind w:firstLine="420" w:firstLineChars="15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eastAsia="zh-CN"/>
        </w:rPr>
        <w:t>委托</w:t>
      </w:r>
      <w:r>
        <w:rPr>
          <w:rFonts w:hint="eastAsia" w:ascii="宋体" w:hAnsi="宋体" w:eastAsia="宋体" w:cs="宋体"/>
          <w:b w:val="0"/>
          <w:bCs/>
          <w:color w:val="auto"/>
          <w:sz w:val="28"/>
          <w:szCs w:val="28"/>
          <w:highlight w:val="none"/>
        </w:rPr>
        <w:t>人（甲方）：</w:t>
      </w:r>
      <w:r>
        <w:rPr>
          <w:rFonts w:hint="eastAsia" w:ascii="宋体" w:hAnsi="宋体" w:eastAsia="宋体" w:cs="宋体"/>
          <w:sz w:val="28"/>
          <w:szCs w:val="28"/>
          <w:u w:val="single"/>
          <w:lang w:eastAsia="zh-CN"/>
        </w:rPr>
        <w:t>广州市穗云自来水有限公司</w:t>
      </w:r>
    </w:p>
    <w:p w14:paraId="4B7F8735">
      <w:pPr>
        <w:tabs>
          <w:tab w:val="left" w:leader="underscore" w:pos="7560"/>
        </w:tabs>
        <w:spacing w:line="360" w:lineRule="auto"/>
        <w:ind w:firstLine="420" w:firstLineChars="15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eastAsia="zh-CN"/>
        </w:rPr>
        <w:t>咨询</w:t>
      </w:r>
      <w:r>
        <w:rPr>
          <w:rFonts w:hint="eastAsia" w:ascii="宋体" w:hAnsi="宋体" w:eastAsia="宋体" w:cs="宋体"/>
          <w:b w:val="0"/>
          <w:bCs/>
          <w:color w:val="auto"/>
          <w:sz w:val="28"/>
          <w:szCs w:val="28"/>
          <w:highlight w:val="none"/>
        </w:rPr>
        <w:t>人（乙方）：</w:t>
      </w:r>
      <w:r>
        <w:rPr>
          <w:rFonts w:hint="eastAsia" w:ascii="宋体" w:hAnsi="宋体" w:eastAsia="宋体" w:cs="宋体"/>
          <w:b w:val="0"/>
          <w:bCs/>
          <w:color w:val="auto"/>
          <w:sz w:val="28"/>
          <w:szCs w:val="28"/>
          <w:highlight w:val="none"/>
          <w:u w:val="single"/>
          <w:lang w:val="en-US" w:eastAsia="zh-CN"/>
        </w:rPr>
        <w:t xml:space="preserve">                                </w:t>
      </w:r>
    </w:p>
    <w:p w14:paraId="35903DF2">
      <w:pPr>
        <w:tabs>
          <w:tab w:val="left" w:leader="underscore" w:pos="7560"/>
        </w:tabs>
        <w:spacing w:line="360" w:lineRule="auto"/>
        <w:ind w:firstLine="420" w:firstLineChars="150"/>
        <w:outlineLvl w:val="9"/>
        <w:rPr>
          <w:rFonts w:hint="eastAsia" w:ascii="宋体" w:hAnsi="宋体" w:eastAsia="宋体" w:cs="宋体"/>
          <w:b w:val="0"/>
          <w:bCs/>
          <w:color w:val="auto"/>
          <w:sz w:val="28"/>
          <w:szCs w:val="28"/>
          <w:highlight w:val="none"/>
          <w:u w:val="single"/>
          <w:lang w:val="en-US" w:eastAsia="zh-CN"/>
        </w:rPr>
      </w:pPr>
      <w:r>
        <w:rPr>
          <w:rFonts w:hint="eastAsia" w:ascii="宋体" w:hAnsi="宋体" w:eastAsia="宋体" w:cs="宋体"/>
          <w:b w:val="0"/>
          <w:bCs/>
          <w:color w:val="auto"/>
          <w:sz w:val="28"/>
          <w:szCs w:val="28"/>
          <w:highlight w:val="none"/>
        </w:rPr>
        <w:t>签 订 日 期：</w:t>
      </w:r>
      <w:r>
        <w:rPr>
          <w:rFonts w:hint="eastAsia" w:ascii="宋体" w:hAnsi="宋体" w:eastAsia="宋体" w:cs="宋体"/>
          <w:b w:val="0"/>
          <w:bCs/>
          <w:color w:val="auto"/>
          <w:sz w:val="28"/>
          <w:szCs w:val="28"/>
          <w:highlight w:val="none"/>
          <w:u w:val="single"/>
          <w:lang w:val="en-US" w:eastAsia="zh-CN"/>
        </w:rPr>
        <w:t>2025年</w:t>
      </w:r>
      <w:r>
        <w:rPr>
          <w:rFonts w:hint="eastAsia" w:ascii="宋体" w:hAnsi="宋体" w:eastAsia="宋体" w:cs="宋体"/>
          <w:b w:val="0"/>
          <w:bCs/>
          <w:color w:val="auto"/>
          <w:sz w:val="28"/>
          <w:szCs w:val="28"/>
          <w:highlight w:val="none"/>
          <w:u w:val="single"/>
        </w:rPr>
        <w:t xml:space="preserve">  月  日</w:t>
      </w:r>
    </w:p>
    <w:p w14:paraId="6A842C5E">
      <w:pPr>
        <w:tabs>
          <w:tab w:val="left" w:leader="underscore" w:pos="7560"/>
        </w:tabs>
        <w:spacing w:line="360" w:lineRule="auto"/>
        <w:ind w:firstLine="420" w:firstLineChars="150"/>
        <w:outlineLvl w:val="9"/>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rPr>
        <w:t>签 订 地 点：</w:t>
      </w:r>
      <w:r>
        <w:rPr>
          <w:rFonts w:hint="eastAsia" w:ascii="宋体" w:hAnsi="宋体" w:eastAsia="宋体" w:cs="宋体"/>
          <w:b w:val="0"/>
          <w:bCs/>
          <w:color w:val="auto"/>
          <w:sz w:val="28"/>
          <w:szCs w:val="28"/>
          <w:highlight w:val="none"/>
          <w:u w:val="single"/>
          <w:lang w:eastAsia="zh-CN"/>
        </w:rPr>
        <w:t>广东省广州市</w:t>
      </w:r>
    </w:p>
    <w:p w14:paraId="382C3FA3">
      <w:pPr>
        <w:widowControl/>
        <w:spacing w:beforeAutospacing="1" w:afterAutospacing="1" w:line="360" w:lineRule="auto"/>
        <w:jc w:val="center"/>
        <w:outlineLvl w:val="9"/>
        <w:rPr>
          <w:rFonts w:hint="eastAsia" w:ascii="宋体" w:hAnsi="宋体" w:eastAsia="宋体" w:cs="宋体"/>
          <w:b/>
          <w:color w:val="auto"/>
          <w:sz w:val="36"/>
          <w:szCs w:val="36"/>
          <w:highlight w:val="none"/>
        </w:rPr>
        <w:sectPr>
          <w:pgSz w:w="11906" w:h="16838"/>
          <w:pgMar w:top="1417" w:right="1800" w:bottom="1417" w:left="1800" w:header="851" w:footer="992" w:gutter="0"/>
          <w:pgNumType w:start="1"/>
          <w:cols w:space="425" w:num="1"/>
          <w:docGrid w:type="lines" w:linePitch="312" w:charSpace="0"/>
        </w:sectPr>
      </w:pPr>
    </w:p>
    <w:sdt>
      <w:sdtPr>
        <w:rPr>
          <w:rFonts w:hint="eastAsia" w:ascii="宋体" w:hAnsi="宋体" w:eastAsia="宋体" w:cs="宋体"/>
          <w:b/>
          <w:bCs/>
          <w:color w:val="auto"/>
          <w:kern w:val="2"/>
          <w:sz w:val="36"/>
          <w:szCs w:val="36"/>
          <w:highlight w:val="none"/>
          <w:lang w:val="en-US" w:eastAsia="zh-CN" w:bidi="ar-SA"/>
        </w:rPr>
        <w:id w:val="147467120"/>
        <w15:color w:val="DBDBDB"/>
        <w:docPartObj>
          <w:docPartGallery w:val="Table of Contents"/>
          <w:docPartUnique/>
        </w:docPartObj>
      </w:sdtPr>
      <w:sdtEndPr>
        <w:rPr>
          <w:rFonts w:hint="eastAsia" w:ascii="宋体" w:hAnsi="宋体" w:eastAsia="宋体" w:cs="宋体"/>
          <w:b/>
          <w:bCs/>
          <w:color w:val="auto"/>
          <w:kern w:val="2"/>
          <w:sz w:val="21"/>
          <w:szCs w:val="36"/>
          <w:highlight w:val="none"/>
          <w:lang w:val="en-US" w:eastAsia="zh-CN" w:bidi="ar-SA"/>
        </w:rPr>
      </w:sdtEndPr>
      <w:sdtContent>
        <w:p w14:paraId="0AA85D64">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781A850E">
          <w:pPr>
            <w:pStyle w:val="13"/>
            <w:tabs>
              <w:tab w:val="right" w:leader="dot" w:pos="8306"/>
            </w:tabs>
            <w:spacing w:line="312"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"1-2"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_Toc20226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kern w:val="44"/>
              <w:sz w:val="24"/>
              <w:szCs w:val="24"/>
              <w:highlight w:val="none"/>
            </w:rPr>
            <w:t>第一</w:t>
          </w:r>
          <w:r>
            <w:rPr>
              <w:rFonts w:hint="eastAsia" w:ascii="宋体" w:hAnsi="宋体" w:eastAsia="宋体" w:cs="宋体"/>
              <w:b/>
              <w:bCs/>
              <w:color w:val="auto"/>
              <w:kern w:val="44"/>
              <w:sz w:val="24"/>
              <w:szCs w:val="24"/>
              <w:highlight w:val="none"/>
              <w:lang w:eastAsia="zh-CN"/>
            </w:rPr>
            <w:t>篇</w:t>
          </w:r>
          <w:r>
            <w:rPr>
              <w:rFonts w:hint="eastAsia" w:ascii="宋体" w:hAnsi="宋体" w:eastAsia="宋体" w:cs="宋体"/>
              <w:b/>
              <w:bCs/>
              <w:color w:val="auto"/>
              <w:kern w:val="44"/>
              <w:sz w:val="24"/>
              <w:szCs w:val="24"/>
              <w:highlight w:val="none"/>
              <w:lang w:val="en-US" w:eastAsia="zh-CN" w:bidi="ar-SA"/>
            </w:rPr>
            <w:t>　</w:t>
          </w:r>
          <w:r>
            <w:rPr>
              <w:rFonts w:hint="eastAsia" w:ascii="宋体" w:hAnsi="宋体" w:eastAsia="宋体" w:cs="宋体"/>
              <w:b/>
              <w:bCs/>
              <w:color w:val="auto"/>
              <w:kern w:val="44"/>
              <w:sz w:val="24"/>
              <w:szCs w:val="24"/>
              <w:highlight w:val="none"/>
            </w:rPr>
            <w:t>合同协议书</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_Toc20226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62519C9">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一、甲方委托乙方为以下项目提供建设工程造价咨询服务：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7E6674">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二、服务范围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_Toc8236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8AEA6F">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三、服务期限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035F9">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_Toc9001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四、服务报酬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43E323">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五、合同文件构成及优先顺序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DB4530">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_Toc29989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8ECB7B">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、词语定义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176D1E">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_Toc25936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、合同生效及终止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_Toc25936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907503">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_Toc4644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、合同份数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_Toc4644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3F4957">
          <w:pPr>
            <w:pStyle w:val="13"/>
            <w:tabs>
              <w:tab w:val="right" w:leader="dot" w:pos="8306"/>
            </w:tabs>
            <w:spacing w:line="312"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_Toc27168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w:t>
          </w:r>
          <w:r>
            <w:rPr>
              <w:rFonts w:hint="eastAsia" w:ascii="宋体" w:hAnsi="宋体" w:eastAsia="宋体" w:cs="宋体"/>
              <w:b/>
              <w:bCs/>
              <w:color w:val="auto"/>
              <w:sz w:val="24"/>
              <w:szCs w:val="24"/>
              <w:highlight w:val="none"/>
              <w:lang w:eastAsia="zh-CN"/>
            </w:rPr>
            <w:t>篇</w:t>
          </w:r>
          <w:r>
            <w:rPr>
              <w:rFonts w:hint="eastAsia" w:ascii="宋体" w:hAnsi="宋体" w:eastAsia="宋体" w:cs="宋体"/>
              <w:b/>
              <w:bCs/>
              <w:color w:val="auto"/>
              <w:kern w:val="44"/>
              <w:sz w:val="24"/>
              <w:szCs w:val="24"/>
              <w:highlight w:val="none"/>
              <w:lang w:val="en-US" w:eastAsia="zh-CN" w:bidi="ar-SA"/>
            </w:rPr>
            <w:t>　</w:t>
          </w:r>
          <w:r>
            <w:rPr>
              <w:rFonts w:hint="eastAsia" w:ascii="宋体" w:hAnsi="宋体" w:eastAsia="宋体" w:cs="宋体"/>
              <w:b/>
              <w:bCs/>
              <w:color w:val="auto"/>
              <w:sz w:val="24"/>
              <w:szCs w:val="24"/>
              <w:highlight w:val="none"/>
            </w:rPr>
            <w:t>合同条款</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_Toc27168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F302219">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一、词语定义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272485">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二、本合同适用的法律、法规及工程造价计价办法和规定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18E714">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三、本合同适用的语言文字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E16D57">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四、服务内容及相关服务要求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_Toc13619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2D59E3">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五、甲方的权利和义务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5C647D">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六、乙方的权利和义务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16BB78">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七、服务报酬及其支付方式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33B1A3">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八、违约责任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0E1DB3">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_Toc28454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九、合同变更与终止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_Toc28454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331219">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十、履约担保及索赔</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CD48C0">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_Toc25801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十一、合同争议的解决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FB7A2B">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_Toc26914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十二、其它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8FBF91">
          <w:pPr>
            <w:pStyle w:val="13"/>
            <w:tabs>
              <w:tab w:val="right" w:leader="dot" w:pos="8306"/>
            </w:tabs>
            <w:spacing w:line="312"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_Toc6621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kern w:val="44"/>
              <w:sz w:val="24"/>
              <w:szCs w:val="24"/>
              <w:highlight w:val="none"/>
              <w:lang w:val="en-US" w:eastAsia="zh-CN" w:bidi="ar-SA"/>
            </w:rPr>
            <w:t>第三篇　合同附件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_Toc6621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E294C56">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附件1：</w:t>
          </w:r>
          <w:r>
            <w:rPr>
              <w:rFonts w:hint="eastAsia" w:ascii="宋体" w:hAnsi="宋体" w:eastAsia="宋体" w:cs="宋体"/>
              <w:bCs/>
              <w:color w:val="auto"/>
              <w:sz w:val="24"/>
              <w:szCs w:val="24"/>
              <w:highlight w:val="none"/>
              <w:lang w:val="en-US" w:eastAsia="zh-CN"/>
            </w:rPr>
            <w:t>廉洁责任书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743336">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附件2：</w:t>
          </w:r>
          <w:r>
            <w:rPr>
              <w:rFonts w:hint="eastAsia" w:ascii="宋体" w:hAnsi="宋体" w:eastAsia="宋体" w:cs="宋体"/>
              <w:bCs/>
              <w:color w:val="auto"/>
              <w:sz w:val="24"/>
              <w:szCs w:val="24"/>
              <w:highlight w:val="none"/>
              <w:lang w:val="en-US" w:eastAsia="zh-CN"/>
            </w:rPr>
            <w:t>保密协议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_Toc24941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0DA3C9">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_Toc25414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中标通知书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_Toc25414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B9BD4F">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履约担保及承诺书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5934E5">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拟投入本项目造价人员一览表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_Toc11527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8A40C9">
          <w:pPr>
            <w:pStyle w:val="13"/>
            <w:tabs>
              <w:tab w:val="right" w:leader="dot" w:pos="8306"/>
            </w:tabs>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_Toc10633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：投标函及投标函附录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9B3492">
          <w:pPr>
            <w:pStyle w:val="13"/>
            <w:tabs>
              <w:tab w:val="right" w:leader="dot" w:pos="8306"/>
            </w:tabs>
            <w:spacing w:line="312" w:lineRule="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：乙方营业执照</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81DE18">
          <w:pPr>
            <w:widowControl/>
            <w:spacing w:beforeAutospacing="0" w:afterAutospacing="1" w:line="312" w:lineRule="auto"/>
            <w:jc w:val="center"/>
            <w:outlineLvl w:val="9"/>
            <w:rPr>
              <w:rFonts w:hint="eastAsia" w:ascii="宋体" w:hAnsi="宋体" w:eastAsia="宋体" w:cs="宋体"/>
              <w:b/>
              <w:color w:val="auto"/>
              <w:kern w:val="2"/>
              <w:sz w:val="21"/>
              <w:szCs w:val="36"/>
              <w:highlight w:val="none"/>
              <w:lang w:val="en-US" w:eastAsia="zh-CN" w:bidi="ar-SA"/>
            </w:rPr>
            <w:sectPr>
              <w:footerReference r:id="rId3" w:type="default"/>
              <w:pgSz w:w="11906" w:h="16838"/>
              <w:pgMar w:top="1417" w:right="1800" w:bottom="1417" w:left="1800" w:header="851" w:footer="992" w:gutter="0"/>
              <w:pgNumType w:start="1"/>
              <w:cols w:space="425" w:num="1"/>
              <w:docGrid w:type="lines" w:linePitch="312" w:charSpace="0"/>
            </w:sectPr>
          </w:pPr>
          <w:r>
            <w:rPr>
              <w:rFonts w:hint="eastAsia" w:ascii="宋体" w:hAnsi="宋体" w:eastAsia="宋体" w:cs="宋体"/>
              <w:color w:val="auto"/>
              <w:sz w:val="24"/>
              <w:szCs w:val="24"/>
              <w:highlight w:val="none"/>
            </w:rPr>
            <w:fldChar w:fldCharType="end"/>
          </w:r>
        </w:p>
      </w:sdtContent>
    </w:sdt>
    <w:p w14:paraId="45ED40CD">
      <w:pPr>
        <w:widowControl w:val="0"/>
        <w:adjustRightInd w:val="0"/>
        <w:snapToGrid w:val="0"/>
        <w:spacing w:beforeAutospacing="0" w:afterAutospacing="0" w:line="360" w:lineRule="auto"/>
        <w:jc w:val="center"/>
        <w:outlineLvl w:val="0"/>
        <w:rPr>
          <w:rFonts w:hint="eastAsia" w:ascii="宋体" w:hAnsi="宋体" w:eastAsia="宋体" w:cs="宋体"/>
          <w:b/>
          <w:color w:val="auto"/>
          <w:kern w:val="44"/>
          <w:sz w:val="32"/>
          <w:szCs w:val="32"/>
          <w:highlight w:val="none"/>
        </w:rPr>
      </w:pPr>
      <w:bookmarkStart w:id="11" w:name="_Toc8725"/>
      <w:bookmarkStart w:id="12" w:name="_Toc5844"/>
      <w:bookmarkStart w:id="13" w:name="_Toc21389"/>
      <w:bookmarkStart w:id="14" w:name="_Toc29689"/>
      <w:bookmarkStart w:id="15" w:name="_Toc24054"/>
      <w:bookmarkStart w:id="16" w:name="_Toc6193"/>
      <w:bookmarkStart w:id="17" w:name="_Toc23"/>
      <w:bookmarkStart w:id="18" w:name="_Toc15340"/>
      <w:bookmarkStart w:id="19" w:name="_Toc24271"/>
      <w:bookmarkStart w:id="20" w:name="_Toc20226"/>
      <w:bookmarkStart w:id="21" w:name="_Toc21907"/>
      <w:r>
        <w:rPr>
          <w:rFonts w:hint="eastAsia" w:ascii="宋体" w:hAnsi="宋体" w:eastAsia="宋体" w:cs="宋体"/>
          <w:b/>
          <w:color w:val="auto"/>
          <w:kern w:val="44"/>
          <w:sz w:val="32"/>
          <w:szCs w:val="32"/>
          <w:highlight w:val="none"/>
        </w:rPr>
        <w:t>第一</w:t>
      </w:r>
      <w:r>
        <w:rPr>
          <w:rFonts w:hint="eastAsia" w:ascii="宋体" w:hAnsi="宋体" w:eastAsia="宋体" w:cs="宋体"/>
          <w:b/>
          <w:color w:val="auto"/>
          <w:kern w:val="44"/>
          <w:sz w:val="32"/>
          <w:szCs w:val="32"/>
          <w:highlight w:val="none"/>
          <w:lang w:eastAsia="zh-CN"/>
        </w:rPr>
        <w:t>篇</w:t>
      </w:r>
      <w:r>
        <w:rPr>
          <w:rFonts w:hint="eastAsia" w:ascii="宋体" w:hAnsi="宋体" w:eastAsia="宋体" w:cs="宋体"/>
          <w:b/>
          <w:color w:val="auto"/>
          <w:kern w:val="44"/>
          <w:sz w:val="32"/>
          <w:szCs w:val="32"/>
          <w:highlight w:val="none"/>
          <w:lang w:val="en-US" w:eastAsia="zh-CN" w:bidi="ar-SA"/>
        </w:rPr>
        <w:t>　</w:t>
      </w:r>
      <w:r>
        <w:rPr>
          <w:rFonts w:hint="eastAsia" w:ascii="宋体" w:hAnsi="宋体" w:eastAsia="宋体" w:cs="宋体"/>
          <w:b/>
          <w:color w:val="auto"/>
          <w:kern w:val="44"/>
          <w:sz w:val="32"/>
          <w:szCs w:val="32"/>
          <w:highlight w:val="none"/>
        </w:rPr>
        <w:t>合同协议书</w:t>
      </w:r>
      <w:bookmarkEnd w:id="11"/>
      <w:bookmarkEnd w:id="12"/>
      <w:bookmarkEnd w:id="13"/>
      <w:bookmarkEnd w:id="14"/>
      <w:bookmarkEnd w:id="15"/>
      <w:bookmarkEnd w:id="16"/>
      <w:bookmarkEnd w:id="17"/>
      <w:bookmarkEnd w:id="18"/>
      <w:bookmarkEnd w:id="19"/>
      <w:bookmarkEnd w:id="20"/>
      <w:bookmarkEnd w:id="21"/>
    </w:p>
    <w:p w14:paraId="4994986B">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1B2CDAE1">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广州市穗云自来水有限公司</w:t>
      </w:r>
      <w:r>
        <w:rPr>
          <w:rFonts w:hint="eastAsia" w:ascii="宋体" w:hAnsi="宋体" w:eastAsia="宋体" w:cs="宋体"/>
          <w:color w:val="auto"/>
          <w:sz w:val="24"/>
          <w:szCs w:val="24"/>
          <w:highlight w:val="none"/>
        </w:rPr>
        <w:t>（以下称甲方）与</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（以下称乙方）依照《中华人民共和国民法典》《中华人民共和国建筑法》</w:t>
      </w:r>
      <w:r>
        <w:rPr>
          <w:rFonts w:hint="eastAsia" w:ascii="宋体" w:hAnsi="宋体" w:eastAsia="宋体" w:cs="宋体"/>
          <w:strike w:val="0"/>
          <w:color w:val="auto"/>
          <w:kern w:val="0"/>
          <w:sz w:val="24"/>
          <w:szCs w:val="24"/>
          <w:highlight w:val="none"/>
        </w:rPr>
        <w:t>及其他有关法律、行政法规、部门规章、地方性法规和规章，以及国家和广东省、广州市人民政府及有关主管部门关于</w:t>
      </w:r>
      <w:r>
        <w:rPr>
          <w:rFonts w:hint="eastAsia" w:ascii="宋体" w:hAnsi="宋体" w:eastAsia="宋体" w:cs="宋体"/>
          <w:color w:val="auto"/>
          <w:sz w:val="24"/>
          <w:szCs w:val="24"/>
          <w:highlight w:val="none"/>
          <w:u w:val="single"/>
          <w:lang w:val="en-US" w:eastAsia="zh-CN"/>
        </w:rPr>
        <w:t>穗云水厂常规工艺增容工程</w:t>
      </w:r>
      <w:r>
        <w:rPr>
          <w:rFonts w:hint="eastAsia" w:ascii="宋体" w:hAnsi="宋体" w:eastAsia="宋体" w:cs="宋体"/>
          <w:strike w:val="0"/>
          <w:color w:val="auto"/>
          <w:kern w:val="0"/>
          <w:sz w:val="24"/>
          <w:szCs w:val="24"/>
          <w:highlight w:val="none"/>
        </w:rPr>
        <w:t>项目（以下称本项目）的有关文件，遵循平等、自愿、公平和诚实信用的原则，双方就本项目</w:t>
      </w:r>
      <w:r>
        <w:rPr>
          <w:rFonts w:hint="eastAsia" w:ascii="宋体" w:hAnsi="宋体" w:eastAsia="宋体" w:cs="宋体"/>
          <w:color w:val="auto"/>
          <w:sz w:val="24"/>
          <w:szCs w:val="24"/>
          <w:highlight w:val="none"/>
          <w:u w:val="single"/>
        </w:rPr>
        <w:t>造价咨询</w:t>
      </w:r>
      <w:r>
        <w:rPr>
          <w:rFonts w:hint="eastAsia" w:ascii="宋体" w:hAnsi="宋体" w:eastAsia="宋体" w:cs="宋体"/>
          <w:color w:val="auto"/>
          <w:kern w:val="0"/>
          <w:sz w:val="24"/>
          <w:szCs w:val="24"/>
          <w:highlight w:val="none"/>
        </w:rPr>
        <w:t>服务事项协商一致，订立本合同。</w:t>
      </w:r>
    </w:p>
    <w:p w14:paraId="09D6F33F">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22" w:name="_Toc1133"/>
      <w:bookmarkStart w:id="23" w:name="_Toc10711"/>
      <w:bookmarkStart w:id="24" w:name="_Toc26814"/>
      <w:bookmarkStart w:id="25" w:name="_Toc20345"/>
      <w:bookmarkStart w:id="26" w:name="_Toc5744"/>
      <w:bookmarkStart w:id="27" w:name="_Toc6632"/>
      <w:bookmarkStart w:id="28" w:name="_Toc258"/>
      <w:bookmarkStart w:id="29" w:name="_Toc12974"/>
      <w:bookmarkStart w:id="30" w:name="_Toc16949"/>
      <w:bookmarkStart w:id="31" w:name="_Toc8228"/>
      <w:bookmarkStart w:id="32" w:name="_Toc8645"/>
      <w:r>
        <w:rPr>
          <w:rFonts w:hint="eastAsia" w:ascii="宋体" w:hAnsi="宋体" w:eastAsia="宋体" w:cs="宋体"/>
          <w:b/>
          <w:color w:val="auto"/>
          <w:sz w:val="24"/>
          <w:szCs w:val="24"/>
          <w:highlight w:val="none"/>
        </w:rPr>
        <w:t>一、甲方委托乙方为以下项目提供建设工程造价咨询服务：</w:t>
      </w:r>
      <w:bookmarkEnd w:id="22"/>
      <w:bookmarkEnd w:id="23"/>
      <w:bookmarkEnd w:id="24"/>
      <w:bookmarkEnd w:id="25"/>
      <w:bookmarkEnd w:id="26"/>
      <w:bookmarkEnd w:id="27"/>
      <w:bookmarkEnd w:id="28"/>
      <w:bookmarkEnd w:id="29"/>
      <w:bookmarkEnd w:id="30"/>
      <w:bookmarkEnd w:id="31"/>
      <w:bookmarkEnd w:id="32"/>
    </w:p>
    <w:p w14:paraId="279CA05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u w:val="single"/>
          <w:lang w:val="en-US" w:eastAsia="zh-CN"/>
        </w:rPr>
        <w:t>穗云水厂常规工艺增容工程</w:t>
      </w:r>
      <w:r>
        <w:rPr>
          <w:rFonts w:hint="eastAsia" w:ascii="宋体" w:hAnsi="宋体" w:eastAsia="宋体" w:cs="宋体"/>
          <w:color w:val="auto"/>
          <w:sz w:val="24"/>
          <w:szCs w:val="24"/>
          <w:highlight w:val="none"/>
          <w:u w:val="single"/>
        </w:rPr>
        <w:t>造价咨询服务。</w:t>
      </w:r>
    </w:p>
    <w:p w14:paraId="57A50838">
      <w:pPr>
        <w:adjustRightInd w:val="0"/>
        <w:snapToGrid w:val="0"/>
        <w:spacing w:line="360" w:lineRule="auto"/>
        <w:ind w:firstLine="480" w:firstLineChars="200"/>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z w:val="24"/>
          <w:szCs w:val="24"/>
          <w:highlight w:val="none"/>
        </w:rPr>
        <w:t>2.项目地点：</w:t>
      </w:r>
      <w:r>
        <w:rPr>
          <w:rFonts w:hint="eastAsia" w:ascii="宋体" w:hAnsi="宋体" w:eastAsia="宋体" w:cs="宋体"/>
          <w:color w:val="auto"/>
          <w:sz w:val="24"/>
          <w:szCs w:val="24"/>
          <w:highlight w:val="none"/>
          <w:u w:val="single"/>
          <w:lang w:val="en-US" w:eastAsia="zh-CN"/>
        </w:rPr>
        <w:t>广州市白云区钟落潭镇新村渡头岭。</w:t>
      </w:r>
      <w:r>
        <w:rPr>
          <w:rFonts w:hint="eastAsia" w:ascii="宋体" w:hAnsi="宋体" w:eastAsia="宋体" w:cs="宋体"/>
          <w:color w:val="auto"/>
          <w:spacing w:val="-11"/>
          <w:sz w:val="24"/>
          <w:szCs w:val="24"/>
          <w:highlight w:val="none"/>
          <w:u w:val="none"/>
          <w:lang w:val="en-US" w:eastAsia="zh-CN"/>
        </w:rPr>
        <w:t xml:space="preserve"> </w:t>
      </w:r>
    </w:p>
    <w:p w14:paraId="65710C6E">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3.项目规模：</w:t>
      </w:r>
      <w:bookmarkStart w:id="33" w:name="_Hlk183104093"/>
      <w:r>
        <w:rPr>
          <w:rFonts w:hint="eastAsia" w:ascii="宋体" w:hAnsi="宋体" w:eastAsia="宋体" w:cs="宋体"/>
          <w:color w:val="auto"/>
          <w:sz w:val="24"/>
          <w:szCs w:val="24"/>
          <w:highlight w:val="none"/>
        </w:rPr>
        <w:t>新增常规处理规模6万立方米/天；工程主要建设内容包括新建与改造两部分，改造单体包括:NaClO+NaOH综合投加间、投矾间；新建单体包括：进水计量井、网格絮凝/斜管沉淀池、V型滤池(与反冲洗泵房合建)、变配电间、排泥池、污泥浓缩+排水叠合池、储泥池，以及确立建筑立面风格，使厂区建筑风格协调一致。</w:t>
      </w:r>
      <w:bookmarkEnd w:id="33"/>
    </w:p>
    <w:p w14:paraId="0A280F6F">
      <w:pPr>
        <w:pStyle w:val="10"/>
        <w:rPr>
          <w:rFonts w:hint="default"/>
          <w:lang w:val="en-US" w:eastAsia="zh-CN"/>
        </w:rPr>
      </w:pPr>
    </w:p>
    <w:p w14:paraId="10960F74">
      <w:pPr>
        <w:adjustRightInd w:val="0"/>
        <w:snapToGrid w:val="0"/>
        <w:spacing w:line="360" w:lineRule="auto"/>
        <w:ind w:firstLine="482" w:firstLineChars="200"/>
        <w:outlineLvl w:val="0"/>
        <w:rPr>
          <w:rFonts w:hint="eastAsia" w:ascii="宋体" w:hAnsi="宋体" w:eastAsia="宋体" w:cs="宋体"/>
          <w:b/>
          <w:color w:val="auto"/>
          <w:sz w:val="24"/>
          <w:szCs w:val="24"/>
          <w:highlight w:val="none"/>
        </w:rPr>
      </w:pPr>
      <w:bookmarkStart w:id="34" w:name="_Toc30379"/>
      <w:bookmarkStart w:id="35" w:name="_Toc26575"/>
      <w:bookmarkStart w:id="36" w:name="_Toc14030"/>
      <w:bookmarkStart w:id="37" w:name="_Toc11955"/>
      <w:bookmarkStart w:id="38" w:name="_Toc14526"/>
      <w:bookmarkStart w:id="39" w:name="_Toc28442"/>
      <w:bookmarkStart w:id="40" w:name="_Toc16505"/>
      <w:bookmarkStart w:id="41" w:name="_Toc5466"/>
      <w:bookmarkStart w:id="42" w:name="_Toc5783"/>
      <w:bookmarkStart w:id="43" w:name="_Toc8236"/>
      <w:bookmarkStart w:id="44" w:name="_Toc8040"/>
      <w:r>
        <w:rPr>
          <w:rFonts w:hint="eastAsia" w:ascii="宋体" w:hAnsi="宋体" w:eastAsia="宋体" w:cs="宋体"/>
          <w:b/>
          <w:color w:val="auto"/>
          <w:sz w:val="24"/>
          <w:szCs w:val="24"/>
          <w:highlight w:val="none"/>
        </w:rPr>
        <w:t>二、服务范围</w:t>
      </w:r>
      <w:bookmarkEnd w:id="34"/>
      <w:bookmarkEnd w:id="35"/>
      <w:bookmarkEnd w:id="36"/>
      <w:bookmarkEnd w:id="37"/>
      <w:bookmarkEnd w:id="38"/>
      <w:bookmarkEnd w:id="39"/>
      <w:bookmarkEnd w:id="40"/>
      <w:bookmarkEnd w:id="41"/>
      <w:bookmarkEnd w:id="42"/>
      <w:bookmarkEnd w:id="43"/>
      <w:bookmarkEnd w:id="44"/>
    </w:p>
    <w:p w14:paraId="782186EC">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主要包括</w:t>
      </w:r>
      <w:r>
        <w:rPr>
          <w:rFonts w:hint="eastAsia" w:ascii="宋体" w:hAnsi="宋体" w:eastAsia="宋体" w:cs="宋体"/>
          <w:color w:val="auto"/>
          <w:sz w:val="24"/>
          <w:szCs w:val="24"/>
          <w:highlight w:val="none"/>
          <w:lang w:eastAsia="zh-CN"/>
        </w:rPr>
        <w:t>：</w:t>
      </w:r>
    </w:p>
    <w:p w14:paraId="24A8594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投资估算审核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如需</w:t>
      </w:r>
      <w:r>
        <w:rPr>
          <w:rFonts w:hint="eastAsia" w:ascii="宋体" w:hAnsi="宋体" w:eastAsia="宋体" w:cs="宋体"/>
          <w:color w:val="auto"/>
          <w:sz w:val="24"/>
          <w:szCs w:val="24"/>
          <w:highlight w:val="none"/>
          <w:lang w:eastAsia="zh-CN"/>
        </w:rPr>
        <w:t>）☑</w:t>
      </w:r>
    </w:p>
    <w:p w14:paraId="5FE1EE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设计概算审核</w:t>
      </w:r>
      <w:r>
        <w:rPr>
          <w:rFonts w:hint="eastAsia" w:ascii="宋体" w:hAnsi="宋体" w:eastAsia="宋体" w:cs="宋体"/>
          <w:color w:val="auto"/>
          <w:sz w:val="24"/>
          <w:szCs w:val="24"/>
          <w:highlight w:val="none"/>
          <w:lang w:eastAsia="zh-CN"/>
        </w:rPr>
        <w:t>☑</w:t>
      </w:r>
    </w:p>
    <w:p w14:paraId="3798EA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施工图预算</w:t>
      </w:r>
      <w:r>
        <w:rPr>
          <w:rFonts w:hint="eastAsia" w:ascii="宋体" w:hAnsi="宋体" w:eastAsia="宋体" w:cs="宋体"/>
          <w:color w:val="auto"/>
          <w:sz w:val="24"/>
          <w:szCs w:val="24"/>
          <w:highlight w:val="none"/>
          <w:lang w:val="en-US" w:eastAsia="zh-CN"/>
        </w:rPr>
        <w:t>编制或</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p>
    <w:p w14:paraId="3AB6BF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招标工程量清单和招标控制价</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lang w:eastAsia="zh-CN"/>
        </w:rPr>
        <w:t>☑</w:t>
      </w:r>
    </w:p>
    <w:p w14:paraId="043686D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货物、服务</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或采购）</w:t>
      </w:r>
      <w:r>
        <w:rPr>
          <w:rFonts w:hint="eastAsia" w:ascii="宋体" w:hAnsi="宋体" w:eastAsia="宋体" w:cs="宋体"/>
          <w:color w:val="auto"/>
          <w:sz w:val="24"/>
          <w:szCs w:val="24"/>
          <w:highlight w:val="none"/>
        </w:rPr>
        <w:t>工程量清单和招标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控制价编制</w:t>
      </w:r>
      <w:r>
        <w:rPr>
          <w:rFonts w:hint="eastAsia" w:ascii="宋体" w:hAnsi="宋体" w:eastAsia="宋体" w:cs="宋体"/>
          <w:color w:val="auto"/>
          <w:sz w:val="24"/>
          <w:szCs w:val="24"/>
          <w:highlight w:val="none"/>
          <w:lang w:eastAsia="zh-CN"/>
        </w:rPr>
        <w:t>☑</w:t>
      </w:r>
    </w:p>
    <w:p w14:paraId="4AFF900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eastAsia="zh-CN"/>
        </w:rPr>
        <w:t>工程量清单复核</w:t>
      </w:r>
      <w:r>
        <w:rPr>
          <w:rFonts w:hint="eastAsia" w:ascii="宋体" w:hAnsi="宋体" w:eastAsia="宋体" w:cs="宋体"/>
          <w:color w:val="auto"/>
          <w:sz w:val="24"/>
          <w:szCs w:val="24"/>
          <w:highlight w:val="none"/>
          <w:lang w:eastAsia="zh-CN"/>
        </w:rPr>
        <w:t>☑</w:t>
      </w:r>
    </w:p>
    <w:p w14:paraId="0D3BC8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eastAsia="zh-CN"/>
        </w:rPr>
        <w:t>施工、货物、服务等合同</w:t>
      </w:r>
      <w:r>
        <w:rPr>
          <w:rFonts w:hint="eastAsia" w:ascii="宋体" w:hAnsi="宋体" w:eastAsia="宋体" w:cs="宋体"/>
          <w:color w:val="auto"/>
          <w:sz w:val="24"/>
          <w:szCs w:val="24"/>
          <w:highlight w:val="none"/>
        </w:rPr>
        <w:t>计量支付审核</w:t>
      </w:r>
      <w:r>
        <w:rPr>
          <w:rFonts w:hint="eastAsia" w:ascii="宋体" w:hAnsi="宋体" w:eastAsia="宋体" w:cs="宋体"/>
          <w:color w:val="auto"/>
          <w:sz w:val="24"/>
          <w:szCs w:val="24"/>
          <w:highlight w:val="none"/>
          <w:lang w:eastAsia="zh-CN"/>
        </w:rPr>
        <w:t>☑</w:t>
      </w:r>
    </w:p>
    <w:p w14:paraId="7C95FD2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主材单价、综合单价、合同变更费用</w:t>
      </w:r>
      <w:r>
        <w:rPr>
          <w:rFonts w:hint="eastAsia" w:ascii="宋体" w:hAnsi="宋体" w:eastAsia="宋体" w:cs="宋体"/>
          <w:color w:val="auto"/>
          <w:sz w:val="24"/>
          <w:szCs w:val="24"/>
          <w:highlight w:val="none"/>
          <w:lang w:val="en-US" w:eastAsia="zh-CN"/>
        </w:rPr>
        <w:t>编制或</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p>
    <w:p w14:paraId="1BCC4D3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lang w:val="en-US" w:eastAsia="zh-CN"/>
        </w:rPr>
        <w:t>设计变更预算、工程签证预算审核</w:t>
      </w:r>
      <w:r>
        <w:rPr>
          <w:rFonts w:hint="eastAsia" w:ascii="宋体" w:hAnsi="宋体" w:eastAsia="宋体" w:cs="宋体"/>
          <w:color w:val="auto"/>
          <w:sz w:val="24"/>
          <w:szCs w:val="24"/>
          <w:highlight w:val="none"/>
          <w:lang w:eastAsia="zh-CN"/>
        </w:rPr>
        <w:t>☑</w:t>
      </w:r>
    </w:p>
    <w:p w14:paraId="219AFD5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lang w:val="en-US" w:eastAsia="zh-CN"/>
        </w:rPr>
        <w:t>造价测算、</w:t>
      </w:r>
      <w:r>
        <w:rPr>
          <w:rFonts w:hint="eastAsia" w:ascii="宋体" w:hAnsi="宋体" w:eastAsia="宋体" w:cs="宋体"/>
          <w:color w:val="auto"/>
          <w:sz w:val="24"/>
          <w:szCs w:val="24"/>
          <w:highlight w:val="none"/>
        </w:rPr>
        <w:t>材料设备看样定板会签</w:t>
      </w:r>
      <w:r>
        <w:rPr>
          <w:rFonts w:hint="eastAsia" w:ascii="宋体" w:hAnsi="宋体" w:eastAsia="宋体" w:cs="宋体"/>
          <w:color w:val="auto"/>
          <w:sz w:val="24"/>
          <w:szCs w:val="24"/>
          <w:highlight w:val="none"/>
          <w:lang w:eastAsia="zh-CN"/>
        </w:rPr>
        <w:t>☑</w:t>
      </w:r>
    </w:p>
    <w:p w14:paraId="58C51E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lang w:val="en-US" w:eastAsia="zh-CN"/>
        </w:rPr>
        <w:t>各类</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暂定</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val="en-US" w:eastAsia="zh-CN"/>
        </w:rPr>
        <w:t>编制或</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p>
    <w:p w14:paraId="0001B5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color w:val="auto"/>
          <w:sz w:val="24"/>
          <w:szCs w:val="24"/>
          <w:highlight w:val="none"/>
          <w:lang w:val="en-US" w:eastAsia="zh-CN"/>
        </w:rPr>
        <w:t>各类合同</w:t>
      </w:r>
      <w:r>
        <w:rPr>
          <w:rFonts w:hint="eastAsia" w:ascii="宋体" w:hAnsi="宋体" w:eastAsia="宋体" w:cs="宋体"/>
          <w:color w:val="auto"/>
          <w:sz w:val="24"/>
          <w:szCs w:val="24"/>
          <w:highlight w:val="none"/>
        </w:rPr>
        <w:t>结算</w:t>
      </w:r>
      <w:r>
        <w:rPr>
          <w:rFonts w:hint="eastAsia" w:ascii="宋体" w:hAnsi="宋体" w:eastAsia="宋体" w:cs="宋体"/>
          <w:color w:val="auto"/>
          <w:sz w:val="24"/>
          <w:szCs w:val="24"/>
          <w:highlight w:val="none"/>
          <w:lang w:val="en-US" w:eastAsia="zh-CN"/>
        </w:rPr>
        <w:t>编制或</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w:t>
      </w:r>
    </w:p>
    <w:p w14:paraId="43CDD0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13.</w:t>
      </w:r>
      <w:r>
        <w:rPr>
          <w:rFonts w:hint="eastAsia" w:ascii="宋体" w:hAnsi="宋体" w:eastAsia="宋体" w:cs="宋体"/>
          <w:color w:val="auto"/>
          <w:sz w:val="24"/>
          <w:szCs w:val="24"/>
          <w:highlight w:val="none"/>
          <w:lang w:val="en-US" w:eastAsia="zh-CN"/>
        </w:rPr>
        <w:t>配合决算编审</w:t>
      </w:r>
      <w:r>
        <w:rPr>
          <w:rFonts w:hint="eastAsia" w:ascii="宋体" w:hAnsi="宋体" w:eastAsia="宋体" w:cs="宋体"/>
          <w:color w:val="auto"/>
          <w:sz w:val="24"/>
          <w:szCs w:val="24"/>
          <w:highlight w:val="none"/>
          <w:lang w:eastAsia="zh-CN"/>
        </w:rPr>
        <w:t>☑</w:t>
      </w:r>
    </w:p>
    <w:p w14:paraId="0DAB7425">
      <w:pPr>
        <w:numPr>
          <w:ilvl w:val="0"/>
          <w:numId w:val="0"/>
        </w:num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14.</w:t>
      </w:r>
      <w:r>
        <w:rPr>
          <w:rFonts w:hint="eastAsia" w:ascii="宋体" w:hAnsi="宋体" w:eastAsia="宋体" w:cs="宋体"/>
          <w:color w:val="auto"/>
          <w:sz w:val="24"/>
          <w:szCs w:val="24"/>
          <w:highlight w:val="none"/>
          <w:lang w:val="en-US" w:eastAsia="zh-CN"/>
        </w:rPr>
        <w:t>其他甲方安排的造价咨询相关工作</w:t>
      </w:r>
      <w:r>
        <w:rPr>
          <w:rFonts w:hint="eastAsia" w:ascii="宋体" w:hAnsi="宋体" w:eastAsia="宋体" w:cs="宋体"/>
          <w:color w:val="auto"/>
          <w:sz w:val="24"/>
          <w:szCs w:val="24"/>
          <w:highlight w:val="none"/>
          <w:lang w:eastAsia="zh-CN"/>
        </w:rPr>
        <w:t>☑</w:t>
      </w:r>
    </w:p>
    <w:p w14:paraId="345A86D2">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45" w:name="_Toc25174"/>
      <w:bookmarkStart w:id="46" w:name="_Toc17944"/>
      <w:bookmarkStart w:id="47" w:name="_Toc28323"/>
      <w:bookmarkStart w:id="48" w:name="_Toc24076"/>
      <w:bookmarkStart w:id="49" w:name="_Toc24187"/>
      <w:bookmarkStart w:id="50" w:name="_Toc10270"/>
      <w:bookmarkStart w:id="51" w:name="_Toc19013"/>
      <w:bookmarkStart w:id="52" w:name="_Toc1502"/>
      <w:bookmarkStart w:id="53" w:name="_Toc30793"/>
      <w:bookmarkStart w:id="54" w:name="_Toc21396"/>
      <w:bookmarkStart w:id="55" w:name="_Toc31418"/>
      <w:r>
        <w:rPr>
          <w:rFonts w:hint="eastAsia" w:ascii="宋体" w:hAnsi="宋体" w:eastAsia="宋体" w:cs="宋体"/>
          <w:b/>
          <w:color w:val="auto"/>
          <w:sz w:val="24"/>
          <w:szCs w:val="24"/>
          <w:highlight w:val="none"/>
        </w:rPr>
        <w:t>三、服务期限</w:t>
      </w:r>
      <w:bookmarkEnd w:id="45"/>
      <w:bookmarkEnd w:id="46"/>
      <w:bookmarkEnd w:id="47"/>
      <w:bookmarkEnd w:id="48"/>
      <w:bookmarkEnd w:id="49"/>
      <w:bookmarkEnd w:id="50"/>
      <w:bookmarkEnd w:id="51"/>
      <w:bookmarkEnd w:id="52"/>
      <w:bookmarkEnd w:id="53"/>
      <w:bookmarkEnd w:id="54"/>
      <w:bookmarkEnd w:id="55"/>
    </w:p>
    <w:p w14:paraId="063113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自</w:t>
      </w:r>
      <w:r>
        <w:rPr>
          <w:rFonts w:hint="eastAsia" w:ascii="宋体" w:hAnsi="宋体" w:eastAsia="宋体" w:cs="宋体"/>
          <w:color w:val="auto"/>
          <w:sz w:val="24"/>
          <w:szCs w:val="24"/>
          <w:highlight w:val="none"/>
          <w:u w:val="single"/>
          <w:lang w:val="en-US" w:eastAsia="zh-CN"/>
        </w:rPr>
        <w:t>签订合同之日起</w:t>
      </w:r>
      <w:r>
        <w:rPr>
          <w:rFonts w:hint="eastAsia" w:ascii="宋体" w:hAnsi="宋体" w:eastAsia="宋体" w:cs="宋体"/>
          <w:color w:val="auto"/>
          <w:sz w:val="24"/>
          <w:szCs w:val="24"/>
          <w:highlight w:val="none"/>
          <w:u w:val="single"/>
        </w:rPr>
        <w:t>至合同约定</w:t>
      </w:r>
      <w:r>
        <w:rPr>
          <w:rFonts w:hint="eastAsia" w:ascii="宋体" w:hAnsi="宋体" w:eastAsia="宋体" w:cs="宋体"/>
          <w:color w:val="auto"/>
          <w:sz w:val="24"/>
          <w:szCs w:val="24"/>
          <w:highlight w:val="none"/>
          <w:u w:val="single"/>
          <w:lang w:val="en-US" w:eastAsia="zh-CN"/>
        </w:rPr>
        <w:t>的</w:t>
      </w:r>
      <w:r>
        <w:rPr>
          <w:rFonts w:hint="eastAsia" w:ascii="宋体" w:hAnsi="宋体" w:eastAsia="宋体" w:cs="宋体"/>
          <w:color w:val="auto"/>
          <w:sz w:val="24"/>
          <w:szCs w:val="24"/>
          <w:highlight w:val="none"/>
          <w:u w:val="single"/>
        </w:rPr>
        <w:t>造价咨询服务工作全部完成止。甲方根据实际情况，有权对本合同服务期限进行适当调整。</w:t>
      </w:r>
    </w:p>
    <w:p w14:paraId="2048679D">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56" w:name="_Toc29486"/>
      <w:bookmarkStart w:id="57" w:name="_Toc11248"/>
      <w:bookmarkStart w:id="58" w:name="_Toc11312"/>
      <w:bookmarkStart w:id="59" w:name="_Toc27175"/>
      <w:bookmarkStart w:id="60" w:name="_Toc4539"/>
      <w:bookmarkStart w:id="61" w:name="_Toc22014"/>
      <w:bookmarkStart w:id="62" w:name="_Toc4936"/>
      <w:bookmarkStart w:id="63" w:name="_Toc32677"/>
      <w:bookmarkStart w:id="64" w:name="_Toc9001"/>
      <w:bookmarkStart w:id="65" w:name="_Toc293"/>
      <w:bookmarkStart w:id="66" w:name="_Toc23776"/>
      <w:r>
        <w:rPr>
          <w:rFonts w:hint="eastAsia" w:ascii="宋体" w:hAnsi="宋体" w:eastAsia="宋体" w:cs="宋体"/>
          <w:b/>
          <w:color w:val="auto"/>
          <w:sz w:val="24"/>
          <w:szCs w:val="24"/>
          <w:highlight w:val="none"/>
        </w:rPr>
        <w:t>四、服务报酬</w:t>
      </w:r>
      <w:bookmarkEnd w:id="56"/>
      <w:bookmarkEnd w:id="57"/>
      <w:bookmarkEnd w:id="58"/>
      <w:bookmarkEnd w:id="59"/>
      <w:bookmarkEnd w:id="60"/>
      <w:bookmarkEnd w:id="61"/>
      <w:bookmarkEnd w:id="62"/>
      <w:bookmarkEnd w:id="63"/>
      <w:bookmarkEnd w:id="64"/>
      <w:bookmarkEnd w:id="65"/>
      <w:bookmarkEnd w:id="66"/>
    </w:p>
    <w:p w14:paraId="668BE79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经甲乙双方协商一致，本合同服务报酬以人民币为计算及支付货币，具体计算方法按第二</w:t>
      </w:r>
      <w:r>
        <w:rPr>
          <w:rFonts w:hint="eastAsia" w:ascii="宋体" w:hAnsi="宋体" w:eastAsia="宋体" w:cs="宋体"/>
          <w:color w:val="auto"/>
          <w:sz w:val="24"/>
          <w:szCs w:val="24"/>
          <w:highlight w:val="none"/>
          <w:lang w:eastAsia="zh-CN"/>
        </w:rPr>
        <w:t>篇</w:t>
      </w:r>
      <w:r>
        <w:rPr>
          <w:rFonts w:hint="eastAsia" w:ascii="宋体" w:hAnsi="宋体" w:eastAsia="宋体" w:cs="宋体"/>
          <w:color w:val="auto"/>
          <w:sz w:val="24"/>
          <w:szCs w:val="24"/>
          <w:highlight w:val="none"/>
        </w:rPr>
        <w:t>合同条款第七条的约定执行。</w:t>
      </w:r>
    </w:p>
    <w:p w14:paraId="40B82613">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67" w:name="_Toc17391"/>
      <w:bookmarkStart w:id="68" w:name="_Toc12209"/>
      <w:bookmarkStart w:id="69" w:name="_Toc26751"/>
      <w:bookmarkStart w:id="70" w:name="_Toc9450"/>
      <w:bookmarkStart w:id="71" w:name="_Toc9939"/>
      <w:bookmarkStart w:id="72" w:name="_Toc21960"/>
      <w:bookmarkStart w:id="73" w:name="_Toc22293"/>
      <w:bookmarkStart w:id="74" w:name="_Toc24651"/>
      <w:bookmarkStart w:id="75" w:name="_Toc20871"/>
      <w:bookmarkStart w:id="76" w:name="_Toc9772"/>
      <w:bookmarkStart w:id="77" w:name="_Toc2049"/>
      <w:r>
        <w:rPr>
          <w:rFonts w:hint="eastAsia" w:ascii="宋体" w:hAnsi="宋体" w:eastAsia="宋体" w:cs="宋体"/>
          <w:b/>
          <w:color w:val="auto"/>
          <w:sz w:val="24"/>
          <w:szCs w:val="24"/>
          <w:highlight w:val="none"/>
        </w:rPr>
        <w:t>五、合同文件构成及优先顺序</w:t>
      </w:r>
      <w:bookmarkEnd w:id="67"/>
      <w:bookmarkEnd w:id="68"/>
      <w:bookmarkEnd w:id="69"/>
      <w:bookmarkEnd w:id="70"/>
      <w:bookmarkEnd w:id="71"/>
      <w:bookmarkEnd w:id="72"/>
      <w:bookmarkEnd w:id="73"/>
      <w:bookmarkEnd w:id="74"/>
      <w:bookmarkEnd w:id="75"/>
      <w:bookmarkEnd w:id="76"/>
      <w:bookmarkEnd w:id="77"/>
    </w:p>
    <w:p w14:paraId="66AAAF0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下列文件应被认为是组成本合同的一部分，并互为补充和解释，如各文件存在冲突之处，以如下排列次序在前者优先适用：</w:t>
      </w:r>
    </w:p>
    <w:p w14:paraId="41B214F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1.国家和广东省、广州市关于本项目的有关文件；</w:t>
      </w:r>
    </w:p>
    <w:p w14:paraId="48C1EC5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2.本合同履行期间</w:t>
      </w:r>
      <w:r>
        <w:rPr>
          <w:rFonts w:hint="eastAsia" w:ascii="宋体" w:hAnsi="宋体" w:eastAsia="宋体" w:cs="宋体"/>
          <w:color w:val="auto"/>
          <w:kern w:val="0"/>
          <w:sz w:val="24"/>
          <w:szCs w:val="24"/>
          <w:highlight w:val="none"/>
        </w:rPr>
        <w:t>甲方与乙方双方</w:t>
      </w:r>
      <w:r>
        <w:rPr>
          <w:rFonts w:hint="eastAsia" w:ascii="宋体" w:hAnsi="宋体" w:eastAsia="宋体" w:cs="宋体"/>
          <w:color w:val="auto"/>
          <w:sz w:val="24"/>
          <w:szCs w:val="24"/>
          <w:highlight w:val="none"/>
        </w:rPr>
        <w:t>签订的补充合同（协议）或修正文件；</w:t>
      </w:r>
    </w:p>
    <w:p w14:paraId="4C30CC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合同协议书；</w:t>
      </w:r>
    </w:p>
    <w:p w14:paraId="05F08E5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中标通知书；</w:t>
      </w:r>
    </w:p>
    <w:p w14:paraId="7F8FFBA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合同条款；</w:t>
      </w:r>
    </w:p>
    <w:p w14:paraId="3F395D2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6.甲方针对项目管理的各项制度、规定（如有更新则按更新后的执行，下同）；</w:t>
      </w:r>
    </w:p>
    <w:p w14:paraId="0C6AF6D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合同附件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属本条第1项和第6项内容的除外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D43C82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含招标文件补充文件、招标澄清文件、答疑文件等，属本条第7项内容的除外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388158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9.乙方投标文件</w:t>
      </w:r>
      <w:r>
        <w:rPr>
          <w:rFonts w:hint="eastAsia" w:ascii="宋体" w:hAnsi="宋体" w:eastAsia="宋体" w:cs="宋体"/>
          <w:color w:val="auto"/>
          <w:kern w:val="0"/>
          <w:sz w:val="24"/>
          <w:szCs w:val="24"/>
          <w:highlight w:val="none"/>
        </w:rPr>
        <w:t>及其附件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含投标文件澄清等，属本条第7项内容的除外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04B28D5">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10.技术标准和要求；</w:t>
      </w:r>
    </w:p>
    <w:p w14:paraId="3239640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11.图纸；</w:t>
      </w:r>
    </w:p>
    <w:p w14:paraId="236865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.国家及广东省、广州市的标准、规范及有关技术文件；</w:t>
      </w:r>
    </w:p>
    <w:p w14:paraId="0DD8419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.组成合同的其它文件。</w:t>
      </w:r>
    </w:p>
    <w:p w14:paraId="02F1DB8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通过上述顺序解释仍无法明确的事项，由甲方与乙方协商解决；如协商不成，由甲方按照公平合理和有利于本合同工程建设的原则作出决定。如乙方对此决定不服的，应在接到甲方决定之日起</w:t>
      </w:r>
      <w:r>
        <w:rPr>
          <w:rFonts w:hint="eastAsia" w:ascii="宋体" w:hAnsi="宋体" w:eastAsia="宋体" w:cs="宋体"/>
          <w:color w:val="auto"/>
          <w:sz w:val="24"/>
          <w:szCs w:val="24"/>
          <w:highlight w:val="none"/>
          <w:lang w:eastAsia="zh-CN"/>
        </w:rPr>
        <w:t>三日</w:t>
      </w:r>
      <w:r>
        <w:rPr>
          <w:rFonts w:hint="eastAsia" w:ascii="宋体" w:hAnsi="宋体" w:eastAsia="宋体" w:cs="宋体"/>
          <w:color w:val="auto"/>
          <w:sz w:val="24"/>
          <w:szCs w:val="24"/>
          <w:highlight w:val="none"/>
        </w:rPr>
        <w:t>内提出书面异议；如期满不提出书面异议的，视为同意甲方的决定。甲方收到乙方的书面异议后应作出进一步的决定，如乙方仍有异议的，可按第二</w:t>
      </w:r>
      <w:r>
        <w:rPr>
          <w:rFonts w:hint="eastAsia" w:ascii="宋体" w:hAnsi="宋体" w:eastAsia="宋体" w:cs="宋体"/>
          <w:color w:val="auto"/>
          <w:sz w:val="24"/>
          <w:szCs w:val="24"/>
          <w:highlight w:val="none"/>
          <w:lang w:eastAsia="zh-CN"/>
        </w:rPr>
        <w:t>篇</w:t>
      </w:r>
      <w:r>
        <w:rPr>
          <w:rFonts w:hint="eastAsia" w:ascii="宋体" w:hAnsi="宋体" w:eastAsia="宋体" w:cs="宋体"/>
          <w:color w:val="auto"/>
          <w:sz w:val="24"/>
          <w:szCs w:val="24"/>
          <w:highlight w:val="none"/>
        </w:rPr>
        <w:t>合同条款第十一条的约定处理，但在有关部门没有作出正式裁决之前，乙方必须无条件先行执行甲方的决定。</w:t>
      </w:r>
    </w:p>
    <w:p w14:paraId="2A4B20C0">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lang w:eastAsia="zh-CN"/>
        </w:rPr>
      </w:pPr>
      <w:bookmarkStart w:id="78" w:name="_Toc29989"/>
      <w:bookmarkStart w:id="79" w:name="_Toc348"/>
      <w:bookmarkStart w:id="80" w:name="_Toc15693"/>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承诺</w:t>
      </w:r>
      <w:bookmarkEnd w:id="78"/>
      <w:bookmarkEnd w:id="79"/>
    </w:p>
    <w:p w14:paraId="3CD89249">
      <w:pPr>
        <w:widowControl w:val="0"/>
        <w:adjustRightInd w:val="0"/>
        <w:snapToGrid w:val="0"/>
        <w:spacing w:line="360" w:lineRule="auto"/>
        <w:ind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bookmarkEnd w:id="80"/>
      <w:bookmarkStart w:id="81" w:name="_Toc11550"/>
      <w:r>
        <w:rPr>
          <w:rFonts w:hint="eastAsia" w:ascii="宋体" w:hAnsi="宋体" w:eastAsia="宋体" w:cs="宋体"/>
          <w:color w:val="auto"/>
          <w:sz w:val="24"/>
          <w:szCs w:val="24"/>
          <w:highlight w:val="none"/>
        </w:rPr>
        <w:t>甲方承诺按照本合同约定的履行合同义务。</w:t>
      </w:r>
      <w:bookmarkEnd w:id="81"/>
    </w:p>
    <w:p w14:paraId="0DAEC05A">
      <w:pPr>
        <w:widowControl w:val="0"/>
        <w:adjustRightInd w:val="0"/>
        <w:snapToGrid w:val="0"/>
        <w:spacing w:line="360" w:lineRule="auto"/>
        <w:ind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乙方承诺按照本合同的约定履行合同义务。</w:t>
      </w:r>
    </w:p>
    <w:p w14:paraId="514F6ECC">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82" w:name="_Toc10736"/>
      <w:bookmarkStart w:id="83" w:name="_Toc28272"/>
      <w:bookmarkStart w:id="84" w:name="_Toc7095"/>
      <w:bookmarkStart w:id="85" w:name="_Toc31341"/>
      <w:bookmarkStart w:id="86" w:name="_Toc25678"/>
      <w:bookmarkStart w:id="87" w:name="_Toc1453"/>
      <w:bookmarkStart w:id="88" w:name="_Toc19543"/>
      <w:bookmarkStart w:id="89" w:name="_Toc19323"/>
      <w:bookmarkStart w:id="90" w:name="_Toc27032"/>
      <w:bookmarkStart w:id="91" w:name="_Toc3444"/>
      <w:bookmarkStart w:id="92" w:name="_Toc15331"/>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、词语定义</w:t>
      </w:r>
      <w:bookmarkEnd w:id="82"/>
      <w:bookmarkEnd w:id="83"/>
      <w:bookmarkEnd w:id="84"/>
      <w:bookmarkEnd w:id="85"/>
      <w:bookmarkEnd w:id="86"/>
      <w:bookmarkEnd w:id="87"/>
      <w:bookmarkEnd w:id="88"/>
      <w:bookmarkEnd w:id="89"/>
      <w:bookmarkEnd w:id="90"/>
      <w:bookmarkEnd w:id="91"/>
      <w:bookmarkEnd w:id="92"/>
    </w:p>
    <w:p w14:paraId="0A19A0E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本合同协议书中有关词语含义与合同条款中分别赋予它们的定义相同。</w:t>
      </w:r>
    </w:p>
    <w:p w14:paraId="653D9A61">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93" w:name="_Toc25936"/>
      <w:bookmarkStart w:id="94" w:name="_Toc8557"/>
      <w:bookmarkStart w:id="95" w:name="_Toc29597"/>
      <w:bookmarkStart w:id="96" w:name="_Toc6554"/>
      <w:bookmarkStart w:id="97" w:name="_Toc28594"/>
      <w:bookmarkStart w:id="98" w:name="_Toc9148"/>
      <w:bookmarkStart w:id="99" w:name="_Toc26913"/>
      <w:bookmarkStart w:id="100" w:name="_Toc29475"/>
      <w:bookmarkStart w:id="101" w:name="_Toc28213"/>
      <w:bookmarkStart w:id="102" w:name="_Toc15710"/>
      <w:bookmarkStart w:id="103" w:name="_Toc28128"/>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、合同生效及终止</w:t>
      </w:r>
      <w:bookmarkEnd w:id="93"/>
      <w:bookmarkEnd w:id="94"/>
      <w:bookmarkEnd w:id="95"/>
      <w:bookmarkEnd w:id="96"/>
      <w:bookmarkEnd w:id="97"/>
      <w:bookmarkEnd w:id="98"/>
      <w:bookmarkEnd w:id="99"/>
      <w:bookmarkEnd w:id="100"/>
      <w:bookmarkEnd w:id="101"/>
      <w:bookmarkEnd w:id="102"/>
      <w:bookmarkEnd w:id="103"/>
    </w:p>
    <w:p w14:paraId="49490FF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本合同自甲方、乙方双方签字盖章（公章或合同专用章）之日起生效，委托代理人签字的需经另一方书面同意，并提交相应有效授权</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。本合同有效期至双方的责任、义务履行完毕时终止。</w:t>
      </w:r>
    </w:p>
    <w:p w14:paraId="645447D2">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104" w:name="_Toc837"/>
      <w:bookmarkStart w:id="105" w:name="_Toc4209"/>
      <w:bookmarkStart w:id="106" w:name="_Toc26131"/>
      <w:bookmarkStart w:id="107" w:name="_Toc10535"/>
      <w:bookmarkStart w:id="108" w:name="_Toc518"/>
      <w:bookmarkStart w:id="109" w:name="_Toc14974"/>
      <w:bookmarkStart w:id="110" w:name="_Toc10077"/>
      <w:bookmarkStart w:id="111" w:name="_Toc22409"/>
      <w:bookmarkStart w:id="112" w:name="_Toc4644"/>
      <w:bookmarkStart w:id="113" w:name="_Toc2835"/>
      <w:bookmarkStart w:id="114" w:name="_Toc1837"/>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、合同份数</w:t>
      </w:r>
      <w:bookmarkEnd w:id="104"/>
      <w:bookmarkEnd w:id="105"/>
      <w:bookmarkEnd w:id="106"/>
      <w:bookmarkEnd w:id="107"/>
      <w:bookmarkEnd w:id="108"/>
      <w:bookmarkEnd w:id="109"/>
      <w:bookmarkEnd w:id="110"/>
      <w:bookmarkEnd w:id="111"/>
      <w:bookmarkEnd w:id="112"/>
      <w:bookmarkEnd w:id="113"/>
      <w:bookmarkEnd w:id="114"/>
    </w:p>
    <w:p w14:paraId="63CD4EB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w:t>
      </w:r>
    </w:p>
    <w:p w14:paraId="5BFD4176">
      <w:pPr>
        <w:pStyle w:val="29"/>
        <w:ind w:firstLine="0" w:firstLineChars="0"/>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14"/>
          <w:kern w:val="2"/>
          <w:sz w:val="24"/>
          <w:szCs w:val="24"/>
          <w:highlight w:val="none"/>
          <w:lang w:eastAsia="zh-CN"/>
        </w:rPr>
        <w:t>甲方</w:t>
      </w:r>
      <w:r>
        <w:rPr>
          <w:rFonts w:hint="eastAsia" w:ascii="宋体" w:hAnsi="宋体" w:eastAsia="宋体" w:cs="宋体"/>
          <w:color w:val="auto"/>
          <w:spacing w:val="-14"/>
          <w:kern w:val="2"/>
          <w:sz w:val="24"/>
          <w:szCs w:val="24"/>
          <w:highlight w:val="none"/>
        </w:rPr>
        <w:t xml:space="preserve">：                                    </w:t>
      </w:r>
      <w:r>
        <w:rPr>
          <w:rFonts w:hint="eastAsia" w:ascii="宋体" w:hAnsi="宋体" w:eastAsia="宋体" w:cs="宋体"/>
          <w:color w:val="auto"/>
          <w:spacing w:val="-14"/>
          <w:kern w:val="2"/>
          <w:sz w:val="24"/>
          <w:szCs w:val="24"/>
          <w:highlight w:val="none"/>
          <w:lang w:val="en-US" w:eastAsia="zh-CN"/>
        </w:rPr>
        <w:t xml:space="preserve">    </w:t>
      </w:r>
      <w:r>
        <w:rPr>
          <w:rFonts w:hint="eastAsia" w:ascii="宋体" w:hAnsi="宋体" w:eastAsia="宋体" w:cs="宋体"/>
          <w:color w:val="auto"/>
          <w:spacing w:val="-14"/>
          <w:kern w:val="2"/>
          <w:sz w:val="24"/>
          <w:szCs w:val="24"/>
          <w:highlight w:val="none"/>
          <w:lang w:eastAsia="zh-CN"/>
        </w:rPr>
        <w:t>乙方</w:t>
      </w:r>
      <w:r>
        <w:rPr>
          <w:rFonts w:hint="eastAsia" w:ascii="宋体" w:hAnsi="宋体" w:eastAsia="宋体" w:cs="宋体"/>
          <w:color w:val="auto"/>
          <w:spacing w:val="-14"/>
          <w:kern w:val="2"/>
          <w:sz w:val="24"/>
          <w:szCs w:val="24"/>
          <w:highlight w:val="none"/>
        </w:rPr>
        <w:t>：</w:t>
      </w:r>
    </w:p>
    <w:p w14:paraId="10949D93">
      <w:pPr>
        <w:pStyle w:val="29"/>
        <w:ind w:firstLine="744"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（盖章）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（盖章）</w:t>
      </w:r>
    </w:p>
    <w:p w14:paraId="1A2197DE">
      <w:pPr>
        <w:pStyle w:val="29"/>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法定代表人：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法定代表人：</w:t>
      </w:r>
    </w:p>
    <w:p w14:paraId="5C9E77B5">
      <w:pPr>
        <w:pStyle w:val="29"/>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w:t>
      </w:r>
    </w:p>
    <w:p w14:paraId="1A6E4A53">
      <w:pPr>
        <w:pStyle w:val="29"/>
        <w:ind w:left="6912" w:right="-248" w:rightChars="-118" w:hanging="5952" w:hangingChars="240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住所：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住所：</w:t>
      </w:r>
    </w:p>
    <w:p w14:paraId="14DD7A34">
      <w:pPr>
        <w:pStyle w:val="29"/>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邮编：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邮编</w:t>
      </w:r>
      <w:r>
        <w:rPr>
          <w:rFonts w:hint="eastAsia" w:ascii="宋体" w:hAnsi="宋体" w:eastAsia="宋体" w:cs="宋体"/>
          <w:color w:val="auto"/>
          <w:kern w:val="2"/>
          <w:sz w:val="24"/>
          <w:szCs w:val="24"/>
          <w:highlight w:val="none"/>
          <w:lang w:eastAsia="zh-CN"/>
        </w:rPr>
        <w:t>：</w:t>
      </w:r>
    </w:p>
    <w:p w14:paraId="1ED22FFF">
      <w:pPr>
        <w:pStyle w:val="29"/>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电话：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电话：</w:t>
      </w:r>
    </w:p>
    <w:p w14:paraId="1A732BAC">
      <w:pPr>
        <w:pStyle w:val="29"/>
        <w:ind w:firstLine="4320" w:firstLineChars="1800"/>
        <w:outlineLvl w:val="9"/>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开户银行：</w:t>
      </w:r>
    </w:p>
    <w:p w14:paraId="777C7A05">
      <w:pPr>
        <w:pStyle w:val="29"/>
        <w:ind w:left="0" w:leftChars="0" w:firstLine="4464" w:firstLineChars="18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kern w:val="2"/>
          <w:sz w:val="24"/>
          <w:szCs w:val="24"/>
          <w:highlight w:val="none"/>
        </w:rPr>
        <w:t>：</w:t>
      </w:r>
    </w:p>
    <w:p w14:paraId="42979F33">
      <w:pPr>
        <w:pStyle w:val="29"/>
        <w:ind w:left="7056" w:hanging="6076" w:hangingChars="245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2AD729F">
      <w:pPr>
        <w:pStyle w:val="29"/>
        <w:ind w:left="7056" w:hanging="6076" w:hangingChars="2450"/>
        <w:jc w:val="center"/>
        <w:outlineLvl w:val="9"/>
        <w:rPr>
          <w:rFonts w:hint="eastAsia" w:ascii="宋体" w:hAnsi="宋体" w:eastAsia="宋体" w:cs="宋体"/>
          <w:color w:val="auto"/>
          <w:sz w:val="24"/>
          <w:szCs w:val="24"/>
          <w:highlight w:val="none"/>
          <w:lang w:val="en-US" w:eastAsia="zh-CN"/>
        </w:rPr>
      </w:pPr>
    </w:p>
    <w:p w14:paraId="0EDE0B7A">
      <w:pPr>
        <w:pStyle w:val="29"/>
        <w:ind w:left="7056" w:hanging="6076" w:hangingChars="2450"/>
        <w:jc w:val="center"/>
        <w:outlineLvl w:val="9"/>
        <w:rPr>
          <w:rFonts w:hint="eastAsia" w:ascii="宋体" w:hAnsi="宋体" w:eastAsia="宋体" w:cs="宋体"/>
          <w:color w:val="auto"/>
          <w:sz w:val="24"/>
          <w:szCs w:val="24"/>
          <w:highlight w:val="none"/>
          <w:lang w:val="en-US" w:eastAsia="zh-CN"/>
        </w:rPr>
      </w:pPr>
    </w:p>
    <w:p w14:paraId="50AA836F">
      <w:pPr>
        <w:pStyle w:val="29"/>
        <w:ind w:left="7056" w:hanging="6076" w:hangingChars="2450"/>
        <w:jc w:val="center"/>
        <w:outlineLvl w:val="9"/>
        <w:rPr>
          <w:rFonts w:hint="eastAsia" w:ascii="宋体" w:hAnsi="宋体" w:eastAsia="宋体" w:cs="宋体"/>
          <w:color w:val="auto"/>
          <w:sz w:val="24"/>
          <w:szCs w:val="24"/>
          <w:highlight w:val="none"/>
          <w:lang w:val="en-US" w:eastAsia="zh-CN"/>
        </w:rPr>
      </w:pPr>
    </w:p>
    <w:p w14:paraId="19AC0BA0">
      <w:pPr>
        <w:pStyle w:val="29"/>
        <w:ind w:left="7056" w:hanging="6076" w:hangingChars="245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  月   日</w:t>
      </w:r>
    </w:p>
    <w:p w14:paraId="35336487">
      <w:pPr>
        <w:widowControl/>
        <w:spacing w:beforeAutospacing="0" w:afterAutospacing="0" w:line="240" w:lineRule="auto"/>
        <w:ind w:firstLine="0" w:firstLineChars="0"/>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kern w:val="2"/>
          <w:sz w:val="24"/>
          <w:szCs w:val="24"/>
          <w:highlight w:val="none"/>
        </w:rPr>
        <w:t>签订地点：广东省广州市</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36"/>
          <w:szCs w:val="36"/>
          <w:highlight w:val="none"/>
        </w:rPr>
        <w:br w:type="page"/>
      </w:r>
      <w:bookmarkStart w:id="115" w:name="_Toc14378"/>
      <w:bookmarkStart w:id="116" w:name="_Toc9780"/>
      <w:bookmarkStart w:id="117" w:name="_Toc2373"/>
      <w:bookmarkStart w:id="118" w:name="_Toc32410"/>
      <w:bookmarkStart w:id="119" w:name="_Toc14945"/>
      <w:bookmarkStart w:id="120" w:name="_Toc27168"/>
      <w:bookmarkStart w:id="121" w:name="_Toc17846"/>
      <w:bookmarkStart w:id="122" w:name="_Toc24481"/>
      <w:bookmarkStart w:id="123" w:name="_Toc15086"/>
      <w:r>
        <w:rPr>
          <w:rFonts w:hint="eastAsia" w:ascii="宋体" w:hAnsi="宋体" w:eastAsia="宋体" w:cs="宋体"/>
          <w:b/>
          <w:color w:val="auto"/>
          <w:sz w:val="32"/>
          <w:szCs w:val="32"/>
          <w:highlight w:val="none"/>
        </w:rPr>
        <w:t>第二</w:t>
      </w:r>
      <w:r>
        <w:rPr>
          <w:rFonts w:hint="eastAsia" w:ascii="宋体" w:hAnsi="宋体" w:eastAsia="宋体" w:cs="宋体"/>
          <w:b/>
          <w:color w:val="auto"/>
          <w:sz w:val="32"/>
          <w:szCs w:val="32"/>
          <w:highlight w:val="none"/>
          <w:lang w:eastAsia="zh-CN"/>
        </w:rPr>
        <w:t>篇</w:t>
      </w:r>
      <w:r>
        <w:rPr>
          <w:rFonts w:hint="eastAsia" w:ascii="宋体" w:hAnsi="宋体" w:eastAsia="宋体" w:cs="宋体"/>
          <w:b/>
          <w:color w:val="auto"/>
          <w:kern w:val="44"/>
          <w:sz w:val="32"/>
          <w:szCs w:val="32"/>
          <w:highlight w:val="none"/>
          <w:lang w:val="en-US" w:eastAsia="zh-CN" w:bidi="ar-SA"/>
        </w:rPr>
        <w:t>　</w:t>
      </w:r>
      <w:r>
        <w:rPr>
          <w:rFonts w:hint="eastAsia" w:ascii="宋体" w:hAnsi="宋体" w:eastAsia="宋体" w:cs="宋体"/>
          <w:b/>
          <w:color w:val="auto"/>
          <w:sz w:val="32"/>
          <w:szCs w:val="32"/>
          <w:highlight w:val="none"/>
        </w:rPr>
        <w:t>合同条款</w:t>
      </w:r>
      <w:bookmarkEnd w:id="115"/>
      <w:bookmarkEnd w:id="116"/>
      <w:bookmarkEnd w:id="117"/>
      <w:bookmarkEnd w:id="118"/>
      <w:bookmarkEnd w:id="119"/>
      <w:bookmarkEnd w:id="120"/>
      <w:bookmarkEnd w:id="121"/>
      <w:bookmarkEnd w:id="122"/>
      <w:bookmarkEnd w:id="123"/>
    </w:p>
    <w:p w14:paraId="506E3483">
      <w:pPr>
        <w:widowControl w:val="0"/>
        <w:adjustRightInd w:val="0"/>
        <w:snapToGrid w:val="0"/>
        <w:spacing w:line="360" w:lineRule="auto"/>
        <w:ind w:firstLine="482" w:firstLineChars="200"/>
        <w:jc w:val="both"/>
        <w:outlineLvl w:val="1"/>
        <w:rPr>
          <w:rFonts w:hint="eastAsia" w:ascii="宋体" w:hAnsi="宋体" w:eastAsia="宋体" w:cs="宋体"/>
          <w:b/>
          <w:color w:val="auto"/>
          <w:sz w:val="24"/>
          <w:szCs w:val="24"/>
          <w:highlight w:val="none"/>
        </w:rPr>
      </w:pPr>
      <w:bookmarkStart w:id="124" w:name="_Toc9047"/>
      <w:bookmarkStart w:id="125" w:name="_Toc13850"/>
      <w:bookmarkStart w:id="126" w:name="_Toc32294"/>
      <w:bookmarkStart w:id="127" w:name="_Toc11073"/>
      <w:bookmarkStart w:id="128" w:name="_Toc15520"/>
    </w:p>
    <w:p w14:paraId="1039E380">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129" w:name="_Toc28339"/>
      <w:bookmarkStart w:id="130" w:name="_Toc4593"/>
      <w:bookmarkStart w:id="131" w:name="_Toc2604"/>
      <w:bookmarkStart w:id="132" w:name="_Toc27030"/>
      <w:bookmarkStart w:id="133" w:name="_Toc4497"/>
      <w:bookmarkStart w:id="134" w:name="_Toc3762"/>
      <w:r>
        <w:rPr>
          <w:rFonts w:hint="eastAsia" w:ascii="宋体" w:hAnsi="宋体" w:eastAsia="宋体" w:cs="宋体"/>
          <w:b/>
          <w:color w:val="auto"/>
          <w:sz w:val="24"/>
          <w:szCs w:val="24"/>
          <w:highlight w:val="none"/>
        </w:rPr>
        <w:t>一、词语定义</w:t>
      </w:r>
      <w:bookmarkEnd w:id="124"/>
      <w:bookmarkEnd w:id="125"/>
      <w:bookmarkEnd w:id="126"/>
      <w:bookmarkEnd w:id="127"/>
      <w:bookmarkEnd w:id="128"/>
      <w:bookmarkEnd w:id="129"/>
      <w:bookmarkEnd w:id="130"/>
      <w:bookmarkEnd w:id="131"/>
      <w:bookmarkEnd w:id="132"/>
      <w:bookmarkEnd w:id="133"/>
      <w:bookmarkEnd w:id="134"/>
    </w:p>
    <w:p w14:paraId="1B5D5F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1.1甲方：是指委托建设工程造价咨询业务和聘用工程造价咨询单位的一方，在本合同中特指</w:t>
      </w:r>
      <w:r>
        <w:rPr>
          <w:rFonts w:hint="eastAsia" w:ascii="宋体" w:hAnsi="宋体" w:eastAsia="宋体" w:cs="宋体"/>
          <w:color w:val="auto"/>
          <w:sz w:val="24"/>
          <w:szCs w:val="24"/>
          <w:highlight w:val="none"/>
          <w:u w:val="single"/>
          <w:lang w:eastAsia="zh-CN"/>
        </w:rPr>
        <w:t>广州市穗云自来水有限公司</w:t>
      </w:r>
      <w:r>
        <w:rPr>
          <w:rFonts w:hint="eastAsia" w:ascii="宋体" w:hAnsi="宋体" w:eastAsia="宋体" w:cs="宋体"/>
          <w:color w:val="auto"/>
          <w:sz w:val="24"/>
          <w:szCs w:val="24"/>
          <w:highlight w:val="none"/>
        </w:rPr>
        <w:t>。</w:t>
      </w:r>
    </w:p>
    <w:p w14:paraId="5DC22EC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1.2乙方：是指承担建设工程造价咨询业务和工程造价咨询责任的一方，在本合同中特指</w:t>
      </w:r>
      <w:r>
        <w:rPr>
          <w:rFonts w:hint="eastAsia" w:ascii="宋体" w:hAnsi="宋体" w:eastAsia="宋体" w:cs="宋体"/>
          <w:b/>
          <w:bCs w:val="0"/>
          <w:color w:val="auto"/>
          <w:kern w:val="2"/>
          <w:sz w:val="24"/>
          <w:szCs w:val="24"/>
          <w:highlight w:val="none"/>
          <w:u w:val="single"/>
          <w:lang w:val="en-US" w:eastAsia="zh-CN" w:bidi="ar"/>
        </w:rPr>
        <w:t xml:space="preserve">                   </w:t>
      </w:r>
      <w:r>
        <w:rPr>
          <w:rFonts w:hint="eastAsia" w:ascii="宋体" w:hAnsi="宋体" w:eastAsia="宋体" w:cs="宋体"/>
          <w:color w:val="auto"/>
          <w:sz w:val="24"/>
          <w:szCs w:val="24"/>
          <w:highlight w:val="none"/>
        </w:rPr>
        <w:t>。</w:t>
      </w:r>
    </w:p>
    <w:p w14:paraId="5E66BFF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1.3第三人：是指除甲方、乙方以外与本合同约定咨询业务有关的当事人。</w:t>
      </w:r>
    </w:p>
    <w:p w14:paraId="1AAA3EBA">
      <w:pPr>
        <w:adjustRightInd w:val="0"/>
        <w:snapToGrid w:val="0"/>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kern w:val="0"/>
          <w:sz w:val="24"/>
          <w:szCs w:val="24"/>
          <w:highlight w:val="none"/>
        </w:rPr>
        <w:t>天：本合同中规定按天计算时间的，开始当天不计入，从次日开始计算。时限的最后一天是休息日或者其他法定节假日的，以节假日次日为时限的</w:t>
      </w:r>
      <w:r>
        <w:rPr>
          <w:rFonts w:hint="eastAsia" w:ascii="宋体" w:hAnsi="宋体" w:eastAsia="宋体" w:cs="宋体"/>
          <w:color w:val="auto"/>
          <w:sz w:val="24"/>
          <w:szCs w:val="24"/>
          <w:highlight w:val="none"/>
        </w:rPr>
        <w:t>最后</w:t>
      </w:r>
      <w:r>
        <w:rPr>
          <w:rFonts w:hint="eastAsia" w:ascii="宋体" w:hAnsi="宋体" w:eastAsia="宋体" w:cs="宋体"/>
          <w:color w:val="auto"/>
          <w:kern w:val="0"/>
          <w:sz w:val="24"/>
          <w:szCs w:val="24"/>
          <w:highlight w:val="none"/>
        </w:rPr>
        <w:t>一天。时限的最后一天的截止时间为当日24时。</w:t>
      </w:r>
    </w:p>
    <w:p w14:paraId="1B3ABD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1.5月：是指根据公历从一个月份中任何一日开始到下一个月相应日期的前一日的时间段。</w:t>
      </w:r>
    </w:p>
    <w:p w14:paraId="236DC9DB">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135" w:name="_Toc25000"/>
      <w:bookmarkStart w:id="136" w:name="_Toc18613"/>
      <w:bookmarkStart w:id="137" w:name="_Toc27040"/>
      <w:bookmarkStart w:id="138" w:name="_Toc21432"/>
      <w:bookmarkStart w:id="139" w:name="_Toc23687"/>
      <w:bookmarkStart w:id="140" w:name="_Toc11380"/>
      <w:bookmarkStart w:id="141" w:name="_Toc4376"/>
      <w:bookmarkStart w:id="142" w:name="_Toc31251"/>
      <w:bookmarkStart w:id="143" w:name="_Toc5450"/>
      <w:bookmarkStart w:id="144" w:name="_Toc16422"/>
      <w:bookmarkStart w:id="145" w:name="_Toc12274"/>
      <w:r>
        <w:rPr>
          <w:rFonts w:hint="eastAsia" w:ascii="宋体" w:hAnsi="宋体" w:eastAsia="宋体" w:cs="宋体"/>
          <w:b/>
          <w:color w:val="auto"/>
          <w:sz w:val="24"/>
          <w:szCs w:val="24"/>
          <w:highlight w:val="none"/>
        </w:rPr>
        <w:t>二、本合同适用的法律、法规及工程造价计价办法和规定</w:t>
      </w:r>
      <w:bookmarkEnd w:id="135"/>
      <w:bookmarkEnd w:id="136"/>
      <w:bookmarkEnd w:id="137"/>
      <w:bookmarkEnd w:id="138"/>
      <w:bookmarkEnd w:id="139"/>
      <w:bookmarkEnd w:id="140"/>
      <w:bookmarkEnd w:id="141"/>
      <w:bookmarkEnd w:id="142"/>
      <w:bookmarkEnd w:id="143"/>
      <w:bookmarkEnd w:id="144"/>
      <w:bookmarkEnd w:id="145"/>
    </w:p>
    <w:p w14:paraId="19AD57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2.1本合同适用中华人民共和国法律、法规。</w:t>
      </w:r>
    </w:p>
    <w:p w14:paraId="77EA017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本合同适用的工程造价计价办法和规定是：《广东省住房和城乡建设厅关于印发&lt;广东省建设工程计价依据（2018）&gt;的通知》（粤建市〔2019〕6号）、《建设工程工程量清单计价规范》（GB50500-2013）及2012年《广东省房屋建筑和市政修缮工程综合定额》等相关规定。国家及广东省、广州市有最新规定的，从其规定。</w:t>
      </w:r>
    </w:p>
    <w:p w14:paraId="229704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2.3其它计价依据：甲方的要求、图纸、招标文件。</w:t>
      </w:r>
    </w:p>
    <w:p w14:paraId="182110C0">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146" w:name="_Toc26963"/>
      <w:bookmarkStart w:id="147" w:name="_Toc5548"/>
      <w:bookmarkStart w:id="148" w:name="_Toc6622"/>
      <w:bookmarkStart w:id="149" w:name="_Toc3701"/>
      <w:bookmarkStart w:id="150" w:name="_Toc5477"/>
      <w:bookmarkStart w:id="151" w:name="_Toc32413"/>
      <w:bookmarkStart w:id="152" w:name="_Toc5918"/>
      <w:bookmarkStart w:id="153" w:name="_Toc13578"/>
      <w:bookmarkStart w:id="154" w:name="_Toc29664"/>
      <w:bookmarkStart w:id="155" w:name="_Toc4162"/>
      <w:bookmarkStart w:id="156" w:name="_Toc32592"/>
      <w:r>
        <w:rPr>
          <w:rFonts w:hint="eastAsia" w:ascii="宋体" w:hAnsi="宋体" w:eastAsia="宋体" w:cs="宋体"/>
          <w:b/>
          <w:color w:val="auto"/>
          <w:sz w:val="24"/>
          <w:szCs w:val="24"/>
          <w:highlight w:val="none"/>
        </w:rPr>
        <w:t>三、本合同适用的语言文字</w:t>
      </w:r>
      <w:bookmarkEnd w:id="146"/>
      <w:bookmarkEnd w:id="147"/>
      <w:bookmarkEnd w:id="148"/>
      <w:bookmarkEnd w:id="149"/>
      <w:bookmarkEnd w:id="150"/>
      <w:bookmarkEnd w:id="151"/>
      <w:bookmarkEnd w:id="152"/>
      <w:bookmarkEnd w:id="153"/>
      <w:bookmarkEnd w:id="154"/>
      <w:bookmarkEnd w:id="155"/>
      <w:bookmarkEnd w:id="156"/>
    </w:p>
    <w:p w14:paraId="78B013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及其补充协议、甲乙双方来往文件等均使用中文书写。使用其他文字书写的对双方均不具有法律约束力，但如翻译成中文并经双方法定代表人（或其委托代理人）签字或双方盖章确认的，则对双方均具有法律约束力。</w:t>
      </w:r>
    </w:p>
    <w:p w14:paraId="6C6EF6BF">
      <w:pPr>
        <w:widowControl w:val="0"/>
        <w:adjustRightInd w:val="0"/>
        <w:snapToGrid w:val="0"/>
        <w:spacing w:line="360" w:lineRule="auto"/>
        <w:ind w:firstLine="482" w:firstLineChars="200"/>
        <w:jc w:val="both"/>
        <w:outlineLvl w:val="0"/>
        <w:rPr>
          <w:rFonts w:hint="eastAsia" w:ascii="宋体" w:hAnsi="宋体" w:eastAsia="宋体" w:cs="宋体"/>
          <w:color w:val="auto"/>
          <w:sz w:val="24"/>
          <w:szCs w:val="24"/>
          <w:highlight w:val="none"/>
        </w:rPr>
      </w:pPr>
      <w:bookmarkStart w:id="157" w:name="_Toc6729"/>
      <w:bookmarkStart w:id="158" w:name="_Toc13619"/>
      <w:bookmarkStart w:id="159" w:name="_Toc10461"/>
      <w:bookmarkStart w:id="160" w:name="_Toc4547"/>
      <w:bookmarkStart w:id="161" w:name="_Toc12138"/>
      <w:bookmarkStart w:id="162" w:name="_Toc12155"/>
      <w:bookmarkStart w:id="163" w:name="_Toc19630"/>
      <w:bookmarkStart w:id="164" w:name="_Toc10766"/>
      <w:bookmarkStart w:id="165" w:name="_Toc28368"/>
      <w:bookmarkStart w:id="166" w:name="_Toc9163"/>
      <w:bookmarkStart w:id="167" w:name="_Toc4080"/>
      <w:r>
        <w:rPr>
          <w:rFonts w:hint="eastAsia" w:ascii="宋体" w:hAnsi="宋体" w:eastAsia="宋体" w:cs="宋体"/>
          <w:b/>
          <w:color w:val="auto"/>
          <w:sz w:val="24"/>
          <w:szCs w:val="24"/>
          <w:highlight w:val="none"/>
        </w:rPr>
        <w:t>四、服务内容及相关服务要求</w:t>
      </w:r>
      <w:bookmarkEnd w:id="157"/>
      <w:bookmarkEnd w:id="158"/>
      <w:bookmarkEnd w:id="159"/>
      <w:bookmarkEnd w:id="160"/>
      <w:bookmarkEnd w:id="161"/>
      <w:bookmarkEnd w:id="162"/>
      <w:bookmarkEnd w:id="163"/>
      <w:bookmarkEnd w:id="164"/>
      <w:bookmarkEnd w:id="165"/>
      <w:bookmarkEnd w:id="166"/>
      <w:bookmarkEnd w:id="167"/>
    </w:p>
    <w:p w14:paraId="0250B0D6">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4.1本项目</w:t>
      </w:r>
      <w:r>
        <w:rPr>
          <w:rFonts w:hint="eastAsia" w:ascii="宋体" w:hAnsi="宋体" w:eastAsia="宋体" w:cs="宋体"/>
          <w:b w:val="0"/>
          <w:bCs w:val="0"/>
          <w:color w:val="auto"/>
          <w:sz w:val="24"/>
          <w:szCs w:val="24"/>
          <w:highlight w:val="none"/>
          <w:shd w:val="clear" w:color="auto" w:fill="FFFFFF"/>
        </w:rPr>
        <w:t>工程造价咨询服务的主要内容</w:t>
      </w:r>
      <w:r>
        <w:rPr>
          <w:rFonts w:hint="eastAsia" w:ascii="宋体" w:hAnsi="宋体" w:eastAsia="宋体" w:cs="宋体"/>
          <w:b w:val="0"/>
          <w:bCs w:val="0"/>
          <w:color w:val="auto"/>
          <w:kern w:val="0"/>
          <w:sz w:val="24"/>
          <w:szCs w:val="24"/>
          <w:highlight w:val="none"/>
        </w:rPr>
        <w:t>具体如下：</w:t>
      </w:r>
    </w:p>
    <w:p w14:paraId="25187575">
      <w:pPr>
        <w:adjustRightInd w:val="0"/>
        <w:snapToGrid w:val="0"/>
        <w:spacing w:line="360" w:lineRule="auto"/>
        <w:ind w:firstLine="480" w:firstLineChars="200"/>
        <w:rPr>
          <w:rFonts w:hint="eastAsia" w:ascii="宋体" w:hAnsi="宋体" w:eastAsia="宋体" w:cs="宋体"/>
          <w:color w:val="auto"/>
          <w:kern w:val="0"/>
          <w:sz w:val="24"/>
          <w:szCs w:val="24"/>
          <w:highlight w:val="none"/>
        </w:rPr>
      </w:pPr>
    </w:p>
    <w:p w14:paraId="530B44D1">
      <w:pPr>
        <w:spacing w:line="360" w:lineRule="auto"/>
        <w:ind w:firstLine="420"/>
        <w:rPr>
          <w:rFonts w:hint="eastAsia" w:ascii="宋体" w:hAnsi="宋体" w:eastAsia="宋体" w:cs="宋体"/>
          <w:color w:val="auto"/>
          <w:kern w:val="0"/>
          <w:sz w:val="24"/>
          <w:szCs w:val="24"/>
          <w:highlight w:val="none"/>
        </w:rPr>
      </w:pPr>
    </w:p>
    <w:tbl>
      <w:tblPr>
        <w:tblStyle w:val="18"/>
        <w:tblW w:w="8669" w:type="dxa"/>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640"/>
        <w:gridCol w:w="1029"/>
        <w:gridCol w:w="7000"/>
      </w:tblGrid>
      <w:tr w14:paraId="17AB3CE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79" w:hRule="atLeast"/>
          <w:tblHeader/>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4566">
            <w:pPr>
              <w:keepNext w:val="0"/>
              <w:keepLines w:val="0"/>
              <w:widowControl/>
              <w:suppressLineNumbers w:val="0"/>
              <w:shd w:val="clear" w:color="auto" w:fill="FFFFFF"/>
              <w:spacing w:before="0" w:beforeAutospacing="0" w:after="0" w:afterAutospacing="0" w:line="273" w:lineRule="auto"/>
              <w:ind w:left="0" w:right="0"/>
              <w:jc w:val="center"/>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kern w:val="0"/>
                <w:szCs w:val="21"/>
                <w:highlight w:val="none"/>
                <w:shd w:val="clear" w:color="auto" w:fill="FFFFFF"/>
              </w:rPr>
              <w:t>序号</w:t>
            </w:r>
          </w:p>
        </w:tc>
        <w:tc>
          <w:tcPr>
            <w:tcW w:w="1029" w:type="dxa"/>
            <w:tcBorders>
              <w:top w:val="single" w:color="000000" w:sz="4" w:space="0"/>
              <w:left w:val="nil"/>
              <w:bottom w:val="single" w:color="000000" w:sz="4" w:space="0"/>
              <w:right w:val="single" w:color="000000" w:sz="4" w:space="0"/>
            </w:tcBorders>
            <w:shd w:val="clear" w:color="auto" w:fill="FFFFFF"/>
            <w:vAlign w:val="center"/>
          </w:tcPr>
          <w:p w14:paraId="52013BF8">
            <w:pPr>
              <w:keepNext w:val="0"/>
              <w:keepLines w:val="0"/>
              <w:widowControl/>
              <w:suppressLineNumbers w:val="0"/>
              <w:shd w:val="clear" w:color="auto" w:fill="FFFFFF"/>
              <w:spacing w:before="0" w:beforeAutospacing="0" w:after="0" w:afterAutospacing="0" w:line="273" w:lineRule="auto"/>
              <w:ind w:left="0" w:right="0"/>
              <w:jc w:val="center"/>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kern w:val="0"/>
                <w:szCs w:val="21"/>
                <w:highlight w:val="none"/>
                <w:shd w:val="clear" w:color="auto" w:fill="FFFFFF"/>
              </w:rPr>
              <w:t>阶段</w:t>
            </w:r>
          </w:p>
        </w:tc>
        <w:tc>
          <w:tcPr>
            <w:tcW w:w="7000" w:type="dxa"/>
            <w:tcBorders>
              <w:top w:val="single" w:color="000000" w:sz="4" w:space="0"/>
              <w:left w:val="nil"/>
              <w:bottom w:val="single" w:color="000000" w:sz="4" w:space="0"/>
              <w:right w:val="single" w:color="000000" w:sz="4" w:space="0"/>
            </w:tcBorders>
            <w:shd w:val="clear" w:color="auto" w:fill="FFFFFF"/>
            <w:vAlign w:val="center"/>
          </w:tcPr>
          <w:p w14:paraId="28011411">
            <w:pPr>
              <w:keepNext w:val="0"/>
              <w:keepLines w:val="0"/>
              <w:widowControl/>
              <w:suppressLineNumbers w:val="0"/>
              <w:shd w:val="clear" w:color="auto" w:fill="FFFFFF"/>
              <w:spacing w:before="0" w:beforeAutospacing="0" w:after="0" w:afterAutospacing="0" w:line="273" w:lineRule="auto"/>
              <w:ind w:left="0" w:right="0"/>
              <w:jc w:val="center"/>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kern w:val="0"/>
                <w:szCs w:val="21"/>
                <w:highlight w:val="none"/>
                <w:shd w:val="clear" w:color="auto" w:fill="FFFFFF"/>
              </w:rPr>
              <w:t>服务内容</w:t>
            </w:r>
          </w:p>
        </w:tc>
      </w:tr>
      <w:tr w14:paraId="5415BD2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15CFA">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rPr>
              <w:t>1</w:t>
            </w:r>
          </w:p>
        </w:tc>
        <w:tc>
          <w:tcPr>
            <w:tcW w:w="1029" w:type="dxa"/>
            <w:tcBorders>
              <w:top w:val="single" w:color="000000" w:sz="4" w:space="0"/>
              <w:left w:val="nil"/>
              <w:bottom w:val="single" w:color="000000" w:sz="4" w:space="0"/>
              <w:right w:val="single" w:color="000000" w:sz="4" w:space="0"/>
            </w:tcBorders>
            <w:shd w:val="clear" w:color="auto" w:fill="FFFFFF"/>
            <w:vAlign w:val="center"/>
          </w:tcPr>
          <w:p w14:paraId="7CF7F77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88"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估算</w:t>
            </w:r>
          </w:p>
          <w:p w14:paraId="0756C5E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88" w:lineRule="auto"/>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rPr>
              <w:t>阶段</w:t>
            </w:r>
            <w:r>
              <w:rPr>
                <w:rFonts w:hint="eastAsia" w:ascii="宋体" w:hAnsi="宋体" w:eastAsia="宋体" w:cs="宋体"/>
                <w:color w:val="auto"/>
                <w:kern w:val="0"/>
                <w:sz w:val="21"/>
                <w:szCs w:val="21"/>
                <w:highlight w:val="none"/>
                <w:lang w:val="en-US" w:eastAsia="zh-CN"/>
              </w:rPr>
              <w:t xml:space="preserve"> （如需）</w:t>
            </w:r>
          </w:p>
        </w:tc>
        <w:tc>
          <w:tcPr>
            <w:tcW w:w="7000" w:type="dxa"/>
            <w:tcBorders>
              <w:top w:val="single" w:color="000000" w:sz="4" w:space="0"/>
              <w:left w:val="nil"/>
              <w:bottom w:val="single" w:color="000000" w:sz="4" w:space="0"/>
              <w:right w:val="single" w:color="000000" w:sz="4" w:space="0"/>
            </w:tcBorders>
            <w:shd w:val="clear" w:color="auto" w:fill="FFFFFF"/>
            <w:vAlign w:val="center"/>
          </w:tcPr>
          <w:p w14:paraId="29992CBB">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参与可研方案、投资估算讨论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提供主材、设备市场信息，对估算造价提出建议</w:t>
            </w:r>
            <w:r>
              <w:rPr>
                <w:rFonts w:hint="eastAsia" w:ascii="宋体" w:hAnsi="宋体" w:eastAsia="宋体" w:cs="宋体"/>
                <w:color w:val="auto"/>
                <w:kern w:val="0"/>
                <w:sz w:val="21"/>
                <w:szCs w:val="21"/>
                <w:highlight w:val="none"/>
              </w:rPr>
              <w:t>（如</w:t>
            </w:r>
            <w:r>
              <w:rPr>
                <w:rFonts w:hint="eastAsia" w:ascii="宋体" w:hAnsi="宋体" w:eastAsia="宋体" w:cs="宋体"/>
                <w:color w:val="auto"/>
                <w:kern w:val="0"/>
                <w:sz w:val="21"/>
                <w:szCs w:val="21"/>
                <w:highlight w:val="none"/>
                <w:lang w:val="en-US" w:eastAsia="zh-CN"/>
              </w:rPr>
              <w:t>需</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p>
          <w:p w14:paraId="511331F9">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审核投资估算（如</w:t>
            </w:r>
            <w:r>
              <w:rPr>
                <w:rFonts w:hint="eastAsia" w:ascii="宋体" w:hAnsi="宋体" w:eastAsia="宋体" w:cs="宋体"/>
                <w:color w:val="auto"/>
                <w:kern w:val="0"/>
                <w:sz w:val="21"/>
                <w:szCs w:val="21"/>
                <w:highlight w:val="none"/>
                <w:lang w:val="en-US" w:eastAsia="zh-CN"/>
              </w:rPr>
              <w:t>需</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p>
          <w:p w14:paraId="06DC0ECA">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rightChars="0" w:hanging="51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编制或审核前期阶段相关</w:t>
            </w:r>
            <w:r>
              <w:rPr>
                <w:rFonts w:hint="eastAsia" w:ascii="宋体" w:hAnsi="宋体" w:eastAsia="宋体" w:cs="宋体"/>
                <w:color w:val="auto"/>
                <w:kern w:val="0"/>
                <w:sz w:val="21"/>
                <w:szCs w:val="21"/>
                <w:highlight w:val="none"/>
                <w:lang w:val="en-US" w:eastAsia="zh-CN"/>
              </w:rPr>
              <w:t>造价</w:t>
            </w:r>
            <w:r>
              <w:rPr>
                <w:rFonts w:hint="eastAsia" w:ascii="宋体" w:hAnsi="宋体" w:eastAsia="宋体" w:cs="宋体"/>
                <w:color w:val="auto"/>
                <w:kern w:val="0"/>
                <w:sz w:val="21"/>
                <w:szCs w:val="21"/>
                <w:highlight w:val="none"/>
              </w:rPr>
              <w:t>费用</w:t>
            </w:r>
            <w:r>
              <w:rPr>
                <w:rFonts w:hint="eastAsia" w:ascii="宋体" w:hAnsi="宋体" w:eastAsia="宋体" w:cs="宋体"/>
                <w:color w:val="auto"/>
                <w:kern w:val="0"/>
                <w:sz w:val="21"/>
                <w:szCs w:val="21"/>
                <w:highlight w:val="none"/>
                <w:lang w:val="en-US" w:eastAsia="zh-CN"/>
              </w:rPr>
              <w:t>测算文件（如需）。</w:t>
            </w:r>
          </w:p>
        </w:tc>
      </w:tr>
      <w:tr w14:paraId="6B481AB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1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BD806">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rPr>
              <w:t>2</w:t>
            </w:r>
          </w:p>
        </w:tc>
        <w:tc>
          <w:tcPr>
            <w:tcW w:w="1029" w:type="dxa"/>
            <w:tcBorders>
              <w:top w:val="single" w:color="000000" w:sz="4" w:space="0"/>
              <w:left w:val="nil"/>
              <w:bottom w:val="single" w:color="000000" w:sz="4" w:space="0"/>
              <w:right w:val="single" w:color="000000" w:sz="4" w:space="0"/>
            </w:tcBorders>
            <w:shd w:val="clear" w:color="auto" w:fill="FFFFFF"/>
            <w:vAlign w:val="center"/>
          </w:tcPr>
          <w:p w14:paraId="55DB0FFF">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right="0"/>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概算</w:t>
            </w:r>
          </w:p>
          <w:p w14:paraId="7815E3E8">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rPr>
              <w:t>阶段</w:t>
            </w:r>
          </w:p>
        </w:tc>
        <w:tc>
          <w:tcPr>
            <w:tcW w:w="7000" w:type="dxa"/>
            <w:tcBorders>
              <w:top w:val="single" w:color="000000" w:sz="4" w:space="0"/>
              <w:left w:val="nil"/>
              <w:bottom w:val="single" w:color="000000" w:sz="4" w:space="0"/>
              <w:right w:val="single" w:color="000000" w:sz="4" w:space="0"/>
            </w:tcBorders>
            <w:shd w:val="clear" w:color="auto" w:fill="FFFFFF"/>
            <w:vAlign w:val="center"/>
          </w:tcPr>
          <w:p w14:paraId="2BCB9C39">
            <w:pPr>
              <w:keepNext w:val="0"/>
              <w:keepLines w:val="0"/>
              <w:pageBreakBefore w:val="0"/>
              <w:widowControl w:val="0"/>
              <w:numPr>
                <w:ilvl w:val="0"/>
                <w:numId w:val="2"/>
              </w:numPr>
              <w:suppressLineNumbers w:val="0"/>
              <w:kinsoku/>
              <w:wordWrap/>
              <w:overflowPunct/>
              <w:topLinePunct w:val="0"/>
              <w:autoSpaceDE w:val="0"/>
              <w:autoSpaceDN w:val="0"/>
              <w:bidi w:val="0"/>
              <w:adjustRightInd w:val="0"/>
              <w:snapToGrid w:val="0"/>
              <w:spacing w:beforeAutospacing="0" w:afterAutospacing="0" w:line="288" w:lineRule="auto"/>
              <w:ind w:left="510" w:right="0" w:hanging="51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负责审核</w:t>
            </w:r>
            <w:r>
              <w:rPr>
                <w:rFonts w:hint="eastAsia" w:ascii="宋体" w:hAnsi="宋体" w:eastAsia="宋体" w:cs="宋体"/>
                <w:color w:val="auto"/>
                <w:kern w:val="0"/>
                <w:sz w:val="21"/>
                <w:szCs w:val="21"/>
                <w:highlight w:val="none"/>
                <w:lang w:val="en-US" w:eastAsia="zh-CN"/>
              </w:rPr>
              <w:t>设计</w:t>
            </w:r>
            <w:r>
              <w:rPr>
                <w:rFonts w:hint="eastAsia" w:ascii="宋体" w:hAnsi="宋体" w:eastAsia="宋体" w:cs="宋体"/>
                <w:color w:val="auto"/>
                <w:kern w:val="0"/>
                <w:sz w:val="21"/>
                <w:szCs w:val="21"/>
                <w:highlight w:val="none"/>
              </w:rPr>
              <w:t>概算，按</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要求提交概算</w:t>
            </w:r>
            <w:r>
              <w:rPr>
                <w:rFonts w:hint="eastAsia" w:ascii="宋体" w:hAnsi="宋体" w:eastAsia="宋体" w:cs="宋体"/>
                <w:color w:val="auto"/>
                <w:kern w:val="0"/>
                <w:sz w:val="21"/>
                <w:szCs w:val="21"/>
                <w:highlight w:val="none"/>
                <w:lang w:val="en-US" w:eastAsia="zh-CN"/>
              </w:rPr>
              <w:t>审核</w:t>
            </w:r>
            <w:r>
              <w:rPr>
                <w:rFonts w:hint="eastAsia" w:ascii="宋体" w:hAnsi="宋体" w:eastAsia="宋体" w:cs="宋体"/>
                <w:snapToGrid/>
                <w:color w:val="auto"/>
                <w:kern w:val="0"/>
                <w:sz w:val="21"/>
                <w:szCs w:val="21"/>
                <w:highlight w:val="none"/>
                <w:lang w:val="en-US" w:eastAsia="zh-CN"/>
              </w:rPr>
              <w:t>成果文件；</w:t>
            </w:r>
          </w:p>
          <w:p w14:paraId="688F2D2E">
            <w:pPr>
              <w:keepNext w:val="0"/>
              <w:keepLines w:val="0"/>
              <w:pageBreakBefore w:val="0"/>
              <w:widowControl w:val="0"/>
              <w:numPr>
                <w:ilvl w:val="0"/>
                <w:numId w:val="2"/>
              </w:numPr>
              <w:suppressLineNumbers w:val="0"/>
              <w:kinsoku/>
              <w:wordWrap/>
              <w:overflowPunct/>
              <w:topLinePunct w:val="0"/>
              <w:autoSpaceDE w:val="0"/>
              <w:autoSpaceDN w:val="0"/>
              <w:bidi w:val="0"/>
              <w:adjustRightInd w:val="0"/>
              <w:snapToGrid w:val="0"/>
              <w:spacing w:beforeAutospacing="0" w:afterAutospacing="0" w:line="288" w:lineRule="auto"/>
              <w:ind w:left="510" w:right="0" w:hanging="51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负责提交材料设备汇总表，对设计中采用的主材、设备等提供市场信息，提出优化建议</w:t>
            </w:r>
            <w:r>
              <w:rPr>
                <w:rFonts w:hint="eastAsia" w:ascii="宋体" w:hAnsi="宋体" w:eastAsia="宋体" w:cs="宋体"/>
                <w:color w:val="auto"/>
                <w:kern w:val="0"/>
                <w:sz w:val="21"/>
                <w:szCs w:val="21"/>
                <w:highlight w:val="none"/>
                <w:lang w:eastAsia="zh-CN"/>
              </w:rPr>
              <w:t>；</w:t>
            </w:r>
          </w:p>
          <w:p w14:paraId="75A27C06">
            <w:pPr>
              <w:keepNext w:val="0"/>
              <w:keepLines w:val="0"/>
              <w:pageBreakBefore w:val="0"/>
              <w:widowControl w:val="0"/>
              <w:numPr>
                <w:ilvl w:val="0"/>
                <w:numId w:val="2"/>
              </w:numPr>
              <w:suppressLineNumbers w:val="0"/>
              <w:kinsoku/>
              <w:wordWrap/>
              <w:overflowPunct/>
              <w:topLinePunct w:val="0"/>
              <w:autoSpaceDE w:val="0"/>
              <w:autoSpaceDN w:val="0"/>
              <w:bidi w:val="0"/>
              <w:adjustRightInd w:val="0"/>
              <w:snapToGrid w:val="0"/>
              <w:spacing w:beforeAutospacing="0" w:afterAutospacing="0" w:line="288" w:lineRule="auto"/>
              <w:ind w:left="510" w:right="0" w:hanging="51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跟进概算</w:t>
            </w:r>
            <w:r>
              <w:rPr>
                <w:rFonts w:hint="eastAsia" w:ascii="宋体" w:hAnsi="宋体" w:eastAsia="宋体" w:cs="宋体"/>
                <w:color w:val="auto"/>
                <w:sz w:val="21"/>
                <w:szCs w:val="21"/>
                <w:highlight w:val="none"/>
                <w:lang w:val="en-US" w:eastAsia="zh-CN"/>
              </w:rPr>
              <w:t>审核过程对数、结果确认等</w:t>
            </w:r>
            <w:r>
              <w:rPr>
                <w:rFonts w:hint="eastAsia" w:ascii="宋体" w:hAnsi="宋体" w:eastAsia="宋体" w:cs="宋体"/>
                <w:color w:val="auto"/>
                <w:sz w:val="21"/>
                <w:szCs w:val="21"/>
                <w:highlight w:val="none"/>
              </w:rPr>
              <w:t>工作，及时反馈意见，</w:t>
            </w:r>
            <w:r>
              <w:rPr>
                <w:rFonts w:hint="eastAsia" w:ascii="宋体" w:hAnsi="宋体" w:eastAsia="宋体" w:cs="宋体"/>
                <w:color w:val="auto"/>
                <w:sz w:val="21"/>
                <w:szCs w:val="21"/>
                <w:highlight w:val="none"/>
                <w:lang w:val="en-US" w:eastAsia="zh-CN"/>
              </w:rPr>
              <w:t>按时保质完成概算审核；</w:t>
            </w:r>
          </w:p>
          <w:p w14:paraId="25F75575">
            <w:pPr>
              <w:keepNext w:val="0"/>
              <w:keepLines w:val="0"/>
              <w:pageBreakBefore w:val="0"/>
              <w:widowControl w:val="0"/>
              <w:numPr>
                <w:ilvl w:val="0"/>
                <w:numId w:val="2"/>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rightChars="0" w:hanging="510" w:firstLineChars="0"/>
              <w:contextualSpacing/>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根据批准的概算，负责</w:t>
            </w:r>
            <w:r>
              <w:rPr>
                <w:rFonts w:hint="eastAsia" w:ascii="宋体" w:hAnsi="宋体" w:eastAsia="宋体" w:cs="宋体"/>
                <w:color w:val="auto"/>
                <w:kern w:val="0"/>
                <w:sz w:val="21"/>
                <w:szCs w:val="21"/>
                <w:highlight w:val="none"/>
                <w:lang w:val="en-US" w:eastAsia="zh-CN"/>
              </w:rPr>
              <w:t>分解</w:t>
            </w:r>
            <w:r>
              <w:rPr>
                <w:rFonts w:hint="eastAsia" w:ascii="宋体" w:hAnsi="宋体" w:eastAsia="宋体" w:cs="宋体"/>
                <w:color w:val="auto"/>
                <w:kern w:val="0"/>
                <w:sz w:val="21"/>
                <w:szCs w:val="21"/>
                <w:highlight w:val="none"/>
              </w:rPr>
              <w:t>项目各专业工程和各阶段造价限额设计量化指标</w:t>
            </w:r>
            <w:r>
              <w:rPr>
                <w:rFonts w:hint="eastAsia" w:ascii="宋体" w:hAnsi="宋体" w:eastAsia="宋体" w:cs="宋体"/>
                <w:color w:val="auto"/>
                <w:kern w:val="0"/>
                <w:sz w:val="21"/>
                <w:szCs w:val="21"/>
                <w:highlight w:val="none"/>
                <w:lang w:eastAsia="zh-CN"/>
              </w:rPr>
              <w:t>。</w:t>
            </w:r>
          </w:p>
        </w:tc>
      </w:tr>
      <w:tr w14:paraId="5634590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1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D316">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rPr>
              <w:t>3</w:t>
            </w:r>
          </w:p>
        </w:tc>
        <w:tc>
          <w:tcPr>
            <w:tcW w:w="1029" w:type="dxa"/>
            <w:tcBorders>
              <w:top w:val="single" w:color="000000" w:sz="4" w:space="0"/>
              <w:left w:val="nil"/>
              <w:bottom w:val="single" w:color="000000" w:sz="4" w:space="0"/>
              <w:right w:val="single" w:color="000000" w:sz="4" w:space="0"/>
            </w:tcBorders>
            <w:shd w:val="clear" w:color="auto" w:fill="FFFFFF"/>
            <w:vAlign w:val="center"/>
          </w:tcPr>
          <w:p w14:paraId="0AC71F43">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rPr>
              <w:t>施工图预算阶段</w:t>
            </w:r>
          </w:p>
        </w:tc>
        <w:tc>
          <w:tcPr>
            <w:tcW w:w="7000" w:type="dxa"/>
            <w:tcBorders>
              <w:top w:val="single" w:color="000000" w:sz="4" w:space="0"/>
              <w:left w:val="nil"/>
              <w:bottom w:val="single" w:color="000000" w:sz="4" w:space="0"/>
              <w:right w:val="single" w:color="000000" w:sz="4" w:space="0"/>
            </w:tcBorders>
            <w:shd w:val="clear" w:color="auto" w:fill="FFFFFF"/>
            <w:vAlign w:val="center"/>
          </w:tcPr>
          <w:p w14:paraId="1D0332C5">
            <w:pPr>
              <w:keepNext w:val="0"/>
              <w:keepLines w:val="0"/>
              <w:pageBreakBefore w:val="0"/>
              <w:widowControl w:val="0"/>
              <w:numPr>
                <w:ilvl w:val="0"/>
                <w:numId w:val="3"/>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w:t>
            </w:r>
            <w:r>
              <w:rPr>
                <w:rFonts w:hint="eastAsia" w:ascii="宋体" w:hAnsi="宋体" w:eastAsia="宋体" w:cs="宋体"/>
                <w:color w:val="auto"/>
                <w:sz w:val="21"/>
                <w:szCs w:val="21"/>
                <w:highlight w:val="none"/>
                <w:lang w:val="en-US" w:eastAsia="zh-CN"/>
              </w:rPr>
              <w:t>编制</w:t>
            </w:r>
            <w:r>
              <w:rPr>
                <w:rFonts w:hint="eastAsia" w:ascii="宋体" w:hAnsi="宋体" w:eastAsia="宋体" w:cs="宋体"/>
                <w:snapToGrid/>
                <w:color w:val="auto"/>
                <w:kern w:val="2"/>
                <w:sz w:val="21"/>
                <w:szCs w:val="21"/>
                <w:highlight w:val="none"/>
                <w:lang w:val="en-US" w:eastAsia="zh-CN"/>
              </w:rPr>
              <w:t>/</w:t>
            </w:r>
            <w:r>
              <w:rPr>
                <w:rFonts w:hint="eastAsia" w:ascii="宋体" w:hAnsi="宋体" w:eastAsia="宋体" w:cs="宋体"/>
                <w:color w:val="auto"/>
                <w:kern w:val="0"/>
                <w:sz w:val="21"/>
                <w:szCs w:val="21"/>
                <w:highlight w:val="none"/>
              </w:rPr>
              <w:t>审核施工图预算（含设计图纸修改后调整相应预算），按</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要求提交</w:t>
            </w:r>
            <w:r>
              <w:rPr>
                <w:rFonts w:hint="eastAsia" w:ascii="宋体" w:hAnsi="宋体" w:eastAsia="宋体" w:cs="宋体"/>
                <w:color w:val="auto"/>
                <w:kern w:val="0"/>
                <w:sz w:val="21"/>
                <w:szCs w:val="21"/>
                <w:highlight w:val="none"/>
                <w:lang w:val="en-US" w:eastAsia="zh-CN"/>
              </w:rPr>
              <w:t>预算编审成果文件；</w:t>
            </w:r>
          </w:p>
          <w:p w14:paraId="5087BF75">
            <w:pPr>
              <w:keepNext w:val="0"/>
              <w:keepLines w:val="0"/>
              <w:pageBreakBefore w:val="0"/>
              <w:widowControl w:val="0"/>
              <w:numPr>
                <w:ilvl w:val="0"/>
                <w:numId w:val="3"/>
              </w:numPr>
              <w:kinsoku/>
              <w:wordWrap/>
              <w:overflowPunct/>
              <w:topLinePunct w:val="0"/>
              <w:autoSpaceDE w:val="0"/>
              <w:autoSpaceDN w:val="0"/>
              <w:bidi w:val="0"/>
              <w:adjustRightInd w:val="0"/>
              <w:snapToGrid w:val="0"/>
              <w:spacing w:afterAutospacing="0" w:line="288" w:lineRule="auto"/>
              <w:ind w:left="510" w:leftChars="0" w:hanging="510" w:firstLineChars="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负责提交材料设备汇总表，对设计中采用的主材、设备等提供市场信息，提出优化建议</w:t>
            </w:r>
            <w:r>
              <w:rPr>
                <w:rFonts w:hint="eastAsia" w:ascii="宋体" w:hAnsi="宋体" w:eastAsia="宋体" w:cs="宋体"/>
                <w:color w:val="auto"/>
                <w:kern w:val="0"/>
                <w:sz w:val="21"/>
                <w:szCs w:val="21"/>
                <w:highlight w:val="none"/>
                <w:lang w:eastAsia="zh-CN"/>
              </w:rPr>
              <w:t>。</w:t>
            </w:r>
          </w:p>
        </w:tc>
      </w:tr>
      <w:tr w14:paraId="44831B7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BBE6">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rPr>
              <w:t>4</w:t>
            </w:r>
          </w:p>
        </w:tc>
        <w:tc>
          <w:tcPr>
            <w:tcW w:w="1029" w:type="dxa"/>
            <w:tcBorders>
              <w:top w:val="single" w:color="000000" w:sz="4" w:space="0"/>
              <w:left w:val="nil"/>
              <w:bottom w:val="single" w:color="000000" w:sz="4" w:space="0"/>
              <w:right w:val="single" w:color="000000" w:sz="4" w:space="0"/>
            </w:tcBorders>
            <w:shd w:val="clear" w:color="auto" w:fill="FFFFFF"/>
            <w:vAlign w:val="center"/>
          </w:tcPr>
          <w:p w14:paraId="0B893539">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right="0"/>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w:t>
            </w:r>
          </w:p>
          <w:p w14:paraId="21E17149">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rPr>
              <w:t>阶段</w:t>
            </w:r>
          </w:p>
        </w:tc>
        <w:tc>
          <w:tcPr>
            <w:tcW w:w="7000" w:type="dxa"/>
            <w:tcBorders>
              <w:top w:val="single" w:color="000000" w:sz="4" w:space="0"/>
              <w:left w:val="nil"/>
              <w:bottom w:val="single" w:color="000000" w:sz="4" w:space="0"/>
              <w:right w:val="single" w:color="000000" w:sz="4" w:space="0"/>
            </w:tcBorders>
            <w:shd w:val="clear" w:color="auto" w:fill="FFFFFF"/>
            <w:vAlign w:val="center"/>
          </w:tcPr>
          <w:p w14:paraId="56C9ECB8">
            <w:pPr>
              <w:keepNext w:val="0"/>
              <w:keepLines w:val="0"/>
              <w:pageBreakBefore w:val="0"/>
              <w:widowControl w:val="0"/>
              <w:numPr>
                <w:ilvl w:val="0"/>
                <w:numId w:val="4"/>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负责按甲方要求编制</w:t>
            </w:r>
            <w:r>
              <w:rPr>
                <w:rFonts w:hint="eastAsia" w:ascii="宋体" w:hAnsi="宋体" w:eastAsia="宋体" w:cs="宋体"/>
                <w:color w:val="auto"/>
                <w:kern w:val="0"/>
                <w:sz w:val="21"/>
                <w:szCs w:val="21"/>
                <w:highlight w:val="none"/>
                <w:lang w:val="en-US" w:eastAsia="zh-CN"/>
              </w:rPr>
              <w:t>/审核</w:t>
            </w:r>
            <w:r>
              <w:rPr>
                <w:rFonts w:hint="eastAsia" w:ascii="宋体" w:hAnsi="宋体" w:eastAsia="宋体" w:cs="宋体"/>
                <w:color w:val="auto"/>
                <w:kern w:val="0"/>
                <w:sz w:val="21"/>
                <w:szCs w:val="21"/>
                <w:highlight w:val="none"/>
                <w:lang w:eastAsia="zh-CN"/>
              </w:rPr>
              <w:t>招标工程量清单及招标控制价，负责进行市场调查、询价，在甲方指定地点进行对数、编制或调整等；</w:t>
            </w:r>
          </w:p>
          <w:p w14:paraId="26DECD45">
            <w:pPr>
              <w:keepNext w:val="0"/>
              <w:keepLines w:val="0"/>
              <w:pageBreakBefore w:val="0"/>
              <w:widowControl w:val="0"/>
              <w:numPr>
                <w:ilvl w:val="0"/>
                <w:numId w:val="4"/>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负责根据设计图纸及技术规范、用户需求书，编制</w:t>
            </w:r>
            <w:r>
              <w:rPr>
                <w:rFonts w:hint="eastAsia" w:ascii="宋体" w:hAnsi="宋体" w:eastAsia="宋体" w:cs="宋体"/>
                <w:color w:val="auto"/>
                <w:kern w:val="0"/>
                <w:sz w:val="21"/>
                <w:szCs w:val="21"/>
                <w:highlight w:val="none"/>
                <w:lang w:val="en-US" w:eastAsia="zh-CN"/>
              </w:rPr>
              <w:t>或审核货物（包括但不限于</w:t>
            </w:r>
            <w:r>
              <w:rPr>
                <w:rFonts w:hint="eastAsia" w:ascii="宋体" w:hAnsi="宋体" w:eastAsia="宋体" w:cs="宋体"/>
                <w:color w:val="auto"/>
                <w:kern w:val="0"/>
                <w:sz w:val="21"/>
                <w:szCs w:val="21"/>
                <w:highlight w:val="none"/>
              </w:rPr>
              <w:t>设备、材料</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招标（采购）预算及招标（采购）控制价；</w:t>
            </w:r>
          </w:p>
          <w:p w14:paraId="25CEC6A4">
            <w:pPr>
              <w:keepNext w:val="0"/>
              <w:keepLines w:val="0"/>
              <w:pageBreakBefore w:val="0"/>
              <w:widowControl w:val="0"/>
              <w:numPr>
                <w:ilvl w:val="0"/>
                <w:numId w:val="4"/>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负责编制或审核服务招标（采购）预算、招标控制价</w:t>
            </w:r>
            <w:r>
              <w:rPr>
                <w:rFonts w:hint="eastAsia" w:ascii="宋体" w:hAnsi="宋体" w:eastAsia="宋体" w:cs="宋体"/>
                <w:color w:val="auto"/>
                <w:kern w:val="0"/>
                <w:sz w:val="21"/>
                <w:szCs w:val="21"/>
                <w:highlight w:val="none"/>
                <w:lang w:eastAsia="zh-CN"/>
              </w:rPr>
              <w:t>；</w:t>
            </w:r>
          </w:p>
          <w:p w14:paraId="6CCE8B0D">
            <w:pPr>
              <w:keepNext w:val="0"/>
              <w:keepLines w:val="0"/>
              <w:pageBreakBefore w:val="0"/>
              <w:widowControl w:val="0"/>
              <w:numPr>
                <w:ilvl w:val="0"/>
                <w:numId w:val="4"/>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负责对投标人等相关单位提出的造价问题的解答。按广州市建设工程造价管理站招标控制价备案要求提供造价文件（含编制说明、最高投标限价公布函、招标控制价软件版、EXCEL版、XML（cos）版、指标分析表等），并会同招标代理单位完成招标控制价备案工作</w:t>
            </w:r>
            <w:r>
              <w:rPr>
                <w:rFonts w:hint="eastAsia" w:ascii="宋体" w:hAnsi="宋体" w:eastAsia="宋体" w:cs="宋体"/>
                <w:color w:val="auto"/>
                <w:kern w:val="0"/>
                <w:sz w:val="21"/>
                <w:szCs w:val="21"/>
                <w:highlight w:val="none"/>
                <w:lang w:eastAsia="zh-CN"/>
              </w:rPr>
              <w:t>；</w:t>
            </w:r>
          </w:p>
          <w:p w14:paraId="563F8094">
            <w:pPr>
              <w:keepNext w:val="0"/>
              <w:keepLines w:val="0"/>
              <w:pageBreakBefore w:val="0"/>
              <w:widowControl w:val="0"/>
              <w:numPr>
                <w:ilvl w:val="0"/>
                <w:numId w:val="4"/>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负责对中标承建（服务）单位的经济标文件或报价书等进行分析和汇总，提出造价控制建议，</w:t>
            </w:r>
            <w:r>
              <w:rPr>
                <w:rFonts w:hint="eastAsia" w:ascii="宋体" w:hAnsi="宋体" w:eastAsia="宋体" w:cs="宋体"/>
                <w:color w:val="auto"/>
                <w:kern w:val="0"/>
                <w:sz w:val="21"/>
                <w:szCs w:val="21"/>
                <w:highlight w:val="none"/>
                <w:lang w:val="en-US" w:eastAsia="zh-CN"/>
              </w:rPr>
              <w:t>出具工程量清单复核</w:t>
            </w:r>
            <w:r>
              <w:rPr>
                <w:rFonts w:hint="eastAsia" w:ascii="宋体" w:hAnsi="宋体" w:eastAsia="宋体" w:cs="宋体"/>
                <w:color w:val="auto"/>
                <w:kern w:val="0"/>
                <w:sz w:val="21"/>
                <w:szCs w:val="21"/>
                <w:highlight w:val="none"/>
              </w:rPr>
              <w:t>报告</w:t>
            </w:r>
            <w:r>
              <w:rPr>
                <w:rFonts w:hint="eastAsia" w:ascii="宋体" w:hAnsi="宋体" w:eastAsia="宋体" w:cs="宋体"/>
                <w:color w:val="auto"/>
                <w:kern w:val="0"/>
                <w:sz w:val="21"/>
                <w:szCs w:val="21"/>
                <w:highlight w:val="none"/>
                <w:lang w:eastAsia="zh-CN"/>
              </w:rPr>
              <w:t>；</w:t>
            </w:r>
          </w:p>
          <w:p w14:paraId="705E70D2">
            <w:pPr>
              <w:keepNext w:val="0"/>
              <w:keepLines w:val="0"/>
              <w:pageBreakBefore w:val="0"/>
              <w:widowControl w:val="0"/>
              <w:numPr>
                <w:ilvl w:val="0"/>
                <w:numId w:val="4"/>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rPr>
              <w:t>负责对合同方式和可能存在的风险因素及解决办法等提出合理化建议供</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参考</w:t>
            </w:r>
            <w:r>
              <w:rPr>
                <w:rFonts w:hint="eastAsia" w:ascii="宋体" w:hAnsi="宋体" w:eastAsia="宋体" w:cs="宋体"/>
                <w:color w:val="auto"/>
                <w:kern w:val="0"/>
                <w:sz w:val="21"/>
                <w:szCs w:val="21"/>
                <w:highlight w:val="none"/>
                <w:lang w:eastAsia="zh-CN"/>
              </w:rPr>
              <w:t>；</w:t>
            </w:r>
          </w:p>
          <w:p w14:paraId="7B1AD018">
            <w:pPr>
              <w:keepNext w:val="0"/>
              <w:keepLines w:val="0"/>
              <w:pageBreakBefore w:val="0"/>
              <w:widowControl w:val="0"/>
              <w:numPr>
                <w:ilvl w:val="0"/>
                <w:numId w:val="4"/>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rightChars="0" w:hanging="510" w:firstLineChars="0"/>
              <w:contextualSpacing/>
              <w:jc w:val="both"/>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lang w:val="en-US" w:eastAsia="zh-CN"/>
              </w:rPr>
              <w:t>协助各项招标、采购其他工作。</w:t>
            </w:r>
          </w:p>
        </w:tc>
      </w:tr>
      <w:tr w14:paraId="519FBB9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182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A30C4">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rPr>
              <w:t>5</w:t>
            </w:r>
          </w:p>
        </w:tc>
        <w:tc>
          <w:tcPr>
            <w:tcW w:w="1029" w:type="dxa"/>
            <w:tcBorders>
              <w:top w:val="single" w:color="000000" w:sz="4" w:space="0"/>
              <w:left w:val="nil"/>
              <w:bottom w:val="single" w:color="000000" w:sz="4" w:space="0"/>
              <w:right w:val="single" w:color="000000" w:sz="4" w:space="0"/>
            </w:tcBorders>
            <w:shd w:val="clear" w:color="auto" w:fill="FFFFFF"/>
            <w:vAlign w:val="center"/>
          </w:tcPr>
          <w:p w14:paraId="0A2DE903">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right="0"/>
              <w:contextualSpacing/>
              <w:jc w:val="center"/>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施工</w:t>
            </w:r>
          </w:p>
          <w:p w14:paraId="69CF49B4">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rPr>
              <w:t>阶段</w:t>
            </w:r>
          </w:p>
        </w:tc>
        <w:tc>
          <w:tcPr>
            <w:tcW w:w="7000" w:type="dxa"/>
            <w:tcBorders>
              <w:top w:val="single" w:color="000000" w:sz="4" w:space="0"/>
              <w:left w:val="nil"/>
              <w:bottom w:val="single" w:color="000000" w:sz="4" w:space="0"/>
              <w:right w:val="single" w:color="000000" w:sz="4" w:space="0"/>
            </w:tcBorders>
            <w:shd w:val="clear" w:color="auto" w:fill="FFFFFF"/>
            <w:vAlign w:val="center"/>
          </w:tcPr>
          <w:p w14:paraId="3D6639F7">
            <w:pPr>
              <w:keepNext w:val="0"/>
              <w:keepLines w:val="0"/>
              <w:pageBreakBefore w:val="0"/>
              <w:widowControl w:val="0"/>
              <w:numPr>
                <w:ilvl w:val="0"/>
                <w:numId w:val="5"/>
              </w:numPr>
              <w:kinsoku/>
              <w:wordWrap/>
              <w:overflowPunct/>
              <w:topLinePunct w:val="0"/>
              <w:autoSpaceDE w:val="0"/>
              <w:autoSpaceDN w:val="0"/>
              <w:bidi w:val="0"/>
              <w:adjustRightInd w:val="0"/>
              <w:snapToGrid w:val="0"/>
              <w:spacing w:line="288" w:lineRule="auto"/>
              <w:ind w:left="510" w:leftChars="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负责主材单价、综合单价、</w:t>
            </w:r>
            <w:r>
              <w:rPr>
                <w:rFonts w:hint="eastAsia" w:ascii="宋体" w:hAnsi="宋体" w:eastAsia="宋体" w:cs="宋体"/>
                <w:color w:val="auto"/>
                <w:kern w:val="0"/>
                <w:sz w:val="21"/>
                <w:szCs w:val="21"/>
                <w:highlight w:val="none"/>
                <w:lang w:val="en-US" w:eastAsia="zh-CN"/>
              </w:rPr>
              <w:t>设计</w:t>
            </w:r>
            <w:r>
              <w:rPr>
                <w:rFonts w:hint="eastAsia" w:ascii="宋体" w:hAnsi="宋体" w:eastAsia="宋体" w:cs="宋体"/>
                <w:color w:val="auto"/>
                <w:kern w:val="0"/>
                <w:sz w:val="21"/>
                <w:szCs w:val="21"/>
                <w:highlight w:val="none"/>
              </w:rPr>
              <w:t>变更</w:t>
            </w:r>
            <w:r>
              <w:rPr>
                <w:rFonts w:hint="eastAsia" w:ascii="宋体" w:hAnsi="宋体" w:eastAsia="宋体" w:cs="宋体"/>
                <w:color w:val="auto"/>
                <w:kern w:val="0"/>
                <w:sz w:val="21"/>
                <w:szCs w:val="21"/>
                <w:highlight w:val="none"/>
                <w:lang w:val="en-US" w:eastAsia="zh-CN"/>
              </w:rPr>
              <w:t>预算</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rPr>
              <w:t>签证</w:t>
            </w:r>
            <w:r>
              <w:rPr>
                <w:rFonts w:hint="eastAsia" w:ascii="宋体" w:hAnsi="宋体" w:eastAsia="宋体" w:cs="宋体"/>
                <w:color w:val="auto"/>
                <w:kern w:val="0"/>
                <w:sz w:val="21"/>
                <w:szCs w:val="21"/>
                <w:highlight w:val="none"/>
                <w:lang w:val="en-US" w:eastAsia="zh-CN"/>
              </w:rPr>
              <w:t>预算</w:t>
            </w:r>
            <w:r>
              <w:rPr>
                <w:rFonts w:hint="eastAsia" w:ascii="宋体" w:hAnsi="宋体" w:eastAsia="宋体" w:cs="宋体"/>
                <w:color w:val="auto"/>
                <w:kern w:val="0"/>
                <w:sz w:val="21"/>
                <w:szCs w:val="21"/>
                <w:highlight w:val="none"/>
              </w:rPr>
              <w:t>和合同变更</w:t>
            </w:r>
            <w:r>
              <w:rPr>
                <w:rFonts w:hint="eastAsia" w:ascii="宋体" w:hAnsi="宋体" w:eastAsia="宋体" w:cs="宋体"/>
                <w:color w:val="auto"/>
                <w:kern w:val="0"/>
                <w:sz w:val="21"/>
                <w:szCs w:val="21"/>
                <w:highlight w:val="none"/>
                <w:lang w:val="en-US" w:eastAsia="zh-CN"/>
              </w:rPr>
              <w:t>价款</w:t>
            </w:r>
            <w:r>
              <w:rPr>
                <w:rFonts w:hint="eastAsia" w:ascii="宋体" w:hAnsi="宋体" w:eastAsia="宋体" w:cs="宋体"/>
                <w:color w:val="auto"/>
                <w:kern w:val="0"/>
                <w:sz w:val="21"/>
                <w:szCs w:val="21"/>
                <w:highlight w:val="none"/>
              </w:rPr>
              <w:t>等的编制或审核</w:t>
            </w:r>
            <w:r>
              <w:rPr>
                <w:rFonts w:hint="eastAsia" w:ascii="宋体" w:hAnsi="宋体" w:eastAsia="宋体" w:cs="宋体"/>
                <w:color w:val="auto"/>
                <w:kern w:val="0"/>
                <w:sz w:val="21"/>
                <w:szCs w:val="21"/>
                <w:highlight w:val="none"/>
                <w:lang w:eastAsia="zh-CN"/>
              </w:rPr>
              <w:t>；</w:t>
            </w:r>
          </w:p>
          <w:p w14:paraId="45DA4ED9">
            <w:pPr>
              <w:keepNext w:val="0"/>
              <w:keepLines w:val="0"/>
              <w:pageBreakBefore w:val="0"/>
              <w:widowControl w:val="0"/>
              <w:numPr>
                <w:ilvl w:val="0"/>
                <w:numId w:val="5"/>
              </w:numPr>
              <w:kinsoku/>
              <w:wordWrap/>
              <w:overflowPunct/>
              <w:topLinePunct w:val="0"/>
              <w:autoSpaceDE w:val="0"/>
              <w:autoSpaceDN w:val="0"/>
              <w:bidi w:val="0"/>
              <w:adjustRightInd w:val="0"/>
              <w:snapToGrid w:val="0"/>
              <w:spacing w:line="288" w:lineRule="auto"/>
              <w:ind w:left="510" w:leftChars="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参与</w:t>
            </w:r>
            <w:r>
              <w:rPr>
                <w:rFonts w:hint="eastAsia" w:ascii="宋体" w:hAnsi="宋体" w:eastAsia="宋体" w:cs="宋体"/>
                <w:color w:val="auto"/>
                <w:kern w:val="0"/>
                <w:sz w:val="21"/>
                <w:szCs w:val="21"/>
                <w:highlight w:val="none"/>
              </w:rPr>
              <w:t>材料设备看样定板</w:t>
            </w:r>
            <w:r>
              <w:rPr>
                <w:rFonts w:hint="eastAsia" w:ascii="宋体" w:hAnsi="宋体" w:eastAsia="宋体" w:cs="宋体"/>
                <w:color w:val="auto"/>
                <w:kern w:val="0"/>
                <w:sz w:val="21"/>
                <w:szCs w:val="21"/>
                <w:highlight w:val="none"/>
                <w:lang w:val="en-US" w:eastAsia="zh-CN"/>
              </w:rPr>
              <w:t>及并对相关资料审核；</w:t>
            </w:r>
          </w:p>
          <w:p w14:paraId="76948FE1">
            <w:pPr>
              <w:keepNext w:val="0"/>
              <w:keepLines w:val="0"/>
              <w:pageBreakBefore w:val="0"/>
              <w:widowControl w:val="0"/>
              <w:numPr>
                <w:ilvl w:val="0"/>
                <w:numId w:val="5"/>
              </w:numPr>
              <w:kinsoku/>
              <w:wordWrap/>
              <w:overflowPunct/>
              <w:topLinePunct w:val="0"/>
              <w:autoSpaceDE w:val="0"/>
              <w:autoSpaceDN w:val="0"/>
              <w:bidi w:val="0"/>
              <w:adjustRightInd w:val="0"/>
              <w:snapToGrid w:val="0"/>
              <w:spacing w:line="288" w:lineRule="auto"/>
              <w:ind w:left="510" w:leftChars="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负责施工过程造价控制（含编制方案及实施计划），审核</w:t>
            </w:r>
            <w:r>
              <w:rPr>
                <w:rFonts w:hint="eastAsia" w:ascii="宋体" w:hAnsi="宋体" w:eastAsia="宋体" w:cs="宋体"/>
                <w:color w:val="auto"/>
                <w:kern w:val="0"/>
                <w:sz w:val="21"/>
                <w:szCs w:val="21"/>
                <w:highlight w:val="none"/>
                <w:lang w:val="en-US" w:eastAsia="zh-CN"/>
              </w:rPr>
              <w:t>所有合同的</w:t>
            </w:r>
            <w:r>
              <w:rPr>
                <w:rFonts w:hint="eastAsia" w:ascii="宋体" w:hAnsi="宋体" w:eastAsia="宋体" w:cs="宋体"/>
                <w:color w:val="auto"/>
                <w:kern w:val="0"/>
                <w:sz w:val="21"/>
                <w:szCs w:val="21"/>
                <w:highlight w:val="none"/>
              </w:rPr>
              <w:t>工程量与</w:t>
            </w:r>
            <w:r>
              <w:rPr>
                <w:rFonts w:hint="eastAsia" w:ascii="宋体" w:hAnsi="宋体" w:eastAsia="宋体" w:cs="宋体"/>
                <w:color w:val="auto"/>
                <w:kern w:val="0"/>
                <w:sz w:val="21"/>
                <w:szCs w:val="21"/>
                <w:highlight w:val="none"/>
                <w:lang w:val="en-US" w:eastAsia="zh-CN"/>
              </w:rPr>
              <w:t>支付</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发出付款建议（避免超付）</w:t>
            </w:r>
            <w:r>
              <w:rPr>
                <w:rFonts w:hint="eastAsia" w:ascii="宋体" w:hAnsi="宋体" w:eastAsia="宋体" w:cs="宋体"/>
                <w:color w:val="auto"/>
                <w:kern w:val="0"/>
                <w:sz w:val="21"/>
                <w:szCs w:val="21"/>
                <w:highlight w:val="none"/>
                <w:lang w:eastAsia="zh-CN"/>
              </w:rPr>
              <w:t>；</w:t>
            </w:r>
          </w:p>
          <w:p w14:paraId="7B1327A1">
            <w:pPr>
              <w:keepNext w:val="0"/>
              <w:keepLines w:val="0"/>
              <w:pageBreakBefore w:val="0"/>
              <w:widowControl w:val="0"/>
              <w:numPr>
                <w:ilvl w:val="0"/>
                <w:numId w:val="5"/>
              </w:numPr>
              <w:kinsoku/>
              <w:wordWrap/>
              <w:overflowPunct/>
              <w:topLinePunct w:val="0"/>
              <w:autoSpaceDE w:val="0"/>
              <w:autoSpaceDN w:val="0"/>
              <w:bidi w:val="0"/>
              <w:adjustRightInd w:val="0"/>
              <w:snapToGrid w:val="0"/>
              <w:spacing w:line="288" w:lineRule="auto"/>
              <w:ind w:left="510" w:leftChars="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负责</w:t>
            </w:r>
            <w:r>
              <w:rPr>
                <w:rFonts w:hint="eastAsia" w:ascii="宋体" w:hAnsi="宋体" w:eastAsia="宋体" w:cs="宋体"/>
                <w:color w:val="auto"/>
                <w:kern w:val="0"/>
                <w:sz w:val="21"/>
                <w:szCs w:val="21"/>
                <w:highlight w:val="none"/>
              </w:rPr>
              <w:t>制定项目总体投资资金计划，对每月实际投资和计划投资作分析比较，分析差异的原因</w:t>
            </w:r>
            <w:r>
              <w:rPr>
                <w:rFonts w:hint="eastAsia" w:ascii="宋体" w:hAnsi="宋体" w:eastAsia="宋体" w:cs="宋体"/>
                <w:color w:val="auto"/>
                <w:kern w:val="0"/>
                <w:sz w:val="21"/>
                <w:szCs w:val="21"/>
                <w:highlight w:val="none"/>
                <w:lang w:eastAsia="zh-CN"/>
              </w:rPr>
              <w:t>；</w:t>
            </w:r>
          </w:p>
          <w:p w14:paraId="0D12C011">
            <w:pPr>
              <w:keepNext w:val="0"/>
              <w:keepLines w:val="0"/>
              <w:pageBreakBefore w:val="0"/>
              <w:widowControl w:val="0"/>
              <w:numPr>
                <w:ilvl w:val="0"/>
                <w:numId w:val="5"/>
              </w:numPr>
              <w:kinsoku/>
              <w:wordWrap/>
              <w:overflowPunct/>
              <w:topLinePunct w:val="0"/>
              <w:autoSpaceDE w:val="0"/>
              <w:autoSpaceDN w:val="0"/>
              <w:bidi w:val="0"/>
              <w:adjustRightInd w:val="0"/>
              <w:snapToGrid w:val="0"/>
              <w:spacing w:line="288" w:lineRule="auto"/>
              <w:ind w:left="510" w:leftChars="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负责建立合同台账、支付台账、变更台账（按变更原因分类）、签证台账、动态投资台账；</w:t>
            </w:r>
          </w:p>
          <w:p w14:paraId="29C09E39">
            <w:pPr>
              <w:keepNext w:val="0"/>
              <w:keepLines w:val="0"/>
              <w:pageBreakBefore w:val="0"/>
              <w:widowControl w:val="0"/>
              <w:numPr>
                <w:ilvl w:val="0"/>
                <w:numId w:val="5"/>
              </w:numPr>
              <w:kinsoku/>
              <w:wordWrap/>
              <w:overflowPunct/>
              <w:topLinePunct w:val="0"/>
              <w:autoSpaceDE w:val="0"/>
              <w:autoSpaceDN w:val="0"/>
              <w:bidi w:val="0"/>
              <w:adjustRightInd w:val="0"/>
              <w:snapToGrid w:val="0"/>
              <w:spacing w:line="288" w:lineRule="auto"/>
              <w:ind w:left="510" w:leftChars="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负责定期召开造价控制会议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每月底前提交投资控制报告，含项目整体结算价预估分析、人工机械主材设备价格造价影响分析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按甲方要求提交</w:t>
            </w:r>
            <w:r>
              <w:rPr>
                <w:rFonts w:hint="eastAsia" w:ascii="宋体" w:hAnsi="宋体" w:eastAsia="宋体" w:cs="宋体"/>
                <w:color w:val="auto"/>
                <w:kern w:val="0"/>
                <w:sz w:val="21"/>
                <w:szCs w:val="21"/>
                <w:highlight w:val="none"/>
              </w:rPr>
              <w:t>动态成本</w:t>
            </w:r>
            <w:r>
              <w:rPr>
                <w:rFonts w:hint="eastAsia" w:ascii="宋体" w:hAnsi="宋体" w:eastAsia="宋体" w:cs="宋体"/>
                <w:color w:val="auto"/>
                <w:kern w:val="0"/>
                <w:sz w:val="21"/>
                <w:szCs w:val="21"/>
                <w:highlight w:val="none"/>
                <w:lang w:val="en-US" w:eastAsia="zh-CN"/>
              </w:rPr>
              <w:t>偏差分析</w:t>
            </w:r>
            <w:r>
              <w:rPr>
                <w:rFonts w:hint="eastAsia" w:ascii="宋体" w:hAnsi="宋体" w:eastAsia="宋体" w:cs="宋体"/>
                <w:color w:val="auto"/>
                <w:kern w:val="0"/>
                <w:sz w:val="21"/>
                <w:szCs w:val="21"/>
                <w:highlight w:val="none"/>
              </w:rPr>
              <w:t>（须与目标成本对比分析偏差原因及解决方案建议）</w:t>
            </w:r>
            <w:r>
              <w:rPr>
                <w:rFonts w:hint="eastAsia" w:ascii="宋体" w:hAnsi="宋体" w:eastAsia="宋体" w:cs="宋体"/>
                <w:color w:val="auto"/>
                <w:kern w:val="0"/>
                <w:sz w:val="21"/>
                <w:szCs w:val="21"/>
                <w:highlight w:val="none"/>
                <w:lang w:val="en-US" w:eastAsia="zh-CN"/>
              </w:rPr>
              <w:t>；</w:t>
            </w:r>
          </w:p>
          <w:p w14:paraId="16115F2A">
            <w:pPr>
              <w:keepNext w:val="0"/>
              <w:keepLines w:val="0"/>
              <w:pageBreakBefore w:val="0"/>
              <w:widowControl w:val="0"/>
              <w:numPr>
                <w:ilvl w:val="0"/>
                <w:numId w:val="5"/>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rightChars="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负责定期收集和整理有关设备材料的市场价格动态信息，对施工方案、材料选用提供成本控制建议</w:t>
            </w:r>
            <w:r>
              <w:rPr>
                <w:rFonts w:hint="eastAsia" w:ascii="宋体" w:hAnsi="宋体" w:eastAsia="宋体" w:cs="宋体"/>
                <w:color w:val="auto"/>
                <w:kern w:val="0"/>
                <w:sz w:val="21"/>
                <w:szCs w:val="21"/>
                <w:highlight w:val="none"/>
                <w:lang w:eastAsia="zh-CN"/>
              </w:rPr>
              <w:t>；</w:t>
            </w:r>
          </w:p>
          <w:p w14:paraId="7282CE30">
            <w:pPr>
              <w:keepNext w:val="0"/>
              <w:keepLines w:val="0"/>
              <w:pageBreakBefore w:val="0"/>
              <w:widowControl w:val="0"/>
              <w:numPr>
                <w:ilvl w:val="0"/>
                <w:numId w:val="5"/>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rightChars="0" w:hanging="510" w:firstLineChars="0"/>
              <w:contextualSpacing/>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负责协助第三方的合同索赔处理，参加合同变更谈判、处理合同变更，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维护</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的合法权益。</w:t>
            </w:r>
          </w:p>
        </w:tc>
      </w:tr>
      <w:tr w14:paraId="48D13EE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44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15BED">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val="en-US" w:eastAsia="zh-CN"/>
              </w:rPr>
              <w:t>6</w:t>
            </w:r>
          </w:p>
        </w:tc>
        <w:tc>
          <w:tcPr>
            <w:tcW w:w="1029" w:type="dxa"/>
            <w:tcBorders>
              <w:top w:val="single" w:color="000000" w:sz="4" w:space="0"/>
              <w:left w:val="nil"/>
              <w:bottom w:val="single" w:color="000000" w:sz="4" w:space="0"/>
              <w:right w:val="single" w:color="000000" w:sz="4" w:space="0"/>
            </w:tcBorders>
            <w:shd w:val="clear" w:color="auto" w:fill="FFFFFF"/>
            <w:vAlign w:val="center"/>
          </w:tcPr>
          <w:p w14:paraId="5F3E4599">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rPr>
              <w:t>结（决）算阶段</w:t>
            </w:r>
          </w:p>
        </w:tc>
        <w:tc>
          <w:tcPr>
            <w:tcW w:w="7000" w:type="dxa"/>
            <w:tcBorders>
              <w:top w:val="single" w:color="000000" w:sz="4" w:space="0"/>
              <w:left w:val="nil"/>
              <w:bottom w:val="single" w:color="000000" w:sz="4" w:space="0"/>
              <w:right w:val="single" w:color="000000" w:sz="4" w:space="0"/>
            </w:tcBorders>
            <w:shd w:val="clear" w:color="auto" w:fill="FFFFFF"/>
            <w:vAlign w:val="center"/>
          </w:tcPr>
          <w:p w14:paraId="5F4E7600">
            <w:pPr>
              <w:keepNext w:val="0"/>
              <w:keepLines w:val="0"/>
              <w:pageBreakBefore w:val="0"/>
              <w:widowControl w:val="0"/>
              <w:numPr>
                <w:ilvl w:val="0"/>
                <w:numId w:val="6"/>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负责编制结算</w:t>
            </w:r>
            <w:r>
              <w:rPr>
                <w:rFonts w:hint="eastAsia" w:ascii="宋体" w:hAnsi="宋体" w:eastAsia="宋体" w:cs="宋体"/>
                <w:color w:val="auto"/>
                <w:kern w:val="0"/>
                <w:sz w:val="21"/>
                <w:szCs w:val="21"/>
                <w:highlight w:val="none"/>
                <w:lang w:val="en-US" w:eastAsia="zh-CN"/>
              </w:rPr>
              <w:t>编审</w:t>
            </w:r>
            <w:r>
              <w:rPr>
                <w:rFonts w:hint="eastAsia" w:ascii="宋体" w:hAnsi="宋体" w:eastAsia="宋体" w:cs="宋体"/>
                <w:color w:val="auto"/>
                <w:kern w:val="0"/>
                <w:sz w:val="21"/>
                <w:szCs w:val="21"/>
                <w:highlight w:val="none"/>
              </w:rPr>
              <w:t>计划，建立结算台账</w:t>
            </w:r>
            <w:r>
              <w:rPr>
                <w:rFonts w:hint="eastAsia" w:ascii="宋体" w:hAnsi="宋体" w:eastAsia="宋体" w:cs="宋体"/>
                <w:color w:val="auto"/>
                <w:kern w:val="0"/>
                <w:sz w:val="21"/>
                <w:szCs w:val="21"/>
                <w:highlight w:val="none"/>
                <w:lang w:eastAsia="zh-CN"/>
              </w:rPr>
              <w:t>；</w:t>
            </w:r>
          </w:p>
          <w:p w14:paraId="6B94C1B4">
            <w:pPr>
              <w:keepNext w:val="0"/>
              <w:keepLines w:val="0"/>
              <w:pageBreakBefore w:val="0"/>
              <w:widowControl w:val="0"/>
              <w:numPr>
                <w:ilvl w:val="0"/>
                <w:numId w:val="6"/>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负责收集和整理结算依据资料，负责组织过程结算</w:t>
            </w:r>
            <w:r>
              <w:rPr>
                <w:rFonts w:hint="eastAsia" w:ascii="宋体" w:hAnsi="宋体" w:eastAsia="宋体" w:cs="宋体"/>
                <w:color w:val="auto"/>
                <w:kern w:val="0"/>
                <w:sz w:val="21"/>
                <w:szCs w:val="21"/>
                <w:highlight w:val="none"/>
                <w:lang w:eastAsia="zh-CN"/>
              </w:rPr>
              <w:t>；</w:t>
            </w:r>
          </w:p>
          <w:p w14:paraId="7C8F8234">
            <w:pPr>
              <w:keepNext w:val="0"/>
              <w:keepLines w:val="0"/>
              <w:pageBreakBefore w:val="0"/>
              <w:widowControl w:val="0"/>
              <w:numPr>
                <w:ilvl w:val="0"/>
                <w:numId w:val="6"/>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的结算</w:t>
            </w:r>
            <w:r>
              <w:rPr>
                <w:rFonts w:hint="eastAsia" w:ascii="宋体" w:hAnsi="宋体" w:eastAsia="宋体" w:cs="宋体"/>
                <w:color w:val="auto"/>
                <w:kern w:val="0"/>
                <w:sz w:val="21"/>
                <w:szCs w:val="21"/>
                <w:highlight w:val="none"/>
                <w:lang w:val="en-US" w:eastAsia="zh-CN"/>
              </w:rPr>
              <w:t>编审指引等相关制度审核本项目各类（施工、货物、服务等）合同结算书，及时完成对数，根据各方确认意见出具结算审核报告；</w:t>
            </w:r>
          </w:p>
          <w:p w14:paraId="3C78AFA8">
            <w:pPr>
              <w:keepNext w:val="0"/>
              <w:keepLines w:val="0"/>
              <w:pageBreakBefore w:val="0"/>
              <w:widowControl w:val="0"/>
              <w:numPr>
                <w:ilvl w:val="0"/>
                <w:numId w:val="6"/>
              </w:numPr>
              <w:suppressLineNumbers w:val="0"/>
              <w:kinsoku/>
              <w:wordWrap/>
              <w:overflowPunct/>
              <w:topLinePunct w:val="0"/>
              <w:autoSpaceDE w:val="0"/>
              <w:autoSpaceDN w:val="0"/>
              <w:bidi w:val="0"/>
              <w:adjustRightInd w:val="0"/>
              <w:snapToGrid w:val="0"/>
              <w:spacing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收集项目</w:t>
            </w:r>
            <w:r>
              <w:rPr>
                <w:rFonts w:hint="eastAsia" w:ascii="宋体" w:hAnsi="宋体" w:eastAsia="宋体" w:cs="宋体"/>
                <w:color w:val="auto"/>
                <w:kern w:val="0"/>
                <w:sz w:val="21"/>
                <w:szCs w:val="21"/>
                <w:highlight w:val="none"/>
                <w:lang w:val="en-US" w:eastAsia="zh-CN"/>
              </w:rPr>
              <w:t>完整</w:t>
            </w:r>
            <w:r>
              <w:rPr>
                <w:rFonts w:hint="eastAsia" w:ascii="宋体" w:hAnsi="宋体" w:eastAsia="宋体" w:cs="宋体"/>
                <w:color w:val="auto"/>
                <w:kern w:val="0"/>
                <w:sz w:val="21"/>
                <w:szCs w:val="21"/>
                <w:highlight w:val="none"/>
              </w:rPr>
              <w:t>造价资料，</w:t>
            </w:r>
            <w:r>
              <w:rPr>
                <w:rFonts w:hint="eastAsia" w:ascii="宋体" w:hAnsi="宋体" w:eastAsia="宋体" w:cs="宋体"/>
                <w:color w:val="auto"/>
                <w:kern w:val="0"/>
                <w:sz w:val="21"/>
                <w:szCs w:val="21"/>
                <w:highlight w:val="none"/>
                <w:lang w:val="en-US" w:eastAsia="zh-CN"/>
              </w:rPr>
              <w:t>根据</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lang w:val="en-US" w:eastAsia="zh-CN"/>
              </w:rPr>
              <w:t>要求编制建造成本分析报告，</w:t>
            </w:r>
            <w:r>
              <w:rPr>
                <w:rFonts w:hint="eastAsia" w:ascii="宋体" w:hAnsi="宋体" w:eastAsia="宋体" w:cs="宋体"/>
                <w:color w:val="auto"/>
                <w:kern w:val="0"/>
                <w:sz w:val="21"/>
                <w:szCs w:val="21"/>
                <w:highlight w:val="none"/>
              </w:rPr>
              <w:t>并与当地同类项目各类经济指标进行对比分析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整理并移交造价相关归档资料；</w:t>
            </w:r>
          </w:p>
          <w:p w14:paraId="2BB671F5">
            <w:pPr>
              <w:keepNext w:val="0"/>
              <w:keepLines w:val="0"/>
              <w:pageBreakBefore w:val="0"/>
              <w:widowControl w:val="0"/>
              <w:numPr>
                <w:ilvl w:val="0"/>
                <w:numId w:val="6"/>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rightChars="0" w:hanging="510" w:firstLineChars="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配合</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决算工作</w:t>
            </w:r>
            <w:r>
              <w:rPr>
                <w:rFonts w:hint="eastAsia" w:ascii="宋体" w:hAnsi="宋体" w:eastAsia="宋体" w:cs="宋体"/>
                <w:color w:val="auto"/>
                <w:kern w:val="0"/>
                <w:sz w:val="21"/>
                <w:szCs w:val="21"/>
                <w:highlight w:val="none"/>
                <w:lang w:eastAsia="zh-CN"/>
              </w:rPr>
              <w:t>。</w:t>
            </w:r>
          </w:p>
        </w:tc>
      </w:tr>
      <w:tr w14:paraId="6337E1F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80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DCC48">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rPr>
              <w:t>7</w:t>
            </w:r>
          </w:p>
        </w:tc>
        <w:tc>
          <w:tcPr>
            <w:tcW w:w="1029" w:type="dxa"/>
            <w:tcBorders>
              <w:top w:val="single" w:color="000000" w:sz="4" w:space="0"/>
              <w:left w:val="nil"/>
              <w:bottom w:val="single" w:color="000000" w:sz="4" w:space="0"/>
              <w:right w:val="single" w:color="000000" w:sz="4" w:space="0"/>
            </w:tcBorders>
            <w:shd w:val="clear" w:color="auto" w:fill="FFFFFF"/>
            <w:vAlign w:val="center"/>
          </w:tcPr>
          <w:p w14:paraId="36AA8A0C">
            <w:pPr>
              <w:keepNext w:val="0"/>
              <w:keepLines w:val="0"/>
              <w:pageBreakBefore w:val="0"/>
              <w:widowControl w:val="0"/>
              <w:suppressLineNumbers w:val="0"/>
              <w:shd w:val="solid" w:color="FFFFFF" w:fill="auto"/>
              <w:kinsoku/>
              <w:wordWrap/>
              <w:overflowPunct/>
              <w:topLinePunct w:val="0"/>
              <w:autoSpaceDE w:val="0"/>
              <w:autoSpaceDN w:val="0"/>
              <w:bidi w:val="0"/>
              <w:adjustRightInd w:val="0"/>
              <w:snapToGrid w:val="0"/>
              <w:spacing w:beforeAutospacing="0" w:afterAutospacing="0" w:line="288" w:lineRule="auto"/>
              <w:ind w:left="0" w:leftChars="0" w:right="0" w:rightChars="0"/>
              <w:contextualSpacing/>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rPr>
              <w:t>其他</w:t>
            </w:r>
          </w:p>
        </w:tc>
        <w:tc>
          <w:tcPr>
            <w:tcW w:w="7000" w:type="dxa"/>
            <w:tcBorders>
              <w:top w:val="single" w:color="000000" w:sz="4" w:space="0"/>
              <w:left w:val="nil"/>
              <w:bottom w:val="single" w:color="000000" w:sz="4" w:space="0"/>
              <w:right w:val="single" w:color="000000" w:sz="4" w:space="0"/>
            </w:tcBorders>
            <w:shd w:val="clear" w:color="auto" w:fill="FFFFFF"/>
            <w:vAlign w:val="center"/>
          </w:tcPr>
          <w:p w14:paraId="4B613F3E">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要求编制或审核各类造价管理文件</w:t>
            </w:r>
            <w:r>
              <w:rPr>
                <w:rFonts w:hint="eastAsia" w:ascii="宋体" w:hAnsi="宋体" w:eastAsia="宋体" w:cs="宋体"/>
                <w:color w:val="auto"/>
                <w:sz w:val="21"/>
                <w:szCs w:val="21"/>
                <w:highlight w:val="none"/>
                <w:lang w:eastAsia="zh-CN"/>
              </w:rPr>
              <w:t>；</w:t>
            </w:r>
          </w:p>
          <w:p w14:paraId="570CAB60">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参与设计方案论证会议、技术经济方案比选、变更论证等专题会，提出造价专业意见；</w:t>
            </w:r>
            <w:r>
              <w:rPr>
                <w:rFonts w:hint="eastAsia" w:ascii="宋体" w:hAnsi="宋体" w:eastAsia="宋体" w:cs="宋体"/>
                <w:color w:val="auto"/>
                <w:sz w:val="21"/>
                <w:szCs w:val="21"/>
                <w:highlight w:val="none"/>
                <w:lang w:val="en-US" w:eastAsia="zh-CN"/>
              </w:rPr>
              <w:t>督促</w:t>
            </w:r>
            <w:r>
              <w:rPr>
                <w:rFonts w:hint="eastAsia" w:ascii="宋体" w:hAnsi="宋体" w:eastAsia="宋体" w:cs="宋体"/>
                <w:color w:val="auto"/>
                <w:sz w:val="21"/>
                <w:szCs w:val="21"/>
                <w:highlight w:val="none"/>
              </w:rPr>
              <w:t>落实各阶段、各专业工程造价限额</w:t>
            </w:r>
            <w:r>
              <w:rPr>
                <w:rFonts w:hint="eastAsia" w:ascii="宋体" w:hAnsi="宋体" w:eastAsia="宋体" w:cs="宋体"/>
                <w:color w:val="auto"/>
                <w:sz w:val="21"/>
                <w:szCs w:val="21"/>
                <w:highlight w:val="none"/>
                <w:lang w:val="en-US" w:eastAsia="zh-CN"/>
              </w:rPr>
              <w:t>设计量化</w:t>
            </w:r>
            <w:r>
              <w:rPr>
                <w:rFonts w:hint="eastAsia" w:ascii="宋体" w:hAnsi="宋体" w:eastAsia="宋体" w:cs="宋体"/>
                <w:color w:val="auto"/>
                <w:sz w:val="21"/>
                <w:szCs w:val="21"/>
                <w:highlight w:val="none"/>
              </w:rPr>
              <w:t>指标</w:t>
            </w:r>
            <w:r>
              <w:rPr>
                <w:rFonts w:hint="eastAsia" w:ascii="宋体" w:hAnsi="宋体" w:eastAsia="宋体" w:cs="宋体"/>
                <w:color w:val="auto"/>
                <w:sz w:val="21"/>
                <w:szCs w:val="21"/>
                <w:highlight w:val="none"/>
                <w:lang w:eastAsia="zh-CN"/>
              </w:rPr>
              <w:t>；</w:t>
            </w:r>
          </w:p>
          <w:p w14:paraId="43F6285A">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rPr>
              <w:t>相关造价控制会议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对造价问题进行咨询把关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费用综合考虑在投标报价中</w:t>
            </w:r>
            <w:r>
              <w:rPr>
                <w:rFonts w:hint="eastAsia" w:ascii="宋体" w:hAnsi="宋体" w:eastAsia="宋体" w:cs="宋体"/>
                <w:color w:val="auto"/>
                <w:sz w:val="21"/>
                <w:szCs w:val="21"/>
                <w:highlight w:val="none"/>
                <w:lang w:eastAsia="zh-CN"/>
              </w:rPr>
              <w:t>）；</w:t>
            </w:r>
          </w:p>
          <w:p w14:paraId="5044DCA8">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根据甲方要求，配合甲方完成</w:t>
            </w:r>
            <w:r>
              <w:rPr>
                <w:rFonts w:hint="eastAsia" w:ascii="宋体" w:hAnsi="宋体" w:eastAsia="宋体" w:cs="宋体"/>
                <w:color w:val="auto"/>
                <w:sz w:val="21"/>
                <w:szCs w:val="21"/>
                <w:highlight w:val="none"/>
              </w:rPr>
              <w:t>其他造价管理工作，如投资匡算、培训等</w:t>
            </w:r>
            <w:r>
              <w:rPr>
                <w:rFonts w:hint="eastAsia" w:ascii="宋体" w:hAnsi="宋体" w:eastAsia="宋体" w:cs="宋体"/>
                <w:color w:val="auto"/>
                <w:sz w:val="21"/>
                <w:szCs w:val="21"/>
                <w:highlight w:val="none"/>
                <w:lang w:eastAsia="zh-CN"/>
              </w:rPr>
              <w:t>；</w:t>
            </w:r>
          </w:p>
          <w:p w14:paraId="7CD204A3">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负责施工、货物、服务合同的计量支付审核；</w:t>
            </w:r>
          </w:p>
          <w:p w14:paraId="6AAC3D49">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按要求配合项目审计工作</w:t>
            </w:r>
            <w:r>
              <w:rPr>
                <w:rFonts w:hint="eastAsia" w:ascii="宋体" w:hAnsi="宋体" w:eastAsia="宋体" w:cs="宋体"/>
                <w:color w:val="auto"/>
                <w:sz w:val="21"/>
                <w:szCs w:val="21"/>
                <w:highlight w:val="none"/>
                <w:lang w:eastAsia="zh-CN"/>
              </w:rPr>
              <w:t>；</w:t>
            </w:r>
          </w:p>
          <w:p w14:paraId="5A399ECF">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需求，配合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完成各阶段的目标成本编制工作，施工阶段按季度编制动态成本报告，并及时对成本异常情况及时提交成本预警报告</w:t>
            </w:r>
            <w:r>
              <w:rPr>
                <w:rFonts w:hint="eastAsia" w:ascii="宋体" w:hAnsi="宋体" w:eastAsia="宋体" w:cs="宋体"/>
                <w:color w:val="auto"/>
                <w:sz w:val="21"/>
                <w:szCs w:val="21"/>
                <w:highlight w:val="none"/>
                <w:lang w:eastAsia="zh-CN"/>
              </w:rPr>
              <w:t>；</w:t>
            </w:r>
          </w:p>
          <w:p w14:paraId="1FA48591">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按照甲方的各项管理制度及规定开展投资控制、成本管理工作，并满足甲方相关制度要求；</w:t>
            </w:r>
          </w:p>
          <w:p w14:paraId="48B4D2CB">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根据设计方案编（审）详细的工程成本预测和资金流量预测分析，以作为进度和成本控制的目标；随设计的深入定期分析修正工程成本和资金流量预测</w:t>
            </w:r>
            <w:r>
              <w:rPr>
                <w:rFonts w:hint="eastAsia" w:ascii="宋体" w:hAnsi="宋体" w:eastAsia="宋体" w:cs="宋体"/>
                <w:color w:val="auto"/>
                <w:kern w:val="0"/>
                <w:sz w:val="21"/>
                <w:szCs w:val="21"/>
                <w:highlight w:val="none"/>
                <w:lang w:eastAsia="zh-CN"/>
              </w:rPr>
              <w:t>；</w:t>
            </w:r>
          </w:p>
          <w:p w14:paraId="5D7D4033">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负责为BIM信息模型提供造价信息数据</w:t>
            </w:r>
            <w:r>
              <w:rPr>
                <w:rFonts w:hint="eastAsia" w:ascii="宋体" w:hAnsi="宋体" w:eastAsia="宋体" w:cs="宋体"/>
                <w:color w:val="auto"/>
                <w:kern w:val="0"/>
                <w:sz w:val="21"/>
                <w:szCs w:val="21"/>
                <w:highlight w:val="none"/>
                <w:lang w:eastAsia="zh-CN"/>
              </w:rPr>
              <w:t>；</w:t>
            </w:r>
          </w:p>
          <w:p w14:paraId="12C1F4B2">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hanging="51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的要求对</w:t>
            </w:r>
            <w:r>
              <w:rPr>
                <w:rFonts w:hint="eastAsia" w:ascii="宋体" w:hAnsi="宋体" w:eastAsia="宋体" w:cs="宋体"/>
                <w:color w:val="auto"/>
                <w:kern w:val="0"/>
                <w:sz w:val="21"/>
                <w:szCs w:val="21"/>
                <w:highlight w:val="none"/>
                <w:lang w:val="en-US" w:eastAsia="zh-CN"/>
              </w:rPr>
              <w:t>招标图、</w:t>
            </w:r>
            <w:r>
              <w:rPr>
                <w:rFonts w:hint="eastAsia" w:ascii="宋体" w:hAnsi="宋体" w:eastAsia="宋体" w:cs="宋体"/>
                <w:color w:val="auto"/>
                <w:kern w:val="0"/>
                <w:sz w:val="21"/>
                <w:szCs w:val="21"/>
                <w:highlight w:val="none"/>
              </w:rPr>
              <w:t>施工图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竣工图</w:t>
            </w:r>
            <w:r>
              <w:rPr>
                <w:rFonts w:hint="eastAsia" w:ascii="宋体" w:hAnsi="宋体" w:eastAsia="宋体" w:cs="宋体"/>
                <w:color w:val="auto"/>
                <w:kern w:val="0"/>
                <w:sz w:val="21"/>
                <w:szCs w:val="21"/>
                <w:highlight w:val="none"/>
                <w:lang w:val="en-US" w:eastAsia="zh-CN"/>
              </w:rPr>
              <w:t>及其他图纸的</w:t>
            </w:r>
            <w:r>
              <w:rPr>
                <w:rFonts w:hint="eastAsia" w:ascii="宋体" w:hAnsi="宋体" w:eastAsia="宋体" w:cs="宋体"/>
                <w:color w:val="auto"/>
                <w:kern w:val="0"/>
                <w:sz w:val="21"/>
                <w:szCs w:val="21"/>
                <w:highlight w:val="none"/>
              </w:rPr>
              <w:t>核对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并提供相应核对报告；</w:t>
            </w:r>
          </w:p>
          <w:p w14:paraId="31D92A52">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beforeAutospacing="0" w:afterAutospacing="0" w:line="288" w:lineRule="auto"/>
              <w:ind w:left="510" w:leftChars="0" w:right="0" w:rightChars="0" w:hanging="510" w:firstLineChars="0"/>
              <w:contextualSpacing/>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安排的其他造价管理工作。</w:t>
            </w:r>
          </w:p>
        </w:tc>
      </w:tr>
    </w:tbl>
    <w:p w14:paraId="39C35561">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4.2服务质量要求</w:t>
      </w:r>
    </w:p>
    <w:p w14:paraId="1E421A5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w:t>
      </w:r>
      <w:r>
        <w:rPr>
          <w:rFonts w:hint="eastAsia" w:ascii="宋体" w:hAnsi="宋体" w:eastAsia="宋体" w:cs="宋体"/>
          <w:color w:val="auto"/>
          <w:kern w:val="0"/>
          <w:sz w:val="24"/>
          <w:szCs w:val="24"/>
          <w:highlight w:val="none"/>
          <w:lang w:val="en-US" w:eastAsia="zh-CN"/>
        </w:rPr>
        <w:t>服务原则：乙方</w:t>
      </w:r>
      <w:r>
        <w:rPr>
          <w:rFonts w:hint="eastAsia" w:ascii="宋体" w:hAnsi="宋体" w:eastAsia="宋体" w:cs="宋体"/>
          <w:color w:val="auto"/>
          <w:kern w:val="0"/>
          <w:sz w:val="24"/>
          <w:szCs w:val="24"/>
          <w:highlight w:val="none"/>
        </w:rPr>
        <w:t>应熟悉并严格按照国家、省、市有关</w:t>
      </w:r>
      <w:r>
        <w:rPr>
          <w:rFonts w:hint="eastAsia" w:ascii="宋体" w:hAnsi="宋体" w:eastAsia="宋体" w:cs="宋体"/>
          <w:color w:val="auto"/>
          <w:kern w:val="0"/>
          <w:sz w:val="24"/>
          <w:szCs w:val="24"/>
          <w:highlight w:val="none"/>
          <w:lang w:val="en-US" w:eastAsia="zh-CN"/>
        </w:rPr>
        <w:t>工程项目建设</w:t>
      </w:r>
      <w:r>
        <w:rPr>
          <w:rFonts w:hint="eastAsia" w:ascii="宋体" w:hAnsi="宋体" w:eastAsia="宋体" w:cs="宋体"/>
          <w:color w:val="auto"/>
          <w:kern w:val="0"/>
          <w:sz w:val="24"/>
          <w:szCs w:val="24"/>
          <w:highlight w:val="none"/>
        </w:rPr>
        <w:t>、工程造价方面的法律、法规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以及</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工程造价管理制度要求，依据合同相关约定，本着有依有据、合法合规的原则，科学、客观、公正地开展造价咨询工作，</w:t>
      </w:r>
      <w:r>
        <w:rPr>
          <w:rFonts w:hint="eastAsia" w:ascii="宋体"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提供的</w:t>
      </w:r>
      <w:r>
        <w:rPr>
          <w:rFonts w:hint="eastAsia" w:ascii="宋体" w:hAnsi="宋体" w:eastAsia="宋体" w:cs="宋体"/>
          <w:color w:val="auto"/>
          <w:sz w:val="24"/>
          <w:szCs w:val="24"/>
          <w:highlight w:val="none"/>
        </w:rPr>
        <w:t>工程造价咨询成果文件</w:t>
      </w:r>
      <w:r>
        <w:rPr>
          <w:rFonts w:hint="eastAsia" w:ascii="宋体" w:hAnsi="宋体" w:eastAsia="宋体" w:cs="宋体"/>
          <w:color w:val="auto"/>
          <w:kern w:val="0"/>
          <w:sz w:val="24"/>
          <w:szCs w:val="24"/>
          <w:highlight w:val="none"/>
        </w:rPr>
        <w:t>应合理体现</w:t>
      </w:r>
      <w:r>
        <w:rPr>
          <w:rFonts w:hint="eastAsia" w:ascii="宋体" w:hAnsi="宋体" w:eastAsia="宋体" w:cs="宋体"/>
          <w:color w:val="auto"/>
          <w:kern w:val="0"/>
          <w:sz w:val="24"/>
          <w:szCs w:val="24"/>
          <w:highlight w:val="none"/>
          <w:lang w:val="en-US" w:eastAsia="zh-CN"/>
        </w:rPr>
        <w:t>甲方投资</w:t>
      </w:r>
      <w:r>
        <w:rPr>
          <w:rFonts w:hint="eastAsia" w:ascii="宋体" w:hAnsi="宋体" w:eastAsia="宋体" w:cs="宋体"/>
          <w:color w:val="auto"/>
          <w:kern w:val="0"/>
          <w:sz w:val="24"/>
          <w:szCs w:val="24"/>
          <w:highlight w:val="none"/>
        </w:rPr>
        <w:t>控制</w:t>
      </w:r>
      <w:r>
        <w:rPr>
          <w:rFonts w:hint="eastAsia" w:ascii="宋体" w:hAnsi="宋体" w:eastAsia="宋体" w:cs="宋体"/>
          <w:color w:val="auto"/>
          <w:kern w:val="0"/>
          <w:sz w:val="24"/>
          <w:szCs w:val="24"/>
          <w:highlight w:val="none"/>
          <w:lang w:val="en-US" w:eastAsia="zh-CN"/>
        </w:rPr>
        <w:t>相关</w:t>
      </w:r>
      <w:r>
        <w:rPr>
          <w:rFonts w:hint="eastAsia" w:ascii="宋体" w:hAnsi="宋体" w:eastAsia="宋体" w:cs="宋体"/>
          <w:color w:val="auto"/>
          <w:kern w:val="0"/>
          <w:sz w:val="24"/>
          <w:szCs w:val="24"/>
          <w:highlight w:val="none"/>
        </w:rPr>
        <w:t>要求。</w:t>
      </w:r>
    </w:p>
    <w:p w14:paraId="1C9227B5">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4.2.2</w:t>
      </w:r>
      <w:r>
        <w:rPr>
          <w:rFonts w:hint="eastAsia" w:ascii="宋体" w:hAnsi="宋体" w:eastAsia="宋体" w:cs="宋体"/>
          <w:b w:val="0"/>
          <w:bCs w:val="0"/>
          <w:color w:val="auto"/>
          <w:sz w:val="24"/>
          <w:szCs w:val="24"/>
          <w:highlight w:val="none"/>
        </w:rPr>
        <w:t>投资控制目标：实行全过程限额设计和施工</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成本控制遵循各阶段目标成本控制原则，确保</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竣工</w:t>
      </w:r>
      <w:r>
        <w:rPr>
          <w:rFonts w:hint="eastAsia" w:ascii="宋体" w:hAnsi="宋体" w:eastAsia="宋体" w:cs="宋体"/>
          <w:b w:val="0"/>
          <w:bCs w:val="0"/>
          <w:color w:val="auto"/>
          <w:sz w:val="24"/>
          <w:szCs w:val="24"/>
          <w:highlight w:val="none"/>
        </w:rPr>
        <w:t>结算</w:t>
      </w:r>
      <w:r>
        <w:rPr>
          <w:rFonts w:hint="eastAsia" w:ascii="宋体" w:hAnsi="宋体" w:eastAsia="宋体" w:cs="宋体"/>
          <w:b w:val="0"/>
          <w:bCs w:val="0"/>
          <w:color w:val="auto"/>
          <w:sz w:val="24"/>
          <w:szCs w:val="24"/>
          <w:highlight w:val="none"/>
          <w:lang w:val="en-US" w:eastAsia="zh-CN"/>
        </w:rPr>
        <w:t>合计金额</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经审定</w:t>
      </w:r>
      <w:r>
        <w:rPr>
          <w:rFonts w:hint="eastAsia" w:ascii="宋体" w:hAnsi="宋体" w:eastAsia="宋体" w:cs="宋体"/>
          <w:b w:val="0"/>
          <w:bCs w:val="0"/>
          <w:color w:val="auto"/>
          <w:sz w:val="24"/>
          <w:szCs w:val="24"/>
          <w:highlight w:val="none"/>
        </w:rPr>
        <w:t>设计概算</w:t>
      </w:r>
      <w:r>
        <w:rPr>
          <w:rFonts w:hint="eastAsia" w:ascii="宋体" w:hAnsi="宋体" w:eastAsia="宋体" w:cs="宋体"/>
          <w:b w:val="0"/>
          <w:bCs w:val="0"/>
          <w:color w:val="auto"/>
          <w:sz w:val="24"/>
          <w:szCs w:val="24"/>
          <w:highlight w:val="none"/>
          <w:lang w:val="en-US" w:eastAsia="zh-CN"/>
        </w:rPr>
        <w:t>实际实施范围所对应金额</w:t>
      </w:r>
      <w:r>
        <w:rPr>
          <w:rFonts w:hint="eastAsia" w:ascii="宋体" w:hAnsi="宋体" w:eastAsia="宋体" w:cs="宋体"/>
          <w:b w:val="0"/>
          <w:bCs w:val="0"/>
          <w:color w:val="auto"/>
          <w:sz w:val="24"/>
          <w:szCs w:val="24"/>
          <w:highlight w:val="none"/>
        </w:rPr>
        <w:t>≤可研估算</w:t>
      </w:r>
      <w:r>
        <w:rPr>
          <w:rFonts w:hint="eastAsia" w:ascii="宋体" w:hAnsi="宋体" w:eastAsia="宋体" w:cs="宋体"/>
          <w:b w:val="0"/>
          <w:bCs w:val="0"/>
          <w:color w:val="auto"/>
          <w:sz w:val="24"/>
          <w:szCs w:val="24"/>
          <w:highlight w:val="none"/>
          <w:lang w:val="en-US" w:eastAsia="zh-CN"/>
        </w:rPr>
        <w:t>对应范围金额（如有）；（2）各类合同结算金额</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经审定的概算对应金额；（3）各阶段目标成本</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上阶段同口径目标成本。</w:t>
      </w:r>
      <w:r>
        <w:rPr>
          <w:rFonts w:hint="eastAsia" w:ascii="宋体" w:hAnsi="宋体" w:eastAsia="宋体" w:cs="宋体"/>
          <w:b w:val="0"/>
          <w:bCs w:val="0"/>
          <w:color w:val="auto"/>
          <w:sz w:val="24"/>
          <w:szCs w:val="24"/>
          <w:highlight w:val="none"/>
        </w:rPr>
        <w:t>在不降低勘察设计任务书、初步设计文件、材料设备技术需求书中的主要设计指标（建筑高度、建筑面积、项目定位、装修标准等）的前提下，确保施工图预算不超过有权审核部门审定工程设计概算中的建安工程费总额。</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根据上述投资控制目标开展造价咨询服务各项工作</w:t>
      </w:r>
      <w:r>
        <w:rPr>
          <w:rFonts w:hint="eastAsia" w:ascii="宋体" w:hAnsi="宋体" w:eastAsia="宋体" w:cs="宋体"/>
          <w:color w:val="auto"/>
          <w:kern w:val="0"/>
          <w:sz w:val="24"/>
          <w:szCs w:val="24"/>
          <w:highlight w:val="none"/>
        </w:rPr>
        <w:t>。</w:t>
      </w:r>
    </w:p>
    <w:p w14:paraId="0A40AF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rPr>
        <w:t>4.2.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应建立健全内部控制制度、质量保证体系和档案管理制度，保证工程造价咨询成果文件的质量，对其完整性、真实性、准确性、有效性负责，并负有保密责任。</w:t>
      </w:r>
    </w:p>
    <w:p w14:paraId="606852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（1）造价成果文件必须文字表达清晰、装订整齐。</w:t>
      </w:r>
    </w:p>
    <w:p w14:paraId="490C34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（2）造价成果文件应执行由造价</w:t>
      </w:r>
      <w:r>
        <w:rPr>
          <w:rFonts w:hint="eastAsia" w:ascii="宋体" w:hAnsi="宋体" w:eastAsia="宋体" w:cs="宋体"/>
          <w:b w:val="0"/>
          <w:bCs w:val="0"/>
          <w:color w:val="auto"/>
          <w:sz w:val="24"/>
          <w:szCs w:val="24"/>
          <w:highlight w:val="none"/>
          <w:lang w:eastAsia="zh-CN"/>
        </w:rPr>
        <w:t>工程</w:t>
      </w:r>
      <w:r>
        <w:rPr>
          <w:rFonts w:hint="eastAsia" w:ascii="宋体" w:hAnsi="宋体" w:eastAsia="宋体" w:cs="宋体"/>
          <w:b w:val="0"/>
          <w:bCs w:val="0"/>
          <w:color w:val="auto"/>
          <w:sz w:val="24"/>
          <w:szCs w:val="24"/>
          <w:highlight w:val="none"/>
        </w:rPr>
        <w:t>师编制、技术负责人审核、项目负责人或指挥长审定的三级审查制度。工程造价咨询成果文件的编制人应具有注册造价工程师执业资格，工程造价咨询成果文件的审核人、审定人应具有注册造价工程师执业资格。工程造价咨询成果文件的编制人、审核人、审定人应在工程造价咨询的成果文件上签署执业(或从业)资格专用印章，最终的成果文件需经项目指挥长或法定代表人签字并加盖公章。</w:t>
      </w:r>
    </w:p>
    <w:p w14:paraId="346F0E4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（3）编制人应甄别、复核</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提供的书面资料的有效性、合规性，并应对自身所收集的工程计价基础资料和编制依据的全面性、真实性和适用性负责，全面进行工程的计量与计价，按工程造价咨询服务合同的要求，编制工程造价咨询成果文件，并整理好工作过程文件。</w:t>
      </w:r>
    </w:p>
    <w:p w14:paraId="6197E48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（4）审核人应进一步审核</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提供的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14:paraId="7FE3BED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（5）审定人应再次审核</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提供的书面资料的有效性、合规性，编制人使用工程计价基础资料和编制依据的全面性、真实性和有效性，并应依据工程经济指标进行工程造价的合理性分析，对工程造价咨询质量进行整体控制。</w:t>
      </w:r>
    </w:p>
    <w:p w14:paraId="171A3925">
      <w:pPr>
        <w:autoSpaceDE w:val="0"/>
        <w:autoSpaceDN w:val="0"/>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应建立工程造价咨询项目档案（含书面原件、电子文档及软件文档），保证项目资料的完整，不得损坏、遗失项目资料。加强项目档案管理，及时做好已完项目的资料移交和归档工作。</w:t>
      </w:r>
    </w:p>
    <w:p w14:paraId="62815898">
      <w:pPr>
        <w:widowControl w:val="0"/>
        <w:numPr>
          <w:ilvl w:val="-1"/>
          <w:numId w:val="0"/>
        </w:numPr>
        <w:autoSpaceDE w:val="0"/>
        <w:autoSpaceDN w:val="0"/>
        <w:adjustRightInd w:val="0"/>
        <w:snapToGrid w:val="0"/>
        <w:spacing w:line="360" w:lineRule="auto"/>
        <w:ind w:left="0" w:firstLine="480" w:firstLineChars="200"/>
        <w:contextualSpacing w:val="0"/>
        <w:jc w:val="both"/>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（7）加强信息系统管理，及时建立电子信息台账；保证在</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信息系统中录入或审核的工程造价相关信息及时、完整</w:t>
      </w:r>
      <w:r>
        <w:rPr>
          <w:rFonts w:hint="eastAsia" w:ascii="宋体" w:hAnsi="宋体" w:eastAsia="宋体" w:cs="宋体"/>
          <w:color w:val="auto"/>
          <w:kern w:val="0"/>
          <w:sz w:val="24"/>
          <w:szCs w:val="24"/>
          <w:highlight w:val="none"/>
        </w:rPr>
        <w:t>。</w:t>
      </w:r>
    </w:p>
    <w:p w14:paraId="370FF7CD">
      <w:pPr>
        <w:widowControl w:val="0"/>
        <w:numPr>
          <w:ilvl w:val="-1"/>
          <w:numId w:val="0"/>
        </w:numPr>
        <w:autoSpaceDE w:val="0"/>
        <w:autoSpaceDN w:val="0"/>
        <w:adjustRightInd w:val="0"/>
        <w:snapToGrid w:val="0"/>
        <w:spacing w:line="360" w:lineRule="auto"/>
        <w:ind w:left="0" w:firstLine="480" w:firstLineChars="200"/>
        <w:contextualSpacing w:val="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4.2.4乙方应确保本工程方案估算（如需）、初步设计概算、施工图预算、工程量清单、招标控制价、变更签证预算、主材及综合单价、合同结算、造价测算等各阶段各类造价文件的编（审）工作质量，必须做到“开项齐全、数量准确、造价合理”，并满足工程投资控制和相关合同的要求。</w:t>
      </w:r>
    </w:p>
    <w:p w14:paraId="35078CD5">
      <w:pPr>
        <w:widowControl w:val="0"/>
        <w:numPr>
          <w:ilvl w:val="-1"/>
          <w:numId w:val="0"/>
        </w:numPr>
        <w:autoSpaceDE w:val="0"/>
        <w:autoSpaceDN w:val="0"/>
        <w:adjustRightInd w:val="0"/>
        <w:snapToGrid w:val="0"/>
        <w:spacing w:line="360" w:lineRule="auto"/>
        <w:ind w:left="0" w:firstLine="480" w:firstLineChars="200"/>
        <w:contextualSpacing w:val="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4.2.5乙方提供的造价成果文件应包括但不限于：封面、编（审）说明、根据甲方要求编（审）的造价文件及其软件版（含计价及图形算量成果文件）、工程量计算书、经济指标分析表、主要设备材料价格表、主要材料设备定价依据文件（含询价文件等）、审核意见落实情况说明和修改对比表。具体要求以乙方工程造价相关管理制度要求为准。</w:t>
      </w:r>
    </w:p>
    <w:p w14:paraId="0FDBAE01">
      <w:pPr>
        <w:widowControl w:val="0"/>
        <w:numPr>
          <w:ilvl w:val="-1"/>
          <w:numId w:val="0"/>
        </w:numPr>
        <w:autoSpaceDE w:val="0"/>
        <w:autoSpaceDN w:val="0"/>
        <w:adjustRightInd w:val="0"/>
        <w:snapToGrid w:val="0"/>
        <w:spacing w:line="360" w:lineRule="auto"/>
        <w:ind w:left="0" w:firstLine="480" w:firstLineChars="200"/>
        <w:contextualSpacing w:val="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4.2.6乙方至少要提供3个同类项目的技术经济指标供甲方做决策参考。乙方负责对造价成果[包括但不限于：估算（如有）、概算审核报告、工程量清单复核报告、施工图预算审核报告、招标工程量清单及招标控制价、设计变更预算审核报告、工程签证预算审核报告、结算审核报告等]进行分析，对比同类项目，找出技术经济指标偏离内容及原因，及时修正，并提出合理化建议。</w:t>
      </w:r>
    </w:p>
    <w:p w14:paraId="66809F8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w:t>
      </w:r>
      <w:r>
        <w:rPr>
          <w:rFonts w:hint="eastAsia" w:ascii="宋体" w:hAnsi="宋体" w:eastAsia="宋体" w:cs="宋体"/>
          <w:color w:val="auto"/>
          <w:kern w:val="0"/>
          <w:sz w:val="24"/>
          <w:szCs w:val="24"/>
          <w:highlight w:val="none"/>
          <w:lang w:eastAsia="zh-CN"/>
        </w:rPr>
        <w:t>乙方</w:t>
      </w:r>
      <w:r>
        <w:rPr>
          <w:rFonts w:hint="eastAsia" w:ascii="宋体" w:hAnsi="宋体" w:eastAsia="宋体" w:cs="宋体"/>
          <w:color w:val="auto"/>
          <w:kern w:val="0"/>
          <w:sz w:val="24"/>
          <w:szCs w:val="24"/>
          <w:highlight w:val="none"/>
        </w:rPr>
        <w:t>审核工程量与进度款（即计量支付审核）；计量支付与进度相符，不得超付、借项支付等</w:t>
      </w:r>
      <w:r>
        <w:rPr>
          <w:rFonts w:hint="eastAsia" w:ascii="宋体" w:hAnsi="宋体" w:eastAsia="宋体" w:cs="宋体"/>
          <w:color w:val="auto"/>
          <w:sz w:val="24"/>
          <w:szCs w:val="24"/>
          <w:highlight w:val="none"/>
        </w:rPr>
        <w:t>。</w:t>
      </w:r>
    </w:p>
    <w:p w14:paraId="3FBA86D2">
      <w:pPr>
        <w:autoSpaceDE w:val="0"/>
        <w:autoSpaceDN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4.2.8</w:t>
      </w:r>
      <w:r>
        <w:rPr>
          <w:rFonts w:hint="eastAsia" w:ascii="宋体" w:hAnsi="宋体" w:eastAsia="宋体" w:cs="宋体"/>
          <w:b w:val="0"/>
          <w:bCs w:val="0"/>
          <w:color w:val="auto"/>
          <w:sz w:val="24"/>
          <w:szCs w:val="24"/>
          <w:highlight w:val="none"/>
          <w:lang w:val="en-US" w:eastAsia="zh-CN"/>
        </w:rPr>
        <w:t>造价成果偏差限额：</w:t>
      </w:r>
    </w:p>
    <w:p w14:paraId="0F4D1088">
      <w:pPr>
        <w:autoSpaceDE w:val="0"/>
        <w:autoSpaceDN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（1）投资估算审核</w:t>
      </w:r>
      <w:r>
        <w:rPr>
          <w:rFonts w:hint="eastAsia" w:ascii="宋体" w:hAnsi="宋体" w:eastAsia="宋体" w:cs="宋体"/>
          <w:color w:val="auto"/>
          <w:kern w:val="0"/>
          <w:sz w:val="24"/>
          <w:szCs w:val="24"/>
          <w:highlight w:val="none"/>
          <w:lang w:val="en-US" w:eastAsia="zh-CN"/>
        </w:rPr>
        <w:t>（如需）</w:t>
      </w:r>
      <w:r>
        <w:rPr>
          <w:rFonts w:hint="eastAsia" w:ascii="宋体" w:hAnsi="宋体" w:eastAsia="宋体" w:cs="宋体"/>
          <w:b w:val="0"/>
          <w:bCs w:val="0"/>
          <w:color w:val="auto"/>
          <w:sz w:val="24"/>
          <w:szCs w:val="24"/>
          <w:highlight w:val="none"/>
          <w:lang w:val="en-US" w:eastAsia="zh-CN"/>
        </w:rPr>
        <w:t>：造价偏差率</w:t>
      </w:r>
      <w:r>
        <w:rPr>
          <w:rFonts w:hint="eastAsia" w:ascii="宋体" w:hAnsi="宋体" w:eastAsia="宋体" w:cs="宋体"/>
          <w:b w:val="0"/>
          <w:bCs w:val="0"/>
          <w:color w:val="auto"/>
          <w:sz w:val="24"/>
          <w:szCs w:val="24"/>
          <w:highlight w:val="none"/>
          <w:lang w:eastAsia="zh-CN"/>
        </w:rPr>
        <w:t>±16%以内；</w:t>
      </w:r>
    </w:p>
    <w:p w14:paraId="49809A24">
      <w:pPr>
        <w:autoSpaceDE w:val="0"/>
        <w:autoSpaceDN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（2）概算审核：造价偏差率</w:t>
      </w:r>
      <w:r>
        <w:rPr>
          <w:rFonts w:hint="eastAsia" w:ascii="宋体" w:hAnsi="宋体" w:eastAsia="宋体" w:cs="宋体"/>
          <w:b w:val="0"/>
          <w:bCs w:val="0"/>
          <w:color w:val="auto"/>
          <w:sz w:val="24"/>
          <w:szCs w:val="24"/>
          <w:highlight w:val="none"/>
          <w:lang w:eastAsia="zh-CN"/>
        </w:rPr>
        <w:t>±6%以内；</w:t>
      </w:r>
    </w:p>
    <w:p w14:paraId="3D90EE47">
      <w:pPr>
        <w:autoSpaceDE w:val="0"/>
        <w:autoSpaceDN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施工</w:t>
      </w:r>
      <w:r>
        <w:rPr>
          <w:rFonts w:hint="eastAsia" w:ascii="宋体" w:hAnsi="宋体" w:eastAsia="宋体" w:cs="宋体"/>
          <w:b w:val="0"/>
          <w:bCs w:val="0"/>
          <w:color w:val="auto"/>
          <w:sz w:val="24"/>
          <w:szCs w:val="24"/>
          <w:highlight w:val="none"/>
        </w:rPr>
        <w:t>图预算</w:t>
      </w:r>
      <w:r>
        <w:rPr>
          <w:rFonts w:hint="eastAsia" w:ascii="宋体" w:hAnsi="宋体" w:eastAsia="宋体" w:cs="宋体"/>
          <w:b w:val="0"/>
          <w:bCs w:val="0"/>
          <w:color w:val="auto"/>
          <w:sz w:val="24"/>
          <w:szCs w:val="24"/>
          <w:highlight w:val="none"/>
          <w:lang w:val="en-US" w:eastAsia="zh-CN"/>
        </w:rPr>
        <w:t>编制或审核</w:t>
      </w:r>
      <w:r>
        <w:rPr>
          <w:rFonts w:hint="eastAsia" w:ascii="宋体" w:hAnsi="宋体" w:eastAsia="宋体" w:cs="宋体"/>
          <w:b w:val="0"/>
          <w:bCs w:val="0"/>
          <w:color w:val="auto"/>
          <w:sz w:val="24"/>
          <w:szCs w:val="24"/>
          <w:highlight w:val="none"/>
        </w:rPr>
        <w:t>、招标控制价</w:t>
      </w:r>
      <w:r>
        <w:rPr>
          <w:rFonts w:hint="eastAsia" w:ascii="宋体" w:hAnsi="宋体" w:eastAsia="宋体" w:cs="宋体"/>
          <w:b w:val="0"/>
          <w:bCs w:val="0"/>
          <w:color w:val="auto"/>
          <w:sz w:val="24"/>
          <w:szCs w:val="24"/>
          <w:highlight w:val="none"/>
          <w:lang w:val="en-US" w:eastAsia="zh-CN"/>
        </w:rPr>
        <w:t>编制</w:t>
      </w:r>
      <w:r>
        <w:rPr>
          <w:rFonts w:hint="eastAsia" w:ascii="宋体" w:hAnsi="宋体" w:eastAsia="宋体" w:cs="宋体"/>
          <w:b w:val="0"/>
          <w:bCs w:val="0"/>
          <w:color w:val="auto"/>
          <w:sz w:val="24"/>
          <w:szCs w:val="24"/>
          <w:highlight w:val="none"/>
        </w:rPr>
        <w:t>、工程量清单</w:t>
      </w:r>
      <w:r>
        <w:rPr>
          <w:rFonts w:hint="eastAsia" w:ascii="宋体" w:hAnsi="宋体" w:eastAsia="宋体" w:cs="宋体"/>
          <w:b w:val="0"/>
          <w:bCs w:val="0"/>
          <w:color w:val="auto"/>
          <w:sz w:val="24"/>
          <w:szCs w:val="24"/>
          <w:highlight w:val="none"/>
          <w:lang w:val="en-US" w:eastAsia="zh-CN"/>
        </w:rPr>
        <w:t>复核：造价偏差率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%以内；</w:t>
      </w:r>
    </w:p>
    <w:p w14:paraId="5A430DFB">
      <w:pPr>
        <w:autoSpaceDE w:val="0"/>
        <w:autoSpaceDN w:val="0"/>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合同结算审核：造价偏差率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%以内。</w:t>
      </w:r>
    </w:p>
    <w:p w14:paraId="57540054">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注：偏差率=（送审金额-审定金额）/送审金额</w:t>
      </w:r>
      <w:r>
        <w:rPr>
          <w:rFonts w:hint="eastAsia" w:ascii="宋体" w:hAnsi="宋体" w:eastAsia="宋体" w:cs="宋体"/>
          <w:b w:val="0"/>
          <w:bCs w:val="0"/>
          <w:color w:val="auto"/>
          <w:sz w:val="24"/>
          <w:szCs w:val="24"/>
          <w:highlight w:val="none"/>
          <w:lang w:val="en-US" w:eastAsia="zh-CN"/>
        </w:rPr>
        <w:t>×100%</w:t>
      </w:r>
    </w:p>
    <w:p w14:paraId="40743358">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4.3服务进度要求</w:t>
      </w:r>
    </w:p>
    <w:p w14:paraId="39641703">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应对</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提供资料的完整性、严谨性把关，对因范围不清晰、图纸不详导致基本工程量难以计算等情况，应在收到资料</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个工作日内向</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提出资料补充要求。因资料不完整但</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未能及时提出而造成编审进度延误，由</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负责。</w:t>
      </w:r>
    </w:p>
    <w:p w14:paraId="3FDAE3AE">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68" w:name="_Toc16878"/>
      <w:r>
        <w:rPr>
          <w:rFonts w:hint="eastAsia" w:ascii="宋体" w:hAnsi="宋体" w:eastAsia="宋体" w:cs="宋体"/>
          <w:b w:val="0"/>
          <w:bCs w:val="0"/>
          <w:color w:val="auto"/>
          <w:sz w:val="24"/>
          <w:szCs w:val="24"/>
          <w:highlight w:val="none"/>
        </w:rPr>
        <w:t>4.3.2各类造价服务工作任务的工作时限要求（</w:t>
      </w:r>
      <w:r>
        <w:rPr>
          <w:rFonts w:hint="eastAsia" w:ascii="宋体" w:hAnsi="宋体" w:eastAsia="宋体" w:cs="宋体"/>
          <w:b w:val="0"/>
          <w:bCs w:val="0"/>
          <w:color w:val="auto"/>
          <w:sz w:val="24"/>
          <w:szCs w:val="24"/>
          <w:highlight w:val="none"/>
          <w:lang w:val="en-US" w:eastAsia="zh-CN"/>
        </w:rPr>
        <w:t>以下天数指</w:t>
      </w:r>
      <w:r>
        <w:rPr>
          <w:rFonts w:hint="eastAsia" w:ascii="宋体" w:hAnsi="宋体" w:eastAsia="宋体" w:cs="宋体"/>
          <w:b w:val="0"/>
          <w:bCs w:val="0"/>
          <w:color w:val="auto"/>
          <w:sz w:val="24"/>
          <w:szCs w:val="24"/>
          <w:highlight w:val="none"/>
        </w:rPr>
        <w:t>日历天</w:t>
      </w:r>
      <w:r>
        <w:rPr>
          <w:rFonts w:hint="eastAsia" w:ascii="宋体" w:hAnsi="宋体" w:eastAsia="宋体" w:cs="宋体"/>
          <w:b w:val="0"/>
          <w:bCs w:val="0"/>
          <w:color w:val="auto"/>
          <w:sz w:val="24"/>
          <w:szCs w:val="24"/>
          <w:highlight w:val="none"/>
          <w:lang w:val="en-US" w:eastAsia="zh-CN"/>
        </w:rPr>
        <w:t>数</w:t>
      </w:r>
      <w:r>
        <w:rPr>
          <w:rFonts w:hint="eastAsia" w:ascii="宋体" w:hAnsi="宋体" w:eastAsia="宋体" w:cs="宋体"/>
          <w:b w:val="0"/>
          <w:bCs w:val="0"/>
          <w:color w:val="auto"/>
          <w:sz w:val="24"/>
          <w:szCs w:val="24"/>
          <w:highlight w:val="none"/>
        </w:rPr>
        <w:t>）</w:t>
      </w:r>
      <w:bookmarkEnd w:id="168"/>
    </w:p>
    <w:p w14:paraId="29AA641B">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69" w:name="_Toc15955"/>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统一要求：</w:t>
      </w:r>
      <w:r>
        <w:rPr>
          <w:rFonts w:hint="eastAsia" w:ascii="宋体" w:hAnsi="宋体" w:eastAsia="宋体" w:cs="宋体"/>
          <w:b w:val="0"/>
          <w:bCs w:val="0"/>
          <w:color w:val="auto"/>
          <w:sz w:val="24"/>
          <w:szCs w:val="24"/>
          <w:highlight w:val="none"/>
        </w:rPr>
        <w:t>电子版</w:t>
      </w:r>
      <w:r>
        <w:rPr>
          <w:rFonts w:hint="eastAsia" w:ascii="宋体" w:hAnsi="宋体" w:eastAsia="宋体" w:cs="宋体"/>
          <w:b w:val="0"/>
          <w:bCs w:val="0"/>
          <w:color w:val="auto"/>
          <w:sz w:val="24"/>
          <w:szCs w:val="24"/>
          <w:highlight w:val="none"/>
          <w:lang w:val="en-US" w:eastAsia="zh-CN"/>
        </w:rPr>
        <w:t>成果文件</w:t>
      </w:r>
      <w:r>
        <w:rPr>
          <w:rFonts w:hint="eastAsia" w:ascii="宋体" w:hAnsi="宋体" w:eastAsia="宋体" w:cs="宋体"/>
          <w:b w:val="0"/>
          <w:bCs w:val="0"/>
          <w:color w:val="auto"/>
          <w:sz w:val="24"/>
          <w:szCs w:val="24"/>
          <w:highlight w:val="none"/>
        </w:rPr>
        <w:t>由项目负责人发送</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lang w:val="en-US" w:eastAsia="zh-CN"/>
        </w:rPr>
        <w:t>指定的工作邮箱</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送审稿和审定稿</w:t>
      </w:r>
      <w:r>
        <w:rPr>
          <w:rFonts w:hint="eastAsia" w:ascii="宋体" w:hAnsi="宋体" w:eastAsia="宋体" w:cs="宋体"/>
          <w:b w:val="0"/>
          <w:bCs w:val="0"/>
          <w:color w:val="auto"/>
          <w:sz w:val="24"/>
          <w:szCs w:val="24"/>
          <w:highlight w:val="none"/>
        </w:rPr>
        <w:t>纸质版</w:t>
      </w:r>
      <w:r>
        <w:rPr>
          <w:rFonts w:hint="eastAsia" w:ascii="宋体" w:hAnsi="宋体" w:eastAsia="宋体" w:cs="宋体"/>
          <w:b w:val="0"/>
          <w:bCs w:val="0"/>
          <w:color w:val="auto"/>
          <w:sz w:val="24"/>
          <w:szCs w:val="24"/>
          <w:highlight w:val="none"/>
          <w:lang w:val="en-US" w:eastAsia="zh-CN"/>
        </w:rPr>
        <w:t>成果文件完成对数及确认后5天内提交，无需对数的</w:t>
      </w:r>
      <w:r>
        <w:rPr>
          <w:rFonts w:hint="eastAsia" w:ascii="宋体" w:hAnsi="宋体" w:eastAsia="宋体" w:cs="宋体"/>
          <w:b w:val="0"/>
          <w:bCs w:val="0"/>
          <w:color w:val="auto"/>
          <w:sz w:val="24"/>
          <w:szCs w:val="24"/>
          <w:highlight w:val="none"/>
        </w:rPr>
        <w:t>收到</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通知后2天内提交</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同步发送与纸质版一致的审定稿电子版</w:t>
      </w:r>
      <w:r>
        <w:rPr>
          <w:rFonts w:hint="eastAsia" w:ascii="宋体" w:hAnsi="宋体" w:eastAsia="宋体" w:cs="宋体"/>
          <w:b w:val="0"/>
          <w:bCs w:val="0"/>
          <w:color w:val="auto"/>
          <w:sz w:val="24"/>
          <w:szCs w:val="24"/>
          <w:highlight w:val="none"/>
        </w:rPr>
        <w:t>；除特别说明外，纸质版成果文件应提交一式</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份。</w:t>
      </w:r>
      <w:bookmarkEnd w:id="169"/>
    </w:p>
    <w:p w14:paraId="6D7E6F99">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70" w:name="_Toc24994"/>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）投资估算审核</w:t>
      </w:r>
      <w:r>
        <w:rPr>
          <w:rFonts w:hint="eastAsia" w:ascii="宋体" w:hAnsi="宋体" w:eastAsia="宋体" w:cs="宋体"/>
          <w:b w:val="0"/>
          <w:bCs/>
          <w:color w:val="auto"/>
          <w:kern w:val="0"/>
          <w:sz w:val="24"/>
          <w:szCs w:val="24"/>
          <w:highlight w:val="none"/>
          <w:lang w:val="en-US" w:eastAsia="zh-CN"/>
        </w:rPr>
        <w:t>（如需）</w:t>
      </w:r>
      <w:r>
        <w:rPr>
          <w:rFonts w:hint="eastAsia" w:ascii="宋体" w:hAnsi="宋体" w:eastAsia="宋体" w:cs="宋体"/>
          <w:b w:val="0"/>
          <w:bCs w:val="0"/>
          <w:color w:val="auto"/>
          <w:sz w:val="24"/>
          <w:szCs w:val="24"/>
          <w:highlight w:val="none"/>
        </w:rPr>
        <w:t>：自收到可行性研究报告电子版起3天内</w:t>
      </w:r>
      <w:r>
        <w:rPr>
          <w:rFonts w:hint="eastAsia" w:ascii="宋体" w:hAnsi="宋体" w:eastAsia="宋体" w:cs="宋体"/>
          <w:b w:val="0"/>
          <w:bCs w:val="0"/>
          <w:color w:val="auto"/>
          <w:sz w:val="24"/>
          <w:szCs w:val="24"/>
          <w:highlight w:val="none"/>
          <w:lang w:val="en-US" w:eastAsia="zh-CN"/>
        </w:rPr>
        <w:t>提交</w:t>
      </w:r>
      <w:r>
        <w:rPr>
          <w:rFonts w:hint="eastAsia" w:ascii="宋体" w:hAnsi="宋体" w:eastAsia="宋体" w:cs="宋体"/>
          <w:b w:val="0"/>
          <w:bCs w:val="0"/>
          <w:color w:val="auto"/>
          <w:sz w:val="24"/>
          <w:szCs w:val="24"/>
          <w:highlight w:val="none"/>
        </w:rPr>
        <w:t>审核报告</w:t>
      </w:r>
      <w:r>
        <w:rPr>
          <w:rFonts w:hint="eastAsia" w:ascii="宋体" w:hAnsi="宋体" w:eastAsia="宋体" w:cs="宋体"/>
          <w:b w:val="0"/>
          <w:bCs w:val="0"/>
          <w:color w:val="auto"/>
          <w:sz w:val="24"/>
          <w:szCs w:val="24"/>
          <w:highlight w:val="none"/>
          <w:lang w:val="en-US" w:eastAsia="zh-CN"/>
        </w:rPr>
        <w:t>送审稿电子版</w:t>
      </w:r>
      <w:r>
        <w:rPr>
          <w:rFonts w:hint="eastAsia" w:ascii="宋体" w:hAnsi="宋体" w:eastAsia="宋体" w:cs="宋体"/>
          <w:b w:val="0"/>
          <w:bCs w:val="0"/>
          <w:color w:val="auto"/>
          <w:sz w:val="24"/>
          <w:szCs w:val="24"/>
          <w:highlight w:val="none"/>
        </w:rPr>
        <w:t>。</w:t>
      </w:r>
      <w:bookmarkEnd w:id="170"/>
    </w:p>
    <w:p w14:paraId="40F2D1F6">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71" w:name="_Toc12460"/>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）设计概算</w:t>
      </w:r>
      <w:r>
        <w:rPr>
          <w:rFonts w:hint="eastAsia" w:ascii="宋体" w:hAnsi="宋体" w:eastAsia="宋体" w:cs="宋体"/>
          <w:b w:val="0"/>
          <w:bCs w:val="0"/>
          <w:color w:val="auto"/>
          <w:sz w:val="24"/>
          <w:szCs w:val="24"/>
          <w:highlight w:val="none"/>
          <w:lang w:val="en-US" w:eastAsia="zh-CN"/>
        </w:rPr>
        <w:t>审核</w:t>
      </w:r>
      <w:r>
        <w:rPr>
          <w:rFonts w:hint="eastAsia" w:ascii="宋体" w:hAnsi="宋体" w:eastAsia="宋体" w:cs="宋体"/>
          <w:b w:val="0"/>
          <w:bCs w:val="0"/>
          <w:color w:val="auto"/>
          <w:sz w:val="24"/>
          <w:szCs w:val="24"/>
          <w:highlight w:val="none"/>
        </w:rPr>
        <w:t>、施工图预算</w:t>
      </w:r>
      <w:r>
        <w:rPr>
          <w:rFonts w:hint="eastAsia" w:ascii="宋体" w:hAnsi="宋体" w:eastAsia="宋体" w:cs="宋体"/>
          <w:b w:val="0"/>
          <w:bCs w:val="0"/>
          <w:color w:val="auto"/>
          <w:sz w:val="24"/>
          <w:szCs w:val="24"/>
          <w:highlight w:val="none"/>
          <w:lang w:val="en-US" w:eastAsia="zh-CN"/>
        </w:rPr>
        <w:t>编制或审核</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施工及货物</w:t>
      </w:r>
      <w:r>
        <w:rPr>
          <w:rFonts w:hint="eastAsia" w:ascii="宋体" w:hAnsi="宋体" w:eastAsia="宋体" w:cs="宋体"/>
          <w:b w:val="0"/>
          <w:bCs w:val="0"/>
          <w:color w:val="auto"/>
          <w:sz w:val="24"/>
          <w:szCs w:val="24"/>
          <w:highlight w:val="none"/>
        </w:rPr>
        <w:t>招标工程量清单</w:t>
      </w:r>
      <w:r>
        <w:rPr>
          <w:rFonts w:hint="eastAsia" w:ascii="宋体" w:hAnsi="宋体" w:eastAsia="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rPr>
        <w:t>招标控制价编制</w:t>
      </w:r>
      <w:r>
        <w:rPr>
          <w:rFonts w:hint="eastAsia" w:ascii="宋体" w:hAnsi="宋体" w:eastAsia="宋体" w:cs="宋体"/>
          <w:b w:val="0"/>
          <w:color w:val="auto"/>
          <w:sz w:val="24"/>
          <w:szCs w:val="24"/>
          <w:highlight w:val="none"/>
          <w:lang w:val="en-US" w:eastAsia="zh-CN"/>
        </w:rPr>
        <w:t>或</w:t>
      </w:r>
      <w:r>
        <w:rPr>
          <w:rFonts w:hint="eastAsia" w:ascii="宋体" w:hAnsi="宋体" w:eastAsia="宋体" w:cs="宋体"/>
          <w:b w:val="0"/>
          <w:bCs w:val="0"/>
          <w:color w:val="auto"/>
          <w:sz w:val="24"/>
          <w:szCs w:val="24"/>
          <w:highlight w:val="none"/>
          <w:lang w:val="en-US" w:eastAsia="zh-CN"/>
        </w:rPr>
        <w:t>审核</w:t>
      </w:r>
      <w:r>
        <w:rPr>
          <w:rFonts w:hint="eastAsia" w:ascii="宋体" w:hAnsi="宋体" w:eastAsia="宋体" w:cs="宋体"/>
          <w:b w:val="0"/>
          <w:bCs w:val="0"/>
          <w:color w:val="auto"/>
          <w:sz w:val="24"/>
          <w:szCs w:val="24"/>
          <w:highlight w:val="none"/>
        </w:rPr>
        <w:t>：自</w:t>
      </w:r>
      <w:r>
        <w:rPr>
          <w:rFonts w:hint="eastAsia" w:ascii="宋体" w:hAnsi="宋体" w:eastAsia="宋体" w:cs="宋体"/>
          <w:b w:val="0"/>
          <w:bCs w:val="0"/>
          <w:color w:val="auto"/>
          <w:sz w:val="24"/>
          <w:szCs w:val="24"/>
          <w:highlight w:val="none"/>
          <w:lang w:val="en-US" w:eastAsia="zh-CN"/>
        </w:rPr>
        <w:t>收到</w:t>
      </w:r>
      <w:r>
        <w:rPr>
          <w:rFonts w:hint="eastAsia" w:ascii="宋体" w:hAnsi="宋体" w:eastAsia="宋体" w:cs="宋体"/>
          <w:b w:val="0"/>
          <w:bCs w:val="0"/>
          <w:color w:val="auto"/>
          <w:sz w:val="24"/>
          <w:szCs w:val="24"/>
          <w:highlight w:val="none"/>
        </w:rPr>
        <w:t>完整资料起，</w:t>
      </w:r>
      <w:r>
        <w:rPr>
          <w:rFonts w:hint="eastAsia" w:ascii="宋体" w:hAnsi="宋体" w:eastAsia="宋体" w:cs="宋体"/>
          <w:b w:val="0"/>
          <w:bCs w:val="0"/>
          <w:color w:val="auto"/>
          <w:sz w:val="24"/>
          <w:szCs w:val="24"/>
          <w:highlight w:val="none"/>
          <w:lang w:val="en-US" w:eastAsia="zh-CN"/>
        </w:rPr>
        <w:t>提交</w:t>
      </w:r>
      <w:r>
        <w:rPr>
          <w:rFonts w:hint="eastAsia" w:ascii="宋体" w:hAnsi="宋体" w:eastAsia="宋体" w:cs="宋体"/>
          <w:b w:val="0"/>
          <w:bCs w:val="0"/>
          <w:color w:val="auto"/>
          <w:sz w:val="24"/>
          <w:szCs w:val="24"/>
          <w:highlight w:val="none"/>
        </w:rPr>
        <w:t>成果文件</w:t>
      </w:r>
      <w:r>
        <w:rPr>
          <w:rFonts w:hint="eastAsia" w:ascii="宋体" w:hAnsi="宋体" w:eastAsia="宋体" w:cs="宋体"/>
          <w:b w:val="0"/>
          <w:bCs w:val="0"/>
          <w:color w:val="auto"/>
          <w:sz w:val="24"/>
          <w:szCs w:val="24"/>
          <w:highlight w:val="none"/>
          <w:lang w:val="en-US" w:eastAsia="zh-CN"/>
        </w:rPr>
        <w:t>送审稿电子版</w:t>
      </w:r>
      <w:r>
        <w:rPr>
          <w:rFonts w:hint="eastAsia" w:ascii="宋体" w:hAnsi="宋体" w:eastAsia="宋体" w:cs="宋体"/>
          <w:b w:val="0"/>
          <w:bCs w:val="0"/>
          <w:color w:val="auto"/>
          <w:sz w:val="24"/>
          <w:szCs w:val="24"/>
          <w:highlight w:val="none"/>
        </w:rPr>
        <w:t>时间为：</w:t>
      </w:r>
      <w:r>
        <w:rPr>
          <w:rFonts w:hint="eastAsia" w:ascii="宋体" w:hAnsi="宋体" w:eastAsia="宋体" w:cs="宋体"/>
          <w:b w:val="0"/>
          <w:bCs w:val="0"/>
          <w:color w:val="auto"/>
          <w:sz w:val="24"/>
          <w:szCs w:val="24"/>
          <w:highlight w:val="none"/>
          <w:lang w:val="en-US" w:eastAsia="zh-CN"/>
        </w:rPr>
        <w:t>金额1</w:t>
      </w:r>
      <w:r>
        <w:rPr>
          <w:rFonts w:hint="eastAsia" w:ascii="宋体" w:hAnsi="宋体" w:eastAsia="宋体" w:cs="宋体"/>
          <w:b w:val="0"/>
          <w:bCs w:val="0"/>
          <w:color w:val="auto"/>
          <w:sz w:val="24"/>
          <w:szCs w:val="24"/>
          <w:highlight w:val="none"/>
        </w:rPr>
        <w:t>000万元（含本数）</w:t>
      </w:r>
      <w:r>
        <w:rPr>
          <w:rFonts w:hint="eastAsia" w:ascii="宋体" w:hAnsi="宋体" w:eastAsia="宋体" w:cs="宋体"/>
          <w:b w:val="0"/>
          <w:bCs w:val="0"/>
          <w:color w:val="auto"/>
          <w:sz w:val="24"/>
          <w:szCs w:val="24"/>
          <w:highlight w:val="none"/>
          <w:lang w:val="en-US" w:eastAsia="zh-CN"/>
        </w:rPr>
        <w:t>以内</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天，</w:t>
      </w:r>
      <w:r>
        <w:rPr>
          <w:rFonts w:hint="eastAsia" w:ascii="宋体" w:hAnsi="宋体" w:eastAsia="宋体" w:cs="宋体"/>
          <w:b w:val="0"/>
          <w:bCs w:val="0"/>
          <w:color w:val="auto"/>
          <w:sz w:val="24"/>
          <w:szCs w:val="24"/>
          <w:highlight w:val="none"/>
          <w:lang w:val="en-US" w:eastAsia="zh-CN"/>
        </w:rPr>
        <w:t>金额1000万元（不含本数）-</w:t>
      </w:r>
      <w:r>
        <w:rPr>
          <w:rFonts w:hint="eastAsia" w:ascii="宋体" w:hAnsi="宋体" w:eastAsia="宋体" w:cs="宋体"/>
          <w:b w:val="0"/>
          <w:bCs w:val="0"/>
          <w:color w:val="auto"/>
          <w:sz w:val="24"/>
          <w:szCs w:val="24"/>
          <w:highlight w:val="none"/>
        </w:rPr>
        <w:t>3000万元（含本数）的</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天，</w:t>
      </w:r>
      <w:r>
        <w:rPr>
          <w:rFonts w:hint="eastAsia" w:ascii="宋体" w:hAnsi="宋体" w:eastAsia="宋体" w:cs="宋体"/>
          <w:b w:val="0"/>
          <w:bCs w:val="0"/>
          <w:color w:val="auto"/>
          <w:sz w:val="24"/>
          <w:szCs w:val="24"/>
          <w:highlight w:val="none"/>
          <w:lang w:val="en-US" w:eastAsia="zh-CN"/>
        </w:rPr>
        <w:t>金额</w:t>
      </w:r>
      <w:r>
        <w:rPr>
          <w:rFonts w:hint="eastAsia" w:ascii="宋体" w:hAnsi="宋体" w:eastAsia="宋体" w:cs="宋体"/>
          <w:b w:val="0"/>
          <w:bCs w:val="0"/>
          <w:color w:val="auto"/>
          <w:sz w:val="24"/>
          <w:szCs w:val="24"/>
          <w:highlight w:val="none"/>
        </w:rPr>
        <w:t>3000万元</w:t>
      </w:r>
      <w:r>
        <w:rPr>
          <w:rFonts w:hint="eastAsia" w:ascii="宋体" w:hAnsi="宋体" w:eastAsia="宋体" w:cs="宋体"/>
          <w:b w:val="0"/>
          <w:bCs w:val="0"/>
          <w:color w:val="auto"/>
          <w:sz w:val="24"/>
          <w:szCs w:val="24"/>
          <w:highlight w:val="none"/>
          <w:lang w:val="en-US" w:eastAsia="zh-CN"/>
        </w:rPr>
        <w:t>（不含本数）</w:t>
      </w:r>
      <w:r>
        <w:rPr>
          <w:rFonts w:hint="eastAsia" w:ascii="宋体" w:hAnsi="宋体" w:eastAsia="宋体" w:cs="宋体"/>
          <w:b w:val="0"/>
          <w:bCs w:val="0"/>
          <w:color w:val="auto"/>
          <w:sz w:val="24"/>
          <w:szCs w:val="24"/>
          <w:highlight w:val="none"/>
        </w:rPr>
        <w:t>-2亿元（含本数）的</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天，金额2亿元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不含本数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以上的25天，</w:t>
      </w:r>
      <w:r>
        <w:rPr>
          <w:rFonts w:hint="eastAsia" w:ascii="宋体" w:hAnsi="宋体" w:eastAsia="宋体" w:cs="宋体"/>
          <w:b w:val="0"/>
          <w:bCs w:val="0"/>
          <w:color w:val="auto"/>
          <w:sz w:val="24"/>
          <w:szCs w:val="24"/>
          <w:highlight w:val="none"/>
          <w:lang w:val="en-US" w:eastAsia="zh-CN"/>
        </w:rPr>
        <w:t>特殊情况经批准后延长时间不超过10天。</w:t>
      </w:r>
      <w:r>
        <w:rPr>
          <w:rFonts w:hint="eastAsia" w:ascii="宋体" w:hAnsi="宋体" w:eastAsia="宋体" w:cs="宋体"/>
          <w:b w:val="0"/>
          <w:bCs w:val="0"/>
          <w:color w:val="auto"/>
          <w:sz w:val="24"/>
          <w:szCs w:val="24"/>
          <w:highlight w:val="none"/>
        </w:rPr>
        <w:t>特殊、紧急项目</w:t>
      </w:r>
      <w:r>
        <w:rPr>
          <w:rFonts w:hint="eastAsia" w:ascii="宋体" w:hAnsi="宋体" w:eastAsia="宋体" w:cs="宋体"/>
          <w:b w:val="0"/>
          <w:bCs w:val="0"/>
          <w:color w:val="auto"/>
          <w:sz w:val="24"/>
          <w:szCs w:val="24"/>
          <w:highlight w:val="none"/>
          <w:lang w:val="en-US" w:eastAsia="zh-CN"/>
        </w:rPr>
        <w:t>需缩减送审稿完成时间的，</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具体要求为准。</w:t>
      </w:r>
      <w:bookmarkEnd w:id="171"/>
    </w:p>
    <w:p w14:paraId="6E384381">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72" w:name="_Toc20829"/>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）服务</w:t>
      </w:r>
      <w:r>
        <w:rPr>
          <w:rFonts w:hint="eastAsia" w:ascii="宋体" w:hAnsi="宋体" w:eastAsia="宋体" w:cs="宋体"/>
          <w:b w:val="0"/>
          <w:bCs w:val="0"/>
          <w:color w:val="auto"/>
          <w:sz w:val="24"/>
          <w:szCs w:val="24"/>
          <w:highlight w:val="none"/>
          <w:lang w:val="en-US" w:eastAsia="zh-CN"/>
        </w:rPr>
        <w:t>类合同招标</w:t>
      </w:r>
      <w:r>
        <w:rPr>
          <w:rFonts w:hint="eastAsia" w:ascii="宋体" w:hAnsi="宋体" w:eastAsia="宋体" w:cs="宋体"/>
          <w:b w:val="0"/>
          <w:bCs w:val="0"/>
          <w:color w:val="auto"/>
          <w:sz w:val="24"/>
          <w:szCs w:val="24"/>
          <w:highlight w:val="none"/>
        </w:rPr>
        <w:t>控制价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工程量清单等的</w:t>
      </w:r>
      <w:r>
        <w:rPr>
          <w:rFonts w:hint="eastAsia" w:ascii="宋体" w:hAnsi="宋体" w:eastAsia="宋体" w:cs="宋体"/>
          <w:b w:val="0"/>
          <w:bCs w:val="0"/>
          <w:color w:val="auto"/>
          <w:sz w:val="24"/>
          <w:szCs w:val="24"/>
          <w:highlight w:val="none"/>
        </w:rPr>
        <w:t>编制</w:t>
      </w:r>
      <w:r>
        <w:rPr>
          <w:rFonts w:hint="eastAsia" w:ascii="宋体" w:hAnsi="宋体" w:eastAsia="宋体" w:cs="宋体"/>
          <w:b w:val="0"/>
          <w:bCs w:val="0"/>
          <w:color w:val="auto"/>
          <w:sz w:val="24"/>
          <w:szCs w:val="24"/>
          <w:highlight w:val="none"/>
          <w:lang w:val="en-US" w:eastAsia="zh-CN"/>
        </w:rPr>
        <w:t>或审核</w:t>
      </w:r>
      <w:r>
        <w:rPr>
          <w:rFonts w:hint="eastAsia" w:ascii="宋体" w:hAnsi="宋体" w:eastAsia="宋体" w:cs="宋体"/>
          <w:b w:val="0"/>
          <w:bCs w:val="0"/>
          <w:color w:val="auto"/>
          <w:sz w:val="24"/>
          <w:szCs w:val="24"/>
          <w:highlight w:val="none"/>
        </w:rPr>
        <w:t>：自收到完整资料起，</w:t>
      </w:r>
      <w:r>
        <w:rPr>
          <w:rFonts w:hint="eastAsia" w:ascii="宋体" w:hAnsi="宋体" w:eastAsia="宋体" w:cs="宋体"/>
          <w:b w:val="0"/>
          <w:bCs w:val="0"/>
          <w:color w:val="auto"/>
          <w:sz w:val="24"/>
          <w:szCs w:val="24"/>
          <w:highlight w:val="none"/>
          <w:lang w:val="en-US" w:eastAsia="zh-CN"/>
        </w:rPr>
        <w:t>提交</w:t>
      </w:r>
      <w:r>
        <w:rPr>
          <w:rFonts w:hint="eastAsia" w:ascii="宋体" w:hAnsi="宋体" w:eastAsia="宋体" w:cs="宋体"/>
          <w:b w:val="0"/>
          <w:bCs w:val="0"/>
          <w:color w:val="auto"/>
          <w:sz w:val="24"/>
          <w:szCs w:val="24"/>
          <w:highlight w:val="none"/>
        </w:rPr>
        <w:t>成果文件</w:t>
      </w:r>
      <w:r>
        <w:rPr>
          <w:rFonts w:hint="eastAsia" w:ascii="宋体" w:hAnsi="宋体" w:eastAsia="宋体" w:cs="宋体"/>
          <w:b w:val="0"/>
          <w:bCs w:val="0"/>
          <w:color w:val="auto"/>
          <w:sz w:val="24"/>
          <w:szCs w:val="24"/>
          <w:highlight w:val="none"/>
          <w:lang w:val="en-US" w:eastAsia="zh-CN"/>
        </w:rPr>
        <w:t>送审稿电子版</w:t>
      </w:r>
      <w:r>
        <w:rPr>
          <w:rFonts w:hint="eastAsia" w:ascii="宋体" w:hAnsi="宋体" w:eastAsia="宋体" w:cs="宋体"/>
          <w:b w:val="0"/>
          <w:bCs w:val="0"/>
          <w:color w:val="auto"/>
          <w:sz w:val="24"/>
          <w:szCs w:val="24"/>
          <w:highlight w:val="none"/>
        </w:rPr>
        <w:t>时间为：金额</w:t>
      </w:r>
      <w:r>
        <w:rPr>
          <w:rFonts w:hint="eastAsia" w:ascii="宋体" w:hAnsi="宋体" w:eastAsia="宋体" w:cs="宋体"/>
          <w:b w:val="0"/>
          <w:bCs w:val="0"/>
          <w:color w:val="auto"/>
          <w:sz w:val="24"/>
          <w:szCs w:val="24"/>
          <w:highlight w:val="none"/>
          <w:lang w:val="en-US" w:eastAsia="zh-CN"/>
        </w:rPr>
        <w:t>500</w:t>
      </w:r>
      <w:r>
        <w:rPr>
          <w:rFonts w:hint="eastAsia" w:ascii="宋体" w:hAnsi="宋体" w:eastAsia="宋体" w:cs="宋体"/>
          <w:b w:val="0"/>
          <w:bCs w:val="0"/>
          <w:color w:val="auto"/>
          <w:sz w:val="24"/>
          <w:szCs w:val="24"/>
          <w:highlight w:val="none"/>
        </w:rPr>
        <w:t>万元（含本数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以内</w:t>
      </w:r>
      <w:r>
        <w:rPr>
          <w:rFonts w:hint="eastAsia" w:ascii="宋体" w:hAnsi="宋体" w:eastAsia="宋体" w:cs="宋体"/>
          <w:b w:val="0"/>
          <w:bCs w:val="0"/>
          <w:color w:val="auto"/>
          <w:sz w:val="24"/>
          <w:szCs w:val="24"/>
          <w:highlight w:val="none"/>
        </w:rPr>
        <w:t>的3天，</w:t>
      </w:r>
      <w:r>
        <w:rPr>
          <w:rFonts w:hint="eastAsia" w:ascii="宋体" w:hAnsi="宋体" w:eastAsia="宋体" w:cs="宋体"/>
          <w:b w:val="0"/>
          <w:bCs w:val="0"/>
          <w:color w:val="auto"/>
          <w:sz w:val="24"/>
          <w:szCs w:val="24"/>
          <w:highlight w:val="none"/>
          <w:lang w:val="en-US" w:eastAsia="zh-CN"/>
        </w:rPr>
        <w:t>金额5</w:t>
      </w:r>
      <w:r>
        <w:rPr>
          <w:rFonts w:hint="eastAsia" w:ascii="宋体" w:hAnsi="宋体" w:eastAsia="宋体" w:cs="宋体"/>
          <w:b w:val="0"/>
          <w:bCs w:val="0"/>
          <w:color w:val="auto"/>
          <w:sz w:val="24"/>
          <w:szCs w:val="24"/>
          <w:highlight w:val="none"/>
        </w:rPr>
        <w:t>00万元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不含本数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以上的7天，</w:t>
      </w:r>
      <w:r>
        <w:rPr>
          <w:rFonts w:hint="eastAsia" w:ascii="宋体" w:hAnsi="宋体" w:eastAsia="宋体" w:cs="宋体"/>
          <w:b w:val="0"/>
          <w:bCs w:val="0"/>
          <w:color w:val="auto"/>
          <w:sz w:val="24"/>
          <w:szCs w:val="24"/>
          <w:highlight w:val="none"/>
          <w:lang w:val="en-US" w:eastAsia="zh-CN"/>
        </w:rPr>
        <w:t>特殊情况经批准后延长时间不超过5天。</w:t>
      </w:r>
      <w:r>
        <w:rPr>
          <w:rFonts w:hint="eastAsia" w:ascii="宋体" w:hAnsi="宋体" w:eastAsia="宋体" w:cs="宋体"/>
          <w:b w:val="0"/>
          <w:bCs w:val="0"/>
          <w:color w:val="auto"/>
          <w:sz w:val="24"/>
          <w:szCs w:val="24"/>
          <w:highlight w:val="none"/>
        </w:rPr>
        <w:t>特殊、紧急项目</w:t>
      </w:r>
      <w:r>
        <w:rPr>
          <w:rFonts w:hint="eastAsia" w:ascii="宋体" w:hAnsi="宋体" w:eastAsia="宋体" w:cs="宋体"/>
          <w:b w:val="0"/>
          <w:bCs w:val="0"/>
          <w:color w:val="auto"/>
          <w:sz w:val="24"/>
          <w:szCs w:val="24"/>
          <w:highlight w:val="none"/>
          <w:lang w:val="en-US" w:eastAsia="zh-CN"/>
        </w:rPr>
        <w:t>需缩减完成时间的，</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具体要求为准。</w:t>
      </w:r>
      <w:bookmarkEnd w:id="172"/>
    </w:p>
    <w:p w14:paraId="0E7E9F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rPr>
        <w:t>招标文件（含澄清答疑）审核：自收到资料起2天内出具审核说明</w:t>
      </w:r>
      <w:r>
        <w:rPr>
          <w:rFonts w:hint="eastAsia" w:ascii="宋体" w:hAnsi="宋体" w:eastAsia="宋体" w:cs="宋体"/>
          <w:color w:val="auto"/>
          <w:kern w:val="0"/>
          <w:sz w:val="24"/>
          <w:szCs w:val="24"/>
          <w:highlight w:val="none"/>
          <w:lang w:val="en-US" w:eastAsia="zh-CN"/>
        </w:rPr>
        <w:t>电子版</w:t>
      </w:r>
      <w:r>
        <w:rPr>
          <w:rFonts w:hint="eastAsia" w:ascii="宋体" w:hAnsi="宋体" w:eastAsia="宋体" w:cs="宋体"/>
          <w:color w:val="auto"/>
          <w:kern w:val="0"/>
          <w:sz w:val="24"/>
          <w:szCs w:val="24"/>
          <w:highlight w:val="none"/>
        </w:rPr>
        <w:t>。</w:t>
      </w:r>
    </w:p>
    <w:p w14:paraId="64D519AF">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73" w:name="_Toc23507"/>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工程量清单复核报告</w:t>
      </w:r>
      <w:r>
        <w:rPr>
          <w:rFonts w:hint="eastAsia" w:ascii="宋体" w:hAnsi="宋体" w:eastAsia="宋体" w:cs="宋体"/>
          <w:b w:val="0"/>
          <w:bCs w:val="0"/>
          <w:color w:val="auto"/>
          <w:sz w:val="24"/>
          <w:szCs w:val="24"/>
          <w:highlight w:val="none"/>
        </w:rPr>
        <w:t>：自收到中标人投标文件</w:t>
      </w:r>
      <w:r>
        <w:rPr>
          <w:rFonts w:hint="eastAsia" w:ascii="宋体" w:hAnsi="宋体" w:eastAsia="宋体" w:cs="宋体"/>
          <w:b w:val="0"/>
          <w:bCs w:val="0"/>
          <w:color w:val="auto"/>
          <w:sz w:val="24"/>
          <w:szCs w:val="24"/>
          <w:highlight w:val="none"/>
          <w:lang w:val="en-US" w:eastAsia="zh-CN"/>
        </w:rPr>
        <w:t>起，</w:t>
      </w:r>
      <w:r>
        <w:rPr>
          <w:rFonts w:hint="eastAsia" w:ascii="宋体" w:hAnsi="宋体" w:eastAsia="宋体" w:cs="宋体"/>
          <w:b w:val="0"/>
          <w:bCs w:val="0"/>
          <w:color w:val="auto"/>
          <w:sz w:val="24"/>
          <w:szCs w:val="24"/>
          <w:highlight w:val="none"/>
        </w:rPr>
        <w:t>15天内</w:t>
      </w:r>
      <w:r>
        <w:rPr>
          <w:rFonts w:hint="eastAsia" w:ascii="宋体" w:hAnsi="宋体" w:eastAsia="宋体" w:cs="宋体"/>
          <w:b w:val="0"/>
          <w:bCs w:val="0"/>
          <w:color w:val="auto"/>
          <w:sz w:val="24"/>
          <w:szCs w:val="24"/>
          <w:highlight w:val="none"/>
          <w:lang w:val="en-US" w:eastAsia="zh-CN"/>
        </w:rPr>
        <w:t>提交</w:t>
      </w:r>
      <w:r>
        <w:rPr>
          <w:rFonts w:hint="eastAsia" w:ascii="宋体" w:hAnsi="宋体" w:eastAsia="宋体" w:cs="宋体"/>
          <w:b w:val="0"/>
          <w:bCs w:val="0"/>
          <w:color w:val="auto"/>
          <w:sz w:val="24"/>
          <w:szCs w:val="24"/>
          <w:highlight w:val="none"/>
        </w:rPr>
        <w:t>审核</w:t>
      </w:r>
      <w:r>
        <w:rPr>
          <w:rFonts w:hint="eastAsia" w:ascii="宋体" w:hAnsi="宋体" w:eastAsia="宋体" w:cs="宋体"/>
          <w:b w:val="0"/>
          <w:bCs w:val="0"/>
          <w:color w:val="auto"/>
          <w:sz w:val="24"/>
          <w:szCs w:val="24"/>
          <w:highlight w:val="none"/>
          <w:lang w:val="en-US" w:eastAsia="zh-CN"/>
        </w:rPr>
        <w:t>报告送审稿电子版，提交送审稿电子版后30天</w:t>
      </w:r>
      <w:r>
        <w:rPr>
          <w:rFonts w:hint="eastAsia" w:ascii="宋体" w:hAnsi="宋体" w:eastAsia="宋体" w:cs="宋体"/>
          <w:b w:val="0"/>
          <w:bCs w:val="0"/>
          <w:color w:val="auto"/>
          <w:sz w:val="24"/>
          <w:szCs w:val="24"/>
          <w:highlight w:val="none"/>
        </w:rPr>
        <w:t>内</w:t>
      </w:r>
      <w:r>
        <w:rPr>
          <w:rFonts w:hint="eastAsia" w:ascii="宋体" w:hAnsi="宋体" w:eastAsia="宋体" w:cs="宋体"/>
          <w:b w:val="0"/>
          <w:bCs w:val="0"/>
          <w:color w:val="auto"/>
          <w:sz w:val="24"/>
          <w:szCs w:val="24"/>
          <w:highlight w:val="none"/>
          <w:lang w:val="en-US" w:eastAsia="zh-CN"/>
        </w:rPr>
        <w:t>完成与中标人的对数及确认。</w:t>
      </w:r>
      <w:r>
        <w:rPr>
          <w:rFonts w:hint="eastAsia" w:ascii="宋体" w:hAnsi="宋体" w:eastAsia="宋体" w:cs="宋体"/>
          <w:b w:val="0"/>
          <w:bCs w:val="0"/>
          <w:color w:val="auto"/>
          <w:sz w:val="24"/>
          <w:szCs w:val="24"/>
          <w:highlight w:val="none"/>
        </w:rPr>
        <w:t>特殊、紧急项目</w:t>
      </w:r>
      <w:r>
        <w:rPr>
          <w:rFonts w:hint="eastAsia" w:ascii="宋体" w:hAnsi="宋体" w:eastAsia="宋体" w:cs="宋体"/>
          <w:b w:val="0"/>
          <w:bCs w:val="0"/>
          <w:color w:val="auto"/>
          <w:sz w:val="24"/>
          <w:szCs w:val="24"/>
          <w:highlight w:val="none"/>
          <w:lang w:val="en-US" w:eastAsia="zh-CN"/>
        </w:rPr>
        <w:t>需缩减完成时间的，</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具体要求为准。</w:t>
      </w:r>
      <w:bookmarkEnd w:id="173"/>
    </w:p>
    <w:p w14:paraId="67BD4B62">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74" w:name="_Toc29954"/>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）主材单价、综合单价审核：自收到资料起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完成时间为：</w:t>
      </w:r>
      <w:r>
        <w:rPr>
          <w:rFonts w:hint="eastAsia" w:ascii="宋体" w:hAnsi="宋体" w:eastAsia="宋体" w:cs="宋体"/>
          <w:b w:val="0"/>
          <w:bCs w:val="0"/>
          <w:color w:val="auto"/>
          <w:sz w:val="24"/>
          <w:szCs w:val="24"/>
          <w:highlight w:val="none"/>
          <w:lang w:val="en-US" w:eastAsia="zh-CN"/>
        </w:rPr>
        <w:t>同批次</w:t>
      </w:r>
      <w:r>
        <w:rPr>
          <w:rFonts w:hint="eastAsia" w:ascii="宋体" w:hAnsi="宋体" w:eastAsia="宋体" w:cs="宋体"/>
          <w:b w:val="0"/>
          <w:bCs w:val="0"/>
          <w:color w:val="auto"/>
          <w:sz w:val="24"/>
          <w:szCs w:val="24"/>
          <w:highlight w:val="none"/>
        </w:rPr>
        <w:t>主材</w:t>
      </w:r>
      <w:r>
        <w:rPr>
          <w:rFonts w:hint="eastAsia" w:ascii="宋体" w:hAnsi="宋体" w:eastAsia="宋体" w:cs="宋体"/>
          <w:b w:val="0"/>
          <w:bCs w:val="0"/>
          <w:color w:val="auto"/>
          <w:sz w:val="24"/>
          <w:szCs w:val="24"/>
          <w:highlight w:val="none"/>
          <w:lang w:val="en-US" w:eastAsia="zh-CN"/>
        </w:rPr>
        <w:t>1-5个</w:t>
      </w:r>
      <w:r>
        <w:rPr>
          <w:rFonts w:hint="eastAsia" w:ascii="宋体" w:hAnsi="宋体" w:eastAsia="宋体" w:cs="宋体"/>
          <w:b w:val="0"/>
          <w:bCs w:val="0"/>
          <w:color w:val="auto"/>
          <w:sz w:val="24"/>
          <w:szCs w:val="24"/>
          <w:highlight w:val="none"/>
        </w:rPr>
        <w:t>5天，</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个10天</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11个以上15天</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同批次</w:t>
      </w:r>
      <w:r>
        <w:rPr>
          <w:rFonts w:hint="eastAsia" w:ascii="宋体" w:hAnsi="宋体" w:eastAsia="宋体" w:cs="宋体"/>
          <w:b w:val="0"/>
          <w:bCs w:val="0"/>
          <w:color w:val="auto"/>
          <w:sz w:val="24"/>
          <w:szCs w:val="24"/>
          <w:highlight w:val="none"/>
        </w:rPr>
        <w:t>综合单价1</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个3天，</w:t>
      </w:r>
      <w:r>
        <w:rPr>
          <w:rFonts w:hint="eastAsia" w:ascii="宋体" w:hAnsi="宋体" w:eastAsia="宋体" w:cs="宋体"/>
          <w:b w:val="0"/>
          <w:bCs w:val="0"/>
          <w:color w:val="auto"/>
          <w:sz w:val="24"/>
          <w:szCs w:val="24"/>
          <w:highlight w:val="none"/>
          <w:lang w:val="en-US" w:eastAsia="zh-CN"/>
        </w:rPr>
        <w:t>16个以上</w:t>
      </w:r>
      <w:r>
        <w:rPr>
          <w:rFonts w:hint="eastAsia" w:ascii="宋体" w:hAnsi="宋体" w:eastAsia="宋体" w:cs="宋体"/>
          <w:b w:val="0"/>
          <w:bCs w:val="0"/>
          <w:color w:val="auto"/>
          <w:sz w:val="24"/>
          <w:szCs w:val="24"/>
          <w:highlight w:val="none"/>
        </w:rPr>
        <w:t>10天；特殊情况经批准后延长时间不超过10天；争议问题由</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项目指挥长或法定代表人主持专题会议解决。</w:t>
      </w:r>
      <w:bookmarkEnd w:id="174"/>
    </w:p>
    <w:p w14:paraId="51918C29">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75" w:name="_Toc17709"/>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设计变更预算、工程</w:t>
      </w:r>
      <w:r>
        <w:rPr>
          <w:rFonts w:hint="eastAsia" w:ascii="宋体" w:hAnsi="宋体" w:eastAsia="宋体" w:cs="宋体"/>
          <w:b w:val="0"/>
          <w:bCs w:val="0"/>
          <w:color w:val="auto"/>
          <w:sz w:val="24"/>
          <w:szCs w:val="24"/>
          <w:highlight w:val="none"/>
        </w:rPr>
        <w:t>签证</w:t>
      </w:r>
      <w:r>
        <w:rPr>
          <w:rFonts w:hint="eastAsia" w:ascii="宋体" w:hAnsi="宋体" w:eastAsia="宋体" w:cs="宋体"/>
          <w:b w:val="0"/>
          <w:bCs w:val="0"/>
          <w:color w:val="auto"/>
          <w:sz w:val="24"/>
          <w:szCs w:val="24"/>
          <w:highlight w:val="none"/>
          <w:lang w:val="en-US" w:eastAsia="zh-CN"/>
        </w:rPr>
        <w:t>预算、</w:t>
      </w:r>
      <w:r>
        <w:rPr>
          <w:rFonts w:hint="eastAsia" w:ascii="宋体" w:hAnsi="宋体" w:eastAsia="宋体" w:cs="宋体"/>
          <w:b w:val="0"/>
          <w:bCs w:val="0"/>
          <w:color w:val="auto"/>
          <w:sz w:val="24"/>
          <w:szCs w:val="24"/>
          <w:highlight w:val="none"/>
        </w:rPr>
        <w:t>合同</w:t>
      </w:r>
      <w:r>
        <w:rPr>
          <w:rFonts w:hint="eastAsia" w:ascii="宋体" w:hAnsi="宋体" w:eastAsia="宋体" w:cs="宋体"/>
          <w:b w:val="0"/>
          <w:bCs w:val="0"/>
          <w:color w:val="auto"/>
          <w:sz w:val="24"/>
          <w:szCs w:val="24"/>
          <w:highlight w:val="none"/>
          <w:lang w:val="en-US" w:eastAsia="zh-CN"/>
        </w:rPr>
        <w:t>变更</w:t>
      </w:r>
      <w:r>
        <w:rPr>
          <w:rFonts w:hint="eastAsia" w:ascii="宋体" w:hAnsi="宋体" w:eastAsia="宋体" w:cs="宋体"/>
          <w:b w:val="0"/>
          <w:bCs w:val="0"/>
          <w:color w:val="auto"/>
          <w:sz w:val="24"/>
          <w:szCs w:val="24"/>
          <w:highlight w:val="none"/>
        </w:rPr>
        <w:t>费用</w:t>
      </w:r>
      <w:r>
        <w:rPr>
          <w:rFonts w:hint="eastAsia" w:ascii="宋体" w:hAnsi="宋体" w:eastAsia="宋体" w:cs="宋体"/>
          <w:b w:val="0"/>
          <w:bCs w:val="0"/>
          <w:color w:val="auto"/>
          <w:sz w:val="24"/>
          <w:szCs w:val="24"/>
          <w:highlight w:val="none"/>
          <w:lang w:eastAsia="zh-CN"/>
        </w:rPr>
        <w:t>编制或</w:t>
      </w:r>
      <w:r>
        <w:rPr>
          <w:rFonts w:hint="eastAsia" w:ascii="宋体" w:hAnsi="宋体" w:eastAsia="宋体" w:cs="宋体"/>
          <w:b w:val="0"/>
          <w:bCs w:val="0"/>
          <w:color w:val="auto"/>
          <w:sz w:val="24"/>
          <w:szCs w:val="24"/>
          <w:highlight w:val="none"/>
        </w:rPr>
        <w:t>审核：自收到资料起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完成时间为：</w:t>
      </w:r>
      <w:r>
        <w:rPr>
          <w:rFonts w:hint="eastAsia" w:ascii="宋体" w:hAnsi="宋体" w:eastAsia="宋体" w:cs="宋体"/>
          <w:b w:val="0"/>
          <w:bCs w:val="0"/>
          <w:color w:val="auto"/>
          <w:sz w:val="24"/>
          <w:szCs w:val="24"/>
          <w:highlight w:val="none"/>
          <w:lang w:val="en-US" w:eastAsia="zh-CN"/>
        </w:rPr>
        <w:t>金额200</w:t>
      </w:r>
      <w:r>
        <w:rPr>
          <w:rFonts w:hint="eastAsia" w:ascii="宋体" w:hAnsi="宋体" w:eastAsia="宋体" w:cs="宋体"/>
          <w:b w:val="0"/>
          <w:bCs w:val="0"/>
          <w:color w:val="auto"/>
          <w:sz w:val="24"/>
          <w:szCs w:val="24"/>
          <w:highlight w:val="none"/>
        </w:rPr>
        <w:t>万元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含本数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以内</w:t>
      </w:r>
      <w:r>
        <w:rPr>
          <w:rFonts w:hint="eastAsia" w:ascii="宋体" w:hAnsi="宋体" w:eastAsia="宋体" w:cs="宋体"/>
          <w:b w:val="0"/>
          <w:bCs w:val="0"/>
          <w:color w:val="auto"/>
          <w:sz w:val="24"/>
          <w:szCs w:val="24"/>
          <w:highlight w:val="none"/>
        </w:rPr>
        <w:t>的5天，</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0万元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不含本数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以上</w:t>
      </w:r>
      <w:r>
        <w:rPr>
          <w:rFonts w:hint="eastAsia" w:ascii="宋体" w:hAnsi="宋体" w:eastAsia="宋体" w:cs="宋体"/>
          <w:b w:val="0"/>
          <w:bCs w:val="0"/>
          <w:color w:val="auto"/>
          <w:sz w:val="24"/>
          <w:szCs w:val="24"/>
          <w:highlight w:val="none"/>
        </w:rPr>
        <w:t>的10天，特殊情况经批准后延长时间不超过10天</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争议问题由</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项目指挥长或法定代表人主持专题会议解决。</w:t>
      </w:r>
      <w:bookmarkEnd w:id="175"/>
    </w:p>
    <w:p w14:paraId="72951EE6">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76" w:name="_Toc28982"/>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lang w:val="en-US" w:eastAsia="zh-CN"/>
        </w:rPr>
        <w:t>造价测算、</w:t>
      </w:r>
      <w:r>
        <w:rPr>
          <w:rFonts w:hint="eastAsia" w:ascii="宋体" w:hAnsi="宋体" w:eastAsia="宋体" w:cs="宋体"/>
          <w:b w:val="0"/>
          <w:bCs w:val="0"/>
          <w:color w:val="auto"/>
          <w:sz w:val="24"/>
          <w:szCs w:val="24"/>
          <w:highlight w:val="none"/>
        </w:rPr>
        <w:t>材料设备看样定板会签：自收到资料起5天内完成。</w:t>
      </w:r>
      <w:bookmarkEnd w:id="176"/>
    </w:p>
    <w:p w14:paraId="47036538">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77" w:name="_Toc2164"/>
      <w:r>
        <w:rPr>
          <w:rFonts w:hint="eastAsia" w:ascii="宋体" w:hAnsi="宋体" w:eastAsia="宋体" w:cs="宋体"/>
          <w:b w:val="0"/>
          <w:bCs w:val="0"/>
          <w:color w:val="auto"/>
          <w:sz w:val="24"/>
          <w:szCs w:val="24"/>
          <w:highlight w:val="none"/>
        </w:rPr>
        <w:t>（10）</w:t>
      </w:r>
      <w:r>
        <w:rPr>
          <w:rFonts w:hint="eastAsia" w:ascii="宋体" w:hAnsi="宋体" w:eastAsia="宋体" w:cs="宋体"/>
          <w:b w:val="0"/>
          <w:bCs w:val="0"/>
          <w:color w:val="auto"/>
          <w:sz w:val="24"/>
          <w:szCs w:val="24"/>
          <w:highlight w:val="none"/>
          <w:lang w:eastAsia="zh-CN"/>
        </w:rPr>
        <w:t>施工、货物、服务等合同</w:t>
      </w:r>
      <w:r>
        <w:rPr>
          <w:rFonts w:hint="eastAsia" w:ascii="宋体" w:hAnsi="宋体" w:eastAsia="宋体" w:cs="宋体"/>
          <w:b w:val="0"/>
          <w:bCs w:val="0"/>
          <w:color w:val="auto"/>
          <w:sz w:val="24"/>
          <w:szCs w:val="24"/>
          <w:highlight w:val="none"/>
          <w:lang w:val="en-US" w:eastAsia="zh-CN"/>
        </w:rPr>
        <w:t>计量支付</w:t>
      </w:r>
      <w:r>
        <w:rPr>
          <w:rFonts w:hint="eastAsia" w:ascii="宋体" w:hAnsi="宋体" w:eastAsia="宋体" w:cs="宋体"/>
          <w:b w:val="0"/>
          <w:bCs w:val="0"/>
          <w:color w:val="auto"/>
          <w:sz w:val="24"/>
          <w:szCs w:val="24"/>
          <w:highlight w:val="none"/>
        </w:rPr>
        <w:t>审核：自</w:t>
      </w:r>
      <w:r>
        <w:rPr>
          <w:rFonts w:hint="eastAsia" w:ascii="宋体" w:hAnsi="宋体" w:eastAsia="宋体" w:cs="宋体"/>
          <w:b w:val="0"/>
          <w:bCs w:val="0"/>
          <w:color w:val="auto"/>
          <w:sz w:val="24"/>
          <w:szCs w:val="24"/>
          <w:highlight w:val="none"/>
          <w:lang w:val="en-US" w:eastAsia="zh-CN"/>
        </w:rPr>
        <w:t>收到</w:t>
      </w:r>
      <w:r>
        <w:rPr>
          <w:rFonts w:hint="eastAsia" w:ascii="宋体" w:hAnsi="宋体" w:eastAsia="宋体" w:cs="宋体"/>
          <w:b w:val="0"/>
          <w:bCs w:val="0"/>
          <w:color w:val="auto"/>
          <w:sz w:val="24"/>
          <w:szCs w:val="24"/>
          <w:highlight w:val="none"/>
        </w:rPr>
        <w:t>完整资料起5</w:t>
      </w:r>
      <w:r>
        <w:rPr>
          <w:rFonts w:hint="eastAsia" w:ascii="宋体" w:hAnsi="宋体" w:eastAsia="宋体" w:cs="宋体"/>
          <w:b w:val="0"/>
          <w:bCs w:val="0"/>
          <w:color w:val="auto"/>
          <w:sz w:val="24"/>
          <w:szCs w:val="24"/>
          <w:highlight w:val="none"/>
          <w:lang w:val="en-US" w:eastAsia="zh-CN"/>
        </w:rPr>
        <w:t>天内</w:t>
      </w:r>
      <w:r>
        <w:rPr>
          <w:rFonts w:hint="eastAsia" w:ascii="宋体" w:hAnsi="宋体" w:eastAsia="宋体" w:cs="宋体"/>
          <w:b w:val="0"/>
          <w:bCs w:val="0"/>
          <w:color w:val="auto"/>
          <w:sz w:val="24"/>
          <w:szCs w:val="24"/>
          <w:highlight w:val="none"/>
        </w:rPr>
        <w:t>完成。</w:t>
      </w:r>
      <w:bookmarkEnd w:id="177"/>
    </w:p>
    <w:p w14:paraId="28A35539">
      <w:pPr>
        <w:pStyle w:val="24"/>
        <w:keepNext w:val="0"/>
        <w:keepLines w:val="0"/>
        <w:pageBreakBefore w:val="0"/>
        <w:widowControl w:val="0"/>
        <w:tabs>
          <w:tab w:val="clear" w:pos="0"/>
        </w:tabs>
        <w:kinsoku/>
        <w:wordWrap/>
        <w:overflowPunct/>
        <w:topLinePunct w:val="0"/>
        <w:autoSpaceDE w:val="0"/>
        <w:autoSpaceDN w:val="0"/>
        <w:bidi w:val="0"/>
        <w:adjustRightInd w:val="0"/>
        <w:snapToGrid w:val="0"/>
        <w:spacing w:before="0" w:beforeAutospacing="0" w:after="0" w:afterAutospacing="0" w:line="360" w:lineRule="auto"/>
        <w:ind w:left="0" w:firstLine="480" w:firstLineChars="200"/>
        <w:jc w:val="both"/>
        <w:textAlignment w:val="auto"/>
        <w:outlineLvl w:val="9"/>
        <w:rPr>
          <w:rFonts w:hint="eastAsia" w:ascii="宋体" w:hAnsi="宋体" w:eastAsia="宋体" w:cs="宋体"/>
          <w:b w:val="0"/>
          <w:bCs w:val="0"/>
          <w:color w:val="auto"/>
          <w:sz w:val="24"/>
          <w:szCs w:val="24"/>
          <w:highlight w:val="none"/>
        </w:rPr>
      </w:pPr>
      <w:bookmarkStart w:id="178" w:name="_Toc24028"/>
      <w:r>
        <w:rPr>
          <w:rFonts w:hint="eastAsia" w:ascii="宋体" w:hAnsi="宋体" w:eastAsia="宋体" w:cs="宋体"/>
          <w:b w:val="0"/>
          <w:bCs w:val="0"/>
          <w:color w:val="auto"/>
          <w:sz w:val="24"/>
          <w:szCs w:val="24"/>
          <w:highlight w:val="none"/>
        </w:rPr>
        <w:t>（11）</w:t>
      </w:r>
      <w:r>
        <w:rPr>
          <w:rFonts w:hint="eastAsia" w:ascii="宋体" w:hAnsi="宋体" w:eastAsia="宋体" w:cs="宋体"/>
          <w:b w:val="0"/>
          <w:bCs w:val="0"/>
          <w:color w:val="auto"/>
          <w:sz w:val="24"/>
          <w:szCs w:val="24"/>
          <w:highlight w:val="none"/>
          <w:lang w:val="en-US" w:eastAsia="zh-CN"/>
        </w:rPr>
        <w:t>施工及货物合同</w:t>
      </w:r>
      <w:r>
        <w:rPr>
          <w:rFonts w:hint="eastAsia" w:ascii="宋体" w:hAnsi="宋体" w:eastAsia="宋体" w:cs="宋体"/>
          <w:b w:val="0"/>
          <w:bCs w:val="0"/>
          <w:color w:val="auto"/>
          <w:sz w:val="24"/>
          <w:szCs w:val="24"/>
          <w:highlight w:val="none"/>
        </w:rPr>
        <w:t>结算</w:t>
      </w:r>
      <w:r>
        <w:rPr>
          <w:rFonts w:hint="eastAsia" w:ascii="宋体" w:hAnsi="宋体" w:eastAsia="宋体" w:cs="宋体"/>
          <w:b w:val="0"/>
          <w:bCs w:val="0"/>
          <w:color w:val="auto"/>
          <w:sz w:val="24"/>
          <w:szCs w:val="24"/>
          <w:highlight w:val="none"/>
          <w:lang w:val="en-US" w:eastAsia="zh-CN"/>
        </w:rPr>
        <w:t>审核</w:t>
      </w:r>
      <w:r>
        <w:rPr>
          <w:rFonts w:hint="eastAsia" w:ascii="宋体" w:hAnsi="宋体" w:eastAsia="宋体" w:cs="宋体"/>
          <w:b w:val="0"/>
          <w:bCs w:val="0"/>
          <w:color w:val="auto"/>
          <w:sz w:val="24"/>
          <w:szCs w:val="24"/>
          <w:highlight w:val="none"/>
        </w:rPr>
        <w:t>：自</w:t>
      </w:r>
      <w:r>
        <w:rPr>
          <w:rFonts w:hint="eastAsia" w:ascii="宋体" w:hAnsi="宋体" w:eastAsia="宋体" w:cs="宋体"/>
          <w:b w:val="0"/>
          <w:bCs w:val="0"/>
          <w:color w:val="auto"/>
          <w:sz w:val="24"/>
          <w:szCs w:val="24"/>
          <w:highlight w:val="none"/>
          <w:lang w:val="en-US" w:eastAsia="zh-CN"/>
        </w:rPr>
        <w:t>收到</w:t>
      </w:r>
      <w:r>
        <w:rPr>
          <w:rFonts w:hint="eastAsia" w:ascii="宋体" w:hAnsi="宋体" w:eastAsia="宋体" w:cs="宋体"/>
          <w:b w:val="0"/>
          <w:bCs w:val="0"/>
          <w:color w:val="auto"/>
          <w:sz w:val="24"/>
          <w:szCs w:val="24"/>
          <w:highlight w:val="none"/>
        </w:rPr>
        <w:t>完整资料起，</w:t>
      </w:r>
      <w:r>
        <w:rPr>
          <w:rFonts w:hint="eastAsia" w:ascii="宋体" w:hAnsi="宋体" w:eastAsia="宋体" w:cs="宋体"/>
          <w:b w:val="0"/>
          <w:bCs w:val="0"/>
          <w:color w:val="auto"/>
          <w:sz w:val="24"/>
          <w:szCs w:val="24"/>
          <w:highlight w:val="none"/>
          <w:lang w:val="en-US" w:eastAsia="zh-CN"/>
        </w:rPr>
        <w:t>提交</w:t>
      </w:r>
      <w:r>
        <w:rPr>
          <w:rFonts w:hint="eastAsia" w:ascii="宋体" w:hAnsi="宋体" w:eastAsia="宋体" w:cs="宋体"/>
          <w:b w:val="0"/>
          <w:bCs w:val="0"/>
          <w:color w:val="auto"/>
          <w:sz w:val="24"/>
          <w:szCs w:val="24"/>
          <w:highlight w:val="none"/>
        </w:rPr>
        <w:t>成果文件</w:t>
      </w:r>
      <w:r>
        <w:rPr>
          <w:rFonts w:hint="eastAsia" w:ascii="宋体" w:hAnsi="宋体" w:eastAsia="宋体" w:cs="宋体"/>
          <w:b w:val="0"/>
          <w:bCs w:val="0"/>
          <w:color w:val="auto"/>
          <w:sz w:val="24"/>
          <w:szCs w:val="24"/>
          <w:highlight w:val="none"/>
          <w:lang w:val="en-US" w:eastAsia="zh-CN"/>
        </w:rPr>
        <w:t>送审稿电子版</w:t>
      </w:r>
      <w:r>
        <w:rPr>
          <w:rFonts w:hint="eastAsia" w:ascii="宋体" w:hAnsi="宋体" w:eastAsia="宋体" w:cs="宋体"/>
          <w:b w:val="0"/>
          <w:bCs w:val="0"/>
          <w:color w:val="auto"/>
          <w:sz w:val="24"/>
          <w:szCs w:val="24"/>
          <w:highlight w:val="none"/>
        </w:rPr>
        <w:t>时间为：</w:t>
      </w:r>
      <w:r>
        <w:rPr>
          <w:rFonts w:hint="eastAsia" w:ascii="宋体" w:hAnsi="宋体" w:eastAsia="宋体" w:cs="宋体"/>
          <w:b w:val="0"/>
          <w:bCs w:val="0"/>
          <w:color w:val="auto"/>
          <w:sz w:val="24"/>
          <w:szCs w:val="24"/>
          <w:highlight w:val="none"/>
          <w:lang w:val="en-US" w:eastAsia="zh-CN"/>
        </w:rPr>
        <w:t>金额1</w:t>
      </w:r>
      <w:r>
        <w:rPr>
          <w:rFonts w:hint="eastAsia" w:ascii="宋体" w:hAnsi="宋体" w:eastAsia="宋体" w:cs="宋体"/>
          <w:b w:val="0"/>
          <w:bCs w:val="0"/>
          <w:color w:val="auto"/>
          <w:sz w:val="24"/>
          <w:szCs w:val="24"/>
          <w:highlight w:val="none"/>
        </w:rPr>
        <w:t>000万元（含本数）</w:t>
      </w:r>
      <w:r>
        <w:rPr>
          <w:rFonts w:hint="eastAsia" w:ascii="宋体" w:hAnsi="宋体" w:eastAsia="宋体" w:cs="宋体"/>
          <w:b w:val="0"/>
          <w:bCs w:val="0"/>
          <w:color w:val="auto"/>
          <w:sz w:val="24"/>
          <w:szCs w:val="24"/>
          <w:highlight w:val="none"/>
          <w:lang w:val="en-US" w:eastAsia="zh-CN"/>
        </w:rPr>
        <w:t>以内</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天，</w:t>
      </w:r>
      <w:r>
        <w:rPr>
          <w:rFonts w:hint="eastAsia" w:ascii="宋体" w:hAnsi="宋体" w:eastAsia="宋体" w:cs="宋体"/>
          <w:b w:val="0"/>
          <w:bCs w:val="0"/>
          <w:color w:val="auto"/>
          <w:sz w:val="24"/>
          <w:szCs w:val="24"/>
          <w:highlight w:val="none"/>
          <w:lang w:val="en-US" w:eastAsia="zh-CN"/>
        </w:rPr>
        <w:t>金额1000万元（不含本数）-</w:t>
      </w:r>
      <w:r>
        <w:rPr>
          <w:rFonts w:hint="eastAsia" w:ascii="宋体" w:hAnsi="宋体" w:eastAsia="宋体" w:cs="宋体"/>
          <w:b w:val="0"/>
          <w:bCs w:val="0"/>
          <w:color w:val="auto"/>
          <w:sz w:val="24"/>
          <w:szCs w:val="24"/>
          <w:highlight w:val="none"/>
        </w:rPr>
        <w:t>3000万元（含本数）的</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天，</w:t>
      </w:r>
      <w:r>
        <w:rPr>
          <w:rFonts w:hint="eastAsia" w:ascii="宋体" w:hAnsi="宋体" w:eastAsia="宋体" w:cs="宋体"/>
          <w:b w:val="0"/>
          <w:bCs w:val="0"/>
          <w:color w:val="auto"/>
          <w:sz w:val="24"/>
          <w:szCs w:val="24"/>
          <w:highlight w:val="none"/>
          <w:lang w:val="en-US" w:eastAsia="zh-CN"/>
        </w:rPr>
        <w:t>金额</w:t>
      </w:r>
      <w:r>
        <w:rPr>
          <w:rFonts w:hint="eastAsia" w:ascii="宋体" w:hAnsi="宋体" w:eastAsia="宋体" w:cs="宋体"/>
          <w:b w:val="0"/>
          <w:bCs w:val="0"/>
          <w:color w:val="auto"/>
          <w:sz w:val="24"/>
          <w:szCs w:val="24"/>
          <w:highlight w:val="none"/>
        </w:rPr>
        <w:t>3000万元</w:t>
      </w:r>
      <w:r>
        <w:rPr>
          <w:rFonts w:hint="eastAsia" w:ascii="宋体" w:hAnsi="宋体" w:eastAsia="宋体" w:cs="宋体"/>
          <w:b w:val="0"/>
          <w:bCs w:val="0"/>
          <w:color w:val="auto"/>
          <w:sz w:val="24"/>
          <w:szCs w:val="24"/>
          <w:highlight w:val="none"/>
          <w:lang w:val="en-US" w:eastAsia="zh-CN"/>
        </w:rPr>
        <w:t>（不含本数）</w:t>
      </w:r>
      <w:r>
        <w:rPr>
          <w:rFonts w:hint="eastAsia" w:ascii="宋体" w:hAnsi="宋体" w:eastAsia="宋体" w:cs="宋体"/>
          <w:b w:val="0"/>
          <w:bCs w:val="0"/>
          <w:color w:val="auto"/>
          <w:sz w:val="24"/>
          <w:szCs w:val="24"/>
          <w:highlight w:val="none"/>
        </w:rPr>
        <w:t>-2亿元（含本数）的</w:t>
      </w:r>
      <w:r>
        <w:rPr>
          <w:rFonts w:hint="eastAsia" w:ascii="宋体" w:hAnsi="宋体" w:eastAsia="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天，金额2亿元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不含本数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以上的25天，</w:t>
      </w:r>
      <w:r>
        <w:rPr>
          <w:rFonts w:hint="eastAsia" w:ascii="宋体" w:hAnsi="宋体" w:eastAsia="宋体" w:cs="宋体"/>
          <w:b w:val="0"/>
          <w:bCs w:val="0"/>
          <w:color w:val="auto"/>
          <w:sz w:val="24"/>
          <w:szCs w:val="24"/>
          <w:highlight w:val="none"/>
          <w:lang w:val="en-US" w:eastAsia="zh-CN"/>
        </w:rPr>
        <w:t>特殊情况经批准后延长时间不超过10天。</w:t>
      </w:r>
      <w:r>
        <w:rPr>
          <w:rFonts w:hint="eastAsia" w:ascii="宋体" w:hAnsi="宋体" w:eastAsia="宋体" w:cs="宋体"/>
          <w:b w:val="0"/>
          <w:bCs w:val="0"/>
          <w:color w:val="auto"/>
          <w:sz w:val="24"/>
          <w:szCs w:val="24"/>
          <w:highlight w:val="none"/>
        </w:rPr>
        <w:t>特殊、紧急项目</w:t>
      </w:r>
      <w:r>
        <w:rPr>
          <w:rFonts w:hint="eastAsia" w:ascii="宋体" w:hAnsi="宋体" w:eastAsia="宋体" w:cs="宋体"/>
          <w:b w:val="0"/>
          <w:bCs w:val="0"/>
          <w:color w:val="auto"/>
          <w:sz w:val="24"/>
          <w:szCs w:val="24"/>
          <w:highlight w:val="none"/>
          <w:lang w:val="en-US" w:eastAsia="zh-CN"/>
        </w:rPr>
        <w:t>需缩减送审稿完成时间的，</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具体要求为准。</w:t>
      </w:r>
      <w:bookmarkEnd w:id="178"/>
    </w:p>
    <w:p w14:paraId="00EF78B6">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）服务</w:t>
      </w:r>
      <w:r>
        <w:rPr>
          <w:rFonts w:hint="eastAsia" w:ascii="宋体" w:hAnsi="宋体" w:eastAsia="宋体" w:cs="宋体"/>
          <w:b w:val="0"/>
          <w:bCs w:val="0"/>
          <w:color w:val="auto"/>
          <w:sz w:val="24"/>
          <w:szCs w:val="24"/>
          <w:highlight w:val="none"/>
          <w:lang w:val="en-US" w:eastAsia="zh-CN"/>
        </w:rPr>
        <w:t>类合同结算审核</w:t>
      </w:r>
      <w:r>
        <w:rPr>
          <w:rFonts w:hint="eastAsia" w:ascii="宋体" w:hAnsi="宋体" w:eastAsia="宋体" w:cs="宋体"/>
          <w:b w:val="0"/>
          <w:bCs w:val="0"/>
          <w:color w:val="auto"/>
          <w:sz w:val="24"/>
          <w:szCs w:val="24"/>
          <w:highlight w:val="none"/>
        </w:rPr>
        <w:t>：自收到完整资料起，</w:t>
      </w:r>
      <w:r>
        <w:rPr>
          <w:rFonts w:hint="eastAsia" w:ascii="宋体" w:hAnsi="宋体" w:eastAsia="宋体" w:cs="宋体"/>
          <w:b w:val="0"/>
          <w:bCs w:val="0"/>
          <w:color w:val="auto"/>
          <w:sz w:val="24"/>
          <w:szCs w:val="24"/>
          <w:highlight w:val="none"/>
          <w:lang w:val="en-US" w:eastAsia="zh-CN"/>
        </w:rPr>
        <w:t>提交</w:t>
      </w:r>
      <w:r>
        <w:rPr>
          <w:rFonts w:hint="eastAsia" w:ascii="宋体" w:hAnsi="宋体" w:eastAsia="宋体" w:cs="宋体"/>
          <w:b w:val="0"/>
          <w:bCs w:val="0"/>
          <w:color w:val="auto"/>
          <w:sz w:val="24"/>
          <w:szCs w:val="24"/>
          <w:highlight w:val="none"/>
        </w:rPr>
        <w:t>成果文件</w:t>
      </w:r>
      <w:r>
        <w:rPr>
          <w:rFonts w:hint="eastAsia" w:ascii="宋体" w:hAnsi="宋体" w:eastAsia="宋体" w:cs="宋体"/>
          <w:b w:val="0"/>
          <w:bCs w:val="0"/>
          <w:color w:val="auto"/>
          <w:sz w:val="24"/>
          <w:szCs w:val="24"/>
          <w:highlight w:val="none"/>
          <w:lang w:val="en-US" w:eastAsia="zh-CN"/>
        </w:rPr>
        <w:t>送审稿电子版</w:t>
      </w:r>
      <w:r>
        <w:rPr>
          <w:rFonts w:hint="eastAsia" w:ascii="宋体" w:hAnsi="宋体" w:eastAsia="宋体" w:cs="宋体"/>
          <w:b w:val="0"/>
          <w:bCs w:val="0"/>
          <w:color w:val="auto"/>
          <w:sz w:val="24"/>
          <w:szCs w:val="24"/>
          <w:highlight w:val="none"/>
        </w:rPr>
        <w:t>时间为：金额</w:t>
      </w:r>
      <w:r>
        <w:rPr>
          <w:rFonts w:hint="eastAsia" w:ascii="宋体" w:hAnsi="宋体" w:eastAsia="宋体" w:cs="宋体"/>
          <w:b w:val="0"/>
          <w:bCs w:val="0"/>
          <w:color w:val="auto"/>
          <w:sz w:val="24"/>
          <w:szCs w:val="24"/>
          <w:highlight w:val="none"/>
          <w:lang w:val="en-US" w:eastAsia="zh-CN"/>
        </w:rPr>
        <w:t>500</w:t>
      </w:r>
      <w:r>
        <w:rPr>
          <w:rFonts w:hint="eastAsia" w:ascii="宋体" w:hAnsi="宋体" w:eastAsia="宋体" w:cs="宋体"/>
          <w:b w:val="0"/>
          <w:bCs w:val="0"/>
          <w:color w:val="auto"/>
          <w:sz w:val="24"/>
          <w:szCs w:val="24"/>
          <w:highlight w:val="none"/>
        </w:rPr>
        <w:t>万元（含本数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以内</w:t>
      </w:r>
      <w:r>
        <w:rPr>
          <w:rFonts w:hint="eastAsia" w:ascii="宋体" w:hAnsi="宋体" w:eastAsia="宋体" w:cs="宋体"/>
          <w:b w:val="0"/>
          <w:bCs w:val="0"/>
          <w:color w:val="auto"/>
          <w:sz w:val="24"/>
          <w:szCs w:val="24"/>
          <w:highlight w:val="none"/>
        </w:rPr>
        <w:t>的3天，</w:t>
      </w:r>
      <w:r>
        <w:rPr>
          <w:rFonts w:hint="eastAsia" w:ascii="宋体" w:hAnsi="宋体" w:eastAsia="宋体" w:cs="宋体"/>
          <w:b w:val="0"/>
          <w:bCs w:val="0"/>
          <w:color w:val="auto"/>
          <w:sz w:val="24"/>
          <w:szCs w:val="24"/>
          <w:highlight w:val="none"/>
          <w:lang w:val="en-US" w:eastAsia="zh-CN"/>
        </w:rPr>
        <w:t>金额5</w:t>
      </w:r>
      <w:r>
        <w:rPr>
          <w:rFonts w:hint="eastAsia" w:ascii="宋体" w:hAnsi="宋体" w:eastAsia="宋体" w:cs="宋体"/>
          <w:b w:val="0"/>
          <w:bCs w:val="0"/>
          <w:color w:val="auto"/>
          <w:sz w:val="24"/>
          <w:szCs w:val="24"/>
          <w:highlight w:val="none"/>
        </w:rPr>
        <w:t>00万元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不含本数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以上的7天，</w:t>
      </w:r>
      <w:r>
        <w:rPr>
          <w:rFonts w:hint="eastAsia" w:ascii="宋体" w:hAnsi="宋体" w:eastAsia="宋体" w:cs="宋体"/>
          <w:b w:val="0"/>
          <w:bCs w:val="0"/>
          <w:color w:val="auto"/>
          <w:sz w:val="24"/>
          <w:szCs w:val="24"/>
          <w:highlight w:val="none"/>
          <w:lang w:val="en-US" w:eastAsia="zh-CN"/>
        </w:rPr>
        <w:t>特殊情况经批准后延长时间不超过5天。</w:t>
      </w:r>
      <w:r>
        <w:rPr>
          <w:rFonts w:hint="eastAsia" w:ascii="宋体" w:hAnsi="宋体" w:eastAsia="宋体" w:cs="宋体"/>
          <w:b w:val="0"/>
          <w:bCs w:val="0"/>
          <w:color w:val="auto"/>
          <w:sz w:val="24"/>
          <w:szCs w:val="24"/>
          <w:highlight w:val="none"/>
        </w:rPr>
        <w:t>特殊、紧急项目</w:t>
      </w:r>
      <w:r>
        <w:rPr>
          <w:rFonts w:hint="eastAsia" w:ascii="宋体" w:hAnsi="宋体" w:eastAsia="宋体" w:cs="宋体"/>
          <w:b w:val="0"/>
          <w:bCs w:val="0"/>
          <w:color w:val="auto"/>
          <w:sz w:val="24"/>
          <w:szCs w:val="24"/>
          <w:highlight w:val="none"/>
          <w:lang w:val="en-US" w:eastAsia="zh-CN"/>
        </w:rPr>
        <w:t>需缩减完成时间的，</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具体要求为准。</w:t>
      </w:r>
    </w:p>
    <w:p w14:paraId="5E05B096">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4.3.3以上工作期限为正常的工作期限，特急项目的工作期限由甲方根据实际情况确定，但最短不少于1天；其他咨询服务工作由甲方视具体情况确定；对于甲方提出的疑问，乙方应在24小时内给予答复。</w:t>
      </w:r>
    </w:p>
    <w:p w14:paraId="529C034A">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4.4服务人员要求</w:t>
      </w:r>
    </w:p>
    <w:p w14:paraId="46DCEC5A">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kern w:val="0"/>
          <w:sz w:val="24"/>
          <w:szCs w:val="24"/>
          <w:highlight w:val="none"/>
        </w:rPr>
        <w:t>4.4.1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造价咨询服务人员配置应满足或优于下表标准。</w:t>
      </w:r>
    </w:p>
    <w:tbl>
      <w:tblPr>
        <w:tblStyle w:val="18"/>
        <w:tblW w:w="8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1335"/>
        <w:gridCol w:w="3570"/>
        <w:gridCol w:w="2194"/>
        <w:gridCol w:w="1068"/>
      </w:tblGrid>
      <w:tr w14:paraId="6F303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17D7D075">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序号</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7F178736">
            <w:pPr>
              <w:autoSpaceDE w:val="0"/>
              <w:autoSpaceDN w:val="0"/>
              <w:adjustRightInd w:val="0"/>
              <w:snapToGrid w:val="0"/>
              <w:spacing w:line="288" w:lineRule="auto"/>
              <w:ind w:firstLine="0" w:firstLineChars="0"/>
              <w:jc w:val="center"/>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岗位人员</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4F87DE54">
            <w:pPr>
              <w:autoSpaceDE w:val="0"/>
              <w:autoSpaceDN w:val="0"/>
              <w:adjustRightInd w:val="0"/>
              <w:snapToGrid w:val="0"/>
              <w:spacing w:line="288" w:lineRule="auto"/>
              <w:ind w:firstLine="0" w:firstLineChars="0"/>
              <w:jc w:val="center"/>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职称和资格要求</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26F2C4BF">
            <w:pPr>
              <w:autoSpaceDE w:val="0"/>
              <w:autoSpaceDN w:val="0"/>
              <w:adjustRightInd w:val="0"/>
              <w:snapToGrid w:val="0"/>
              <w:spacing w:line="288" w:lineRule="auto"/>
              <w:ind w:firstLine="0" w:firstLineChars="0"/>
              <w:jc w:val="center"/>
              <w:rPr>
                <w:rFonts w:hint="eastAsia" w:ascii="宋体" w:hAnsi="宋体" w:eastAsia="宋体" w:cs="宋体"/>
                <w:b/>
                <w:bCs/>
                <w:strike w:val="0"/>
                <w:color w:val="auto"/>
                <w:kern w:val="2"/>
                <w:sz w:val="21"/>
                <w:szCs w:val="21"/>
                <w:highlight w:val="none"/>
                <w:lang w:val="en-US"/>
              </w:rPr>
            </w:pPr>
            <w:r>
              <w:rPr>
                <w:rFonts w:hint="eastAsia" w:ascii="宋体" w:hAnsi="宋体" w:eastAsia="宋体" w:cs="宋体"/>
                <w:b/>
                <w:bCs/>
                <w:strike w:val="0"/>
                <w:color w:val="auto"/>
                <w:kern w:val="2"/>
                <w:sz w:val="21"/>
                <w:szCs w:val="21"/>
                <w:highlight w:val="none"/>
                <w:lang w:val="en-US" w:eastAsia="zh-CN"/>
              </w:rPr>
              <w:t>证明资料</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D648CFA">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人数要求</w:t>
            </w:r>
          </w:p>
        </w:tc>
      </w:tr>
      <w:tr w14:paraId="3D724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1FBF853E">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1</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2E8044D0">
            <w:pPr>
              <w:autoSpaceDE w:val="0"/>
              <w:autoSpaceDN w:val="0"/>
              <w:adjustRightInd w:val="0"/>
              <w:snapToGrid w:val="0"/>
              <w:spacing w:line="288" w:lineRule="auto"/>
              <w:ind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项目指挥长</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6DDD6485">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en-US" w:eastAsia="zh-CN"/>
              </w:rPr>
              <w:t>由乙方</w:t>
            </w:r>
            <w:r>
              <w:rPr>
                <w:rFonts w:hint="eastAsia" w:ascii="宋体" w:hAnsi="宋体" w:eastAsia="宋体" w:cs="宋体"/>
                <w:color w:val="auto"/>
                <w:kern w:val="2"/>
                <w:sz w:val="21"/>
                <w:szCs w:val="21"/>
                <w:highlight w:val="none"/>
                <w:lang w:val="zh-CN"/>
              </w:rPr>
              <w:t>现任公司副总经理、总工程师或以上行政职务</w:t>
            </w:r>
            <w:r>
              <w:rPr>
                <w:rFonts w:hint="eastAsia" w:ascii="宋体" w:hAnsi="宋体" w:eastAsia="宋体" w:cs="宋体"/>
                <w:color w:val="auto"/>
                <w:sz w:val="21"/>
                <w:szCs w:val="21"/>
                <w:highlight w:val="none"/>
                <w:lang w:val="en-US" w:eastAsia="zh-CN"/>
              </w:rPr>
              <w:t>人员担任</w:t>
            </w:r>
            <w:r>
              <w:rPr>
                <w:rFonts w:hint="eastAsia" w:ascii="宋体" w:hAnsi="宋体" w:eastAsia="宋体" w:cs="宋体"/>
                <w:color w:val="auto"/>
                <w:kern w:val="2"/>
                <w:sz w:val="21"/>
                <w:szCs w:val="21"/>
                <w:highlight w:val="none"/>
                <w:lang w:val="zh-CN"/>
              </w:rPr>
              <w:t>，在</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lang w:val="zh-CN"/>
              </w:rPr>
              <w:t>任该职满半年或以上。</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252A9F1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任职证明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458453B">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1名</w:t>
            </w:r>
          </w:p>
        </w:tc>
      </w:tr>
      <w:tr w14:paraId="523F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3A3F3404">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2</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5B3B5CA">
            <w:pPr>
              <w:autoSpaceDE w:val="0"/>
              <w:autoSpaceDN w:val="0"/>
              <w:adjustRightInd w:val="0"/>
              <w:snapToGrid w:val="0"/>
              <w:spacing w:line="288" w:lineRule="auto"/>
              <w:ind w:firstLine="0" w:firstLineChars="0"/>
              <w:jc w:val="center"/>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项目负责人</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7A7B3FFE">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与招标公告要求一致</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27C7A04E">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strike w:val="0"/>
                <w:color w:val="auto"/>
                <w:kern w:val="2"/>
                <w:sz w:val="21"/>
                <w:szCs w:val="21"/>
                <w:highlight w:val="none"/>
                <w:lang w:val="zh-CN"/>
              </w:rPr>
            </w:pPr>
            <w:r>
              <w:rPr>
                <w:rFonts w:hint="eastAsia" w:ascii="宋体" w:hAnsi="宋体" w:eastAsia="宋体" w:cs="宋体"/>
                <w:strike w:val="0"/>
                <w:color w:val="auto"/>
                <w:kern w:val="2"/>
                <w:sz w:val="21"/>
                <w:szCs w:val="21"/>
                <w:highlight w:val="none"/>
                <w:lang w:val="en-US" w:eastAsia="zh-CN"/>
              </w:rPr>
              <w:t>按资格审查要求提供</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A6AB6EE">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1名</w:t>
            </w:r>
          </w:p>
        </w:tc>
      </w:tr>
      <w:tr w14:paraId="6DBA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0232B665">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3</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7E950FF9">
            <w:pPr>
              <w:autoSpaceDE w:val="0"/>
              <w:autoSpaceDN w:val="0"/>
              <w:adjustRightInd w:val="0"/>
              <w:snapToGrid w:val="0"/>
              <w:spacing w:line="288" w:lineRule="auto"/>
              <w:ind w:firstLine="0" w:firstLineChars="0"/>
              <w:jc w:val="center"/>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rPr>
              <w:t>土建专业造价负责人</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6547F325">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注册一级造价工程师（土木建筑工程专业），</w:t>
            </w:r>
            <w:r>
              <w:rPr>
                <w:rFonts w:hint="eastAsia" w:ascii="宋体" w:hAnsi="宋体" w:eastAsia="宋体" w:cs="宋体"/>
                <w:color w:val="auto"/>
                <w:sz w:val="21"/>
                <w:szCs w:val="21"/>
                <w:highlight w:val="none"/>
                <w:lang w:val="en-US" w:eastAsia="zh-CN"/>
              </w:rPr>
              <w:t>工程相关专业，</w:t>
            </w:r>
            <w:r>
              <w:rPr>
                <w:rFonts w:hint="eastAsia" w:ascii="宋体" w:hAnsi="宋体" w:eastAsia="宋体" w:cs="宋体"/>
                <w:color w:val="auto"/>
                <w:kern w:val="2"/>
                <w:sz w:val="21"/>
                <w:szCs w:val="21"/>
                <w:highlight w:val="none"/>
              </w:rPr>
              <w:t>10</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lang w:val="zh-CN" w:eastAsia="zh-CN"/>
              </w:rPr>
              <w:t>或</w:t>
            </w:r>
            <w:r>
              <w:rPr>
                <w:rFonts w:hint="eastAsia" w:ascii="宋体" w:hAnsi="宋体" w:eastAsia="宋体" w:cs="宋体"/>
                <w:color w:val="auto"/>
                <w:kern w:val="2"/>
                <w:sz w:val="21"/>
                <w:szCs w:val="21"/>
                <w:highlight w:val="none"/>
                <w:lang w:val="zh-CN"/>
              </w:rPr>
              <w:t>以上工作经验，</w:t>
            </w:r>
            <w:r>
              <w:rPr>
                <w:rFonts w:hint="eastAsia" w:ascii="宋体" w:hAnsi="宋体" w:eastAsia="宋体" w:cs="宋体"/>
                <w:color w:val="auto"/>
                <w:sz w:val="21"/>
                <w:szCs w:val="21"/>
                <w:highlight w:val="none"/>
                <w:lang w:val="en-US" w:eastAsia="zh-CN"/>
              </w:rPr>
              <w:t>工程相关专业副高</w:t>
            </w:r>
            <w:r>
              <w:rPr>
                <w:rFonts w:hint="eastAsia" w:ascii="宋体" w:hAnsi="宋体" w:eastAsia="宋体" w:cs="宋体"/>
                <w:color w:val="auto"/>
                <w:kern w:val="2"/>
                <w:sz w:val="21"/>
                <w:szCs w:val="21"/>
                <w:highlight w:val="none"/>
                <w:lang w:val="zh-CN"/>
              </w:rPr>
              <w:t>或以上职称。</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3B90E3C3">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strike w:val="0"/>
                <w:color w:val="auto"/>
                <w:kern w:val="2"/>
                <w:sz w:val="21"/>
                <w:szCs w:val="21"/>
                <w:highlight w:val="none"/>
                <w:lang w:val="zh-CN"/>
              </w:rPr>
            </w:pPr>
            <w:r>
              <w:rPr>
                <w:rFonts w:hint="eastAsia" w:ascii="宋体" w:hAnsi="宋体" w:eastAsia="宋体" w:cs="宋体"/>
                <w:strike w:val="0"/>
                <w:color w:val="auto"/>
                <w:kern w:val="2"/>
                <w:sz w:val="21"/>
                <w:szCs w:val="21"/>
                <w:highlight w:val="none"/>
                <w:lang w:val="zh-CN"/>
              </w:rPr>
              <w:t>职称证、</w:t>
            </w:r>
            <w:r>
              <w:rPr>
                <w:rFonts w:hint="eastAsia" w:ascii="宋体" w:hAnsi="宋体" w:eastAsia="宋体" w:cs="宋体"/>
                <w:color w:val="auto"/>
                <w:sz w:val="21"/>
                <w:szCs w:val="21"/>
                <w:highlight w:val="none"/>
                <w:lang w:val="en-US" w:eastAsia="zh-CN"/>
              </w:rPr>
              <w:t>一级</w:t>
            </w:r>
            <w:r>
              <w:rPr>
                <w:rFonts w:hint="eastAsia" w:ascii="宋体" w:hAnsi="宋体" w:eastAsia="宋体" w:cs="宋体"/>
                <w:strike w:val="0"/>
                <w:color w:val="auto"/>
                <w:kern w:val="2"/>
                <w:sz w:val="21"/>
                <w:szCs w:val="21"/>
                <w:highlight w:val="none"/>
                <w:lang w:val="zh-CN"/>
              </w:rPr>
              <w:t>造价师</w:t>
            </w:r>
            <w:r>
              <w:rPr>
                <w:rFonts w:hint="eastAsia" w:ascii="宋体" w:hAnsi="宋体" w:eastAsia="宋体" w:cs="宋体"/>
                <w:color w:val="auto"/>
                <w:sz w:val="21"/>
                <w:szCs w:val="21"/>
                <w:highlight w:val="none"/>
                <w:lang w:val="en-US" w:eastAsia="zh-CN"/>
              </w:rPr>
              <w:t>注册证书</w:t>
            </w:r>
            <w:r>
              <w:rPr>
                <w:rFonts w:hint="eastAsia" w:ascii="宋体" w:hAnsi="宋体" w:eastAsia="宋体" w:cs="宋体"/>
                <w:strike w:val="0"/>
                <w:color w:val="auto"/>
                <w:kern w:val="2"/>
                <w:sz w:val="21"/>
                <w:szCs w:val="21"/>
                <w:highlight w:val="none"/>
                <w:lang w:val="zh-CN"/>
              </w:rPr>
              <w:t>、</w:t>
            </w:r>
            <w:r>
              <w:rPr>
                <w:rFonts w:hint="eastAsia" w:ascii="宋体" w:hAnsi="宋体" w:eastAsia="宋体" w:cs="宋体"/>
                <w:strike w:val="0"/>
                <w:color w:val="auto"/>
                <w:kern w:val="2"/>
                <w:sz w:val="21"/>
                <w:szCs w:val="21"/>
                <w:highlight w:val="none"/>
                <w:lang w:val="en-US" w:eastAsia="zh-CN"/>
              </w:rPr>
              <w:t>毕业证</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32E2E69">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1名</w:t>
            </w:r>
          </w:p>
        </w:tc>
      </w:tr>
      <w:tr w14:paraId="09719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5DE20A15">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4</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7DC10898">
            <w:pPr>
              <w:autoSpaceDE w:val="0"/>
              <w:autoSpaceDN w:val="0"/>
              <w:adjustRightInd w:val="0"/>
              <w:snapToGrid w:val="0"/>
              <w:spacing w:line="288" w:lineRule="auto"/>
              <w:ind w:firstLine="0" w:firstLineChars="0"/>
              <w:jc w:val="center"/>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土建专业造价人员</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4E75D383">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注册</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zh-CN"/>
              </w:rPr>
              <w:t>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val="zh-CN"/>
              </w:rPr>
              <w:t>）造价工程师（土木建筑工程专业），</w:t>
            </w:r>
            <w:r>
              <w:rPr>
                <w:rFonts w:hint="eastAsia" w:ascii="宋体" w:hAnsi="宋体" w:eastAsia="宋体" w:cs="宋体"/>
                <w:color w:val="auto"/>
                <w:sz w:val="21"/>
                <w:szCs w:val="21"/>
                <w:highlight w:val="none"/>
                <w:lang w:val="en-US" w:eastAsia="zh-CN"/>
              </w:rPr>
              <w:t>工程相关专业，8</w:t>
            </w:r>
            <w:r>
              <w:rPr>
                <w:rFonts w:hint="eastAsia" w:ascii="宋体" w:hAnsi="宋体" w:eastAsia="宋体" w:cs="宋体"/>
                <w:color w:val="auto"/>
                <w:sz w:val="21"/>
                <w:szCs w:val="21"/>
                <w:highlight w:val="none"/>
                <w:lang w:val="zh-CN"/>
              </w:rPr>
              <w:t>年或以上工作经验，</w:t>
            </w:r>
            <w:r>
              <w:rPr>
                <w:rFonts w:hint="eastAsia" w:ascii="宋体" w:hAnsi="宋体" w:eastAsia="宋体" w:cs="宋体"/>
                <w:color w:val="auto"/>
                <w:sz w:val="21"/>
                <w:szCs w:val="21"/>
                <w:highlight w:val="none"/>
                <w:lang w:val="en-US" w:eastAsia="zh-CN"/>
              </w:rPr>
              <w:t>工程相关专业中级</w:t>
            </w:r>
            <w:r>
              <w:rPr>
                <w:rFonts w:hint="eastAsia" w:ascii="宋体" w:hAnsi="宋体" w:eastAsia="宋体" w:cs="宋体"/>
                <w:color w:val="auto"/>
                <w:sz w:val="21"/>
                <w:szCs w:val="21"/>
                <w:highlight w:val="none"/>
                <w:lang w:val="zh-CN"/>
              </w:rPr>
              <w:t>或以上职称。</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3898FF84">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strike w:val="0"/>
                <w:color w:val="auto"/>
                <w:kern w:val="2"/>
                <w:sz w:val="21"/>
                <w:szCs w:val="21"/>
                <w:highlight w:val="none"/>
                <w:lang w:val="en-US"/>
              </w:rPr>
            </w:pPr>
            <w:r>
              <w:rPr>
                <w:rFonts w:hint="eastAsia" w:ascii="宋体" w:hAnsi="宋体" w:eastAsia="宋体" w:cs="宋体"/>
                <w:color w:val="auto"/>
                <w:sz w:val="21"/>
                <w:szCs w:val="21"/>
                <w:highlight w:val="none"/>
                <w:lang w:val="zh-CN"/>
              </w:rPr>
              <w:t>职称证、造价师</w:t>
            </w:r>
            <w:r>
              <w:rPr>
                <w:rFonts w:hint="eastAsia" w:ascii="宋体" w:hAnsi="宋体" w:eastAsia="宋体" w:cs="宋体"/>
                <w:color w:val="auto"/>
                <w:sz w:val="21"/>
                <w:szCs w:val="21"/>
                <w:highlight w:val="none"/>
                <w:lang w:val="en-US" w:eastAsia="zh-CN"/>
              </w:rPr>
              <w:t>注册证书</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毕业证</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78727A8">
            <w:pPr>
              <w:autoSpaceDE w:val="0"/>
              <w:autoSpaceDN w:val="0"/>
              <w:adjustRightInd w:val="0"/>
              <w:snapToGrid w:val="0"/>
              <w:spacing w:line="288"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w:t>
            </w:r>
          </w:p>
          <w:p w14:paraId="4B7A1949">
            <w:pPr>
              <w:autoSpaceDE w:val="0"/>
              <w:autoSpaceDN w:val="0"/>
              <w:adjustRightInd w:val="0"/>
              <w:snapToGrid w:val="0"/>
              <w:spacing w:line="288" w:lineRule="auto"/>
              <w:ind w:firstLine="0" w:firstLineChars="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名</w:t>
            </w:r>
          </w:p>
        </w:tc>
      </w:tr>
      <w:tr w14:paraId="524BF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120AE4C7">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5</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821D0F3">
            <w:pPr>
              <w:autoSpaceDE w:val="0"/>
              <w:autoSpaceDN w:val="0"/>
              <w:adjustRightInd w:val="0"/>
              <w:snapToGrid w:val="0"/>
              <w:spacing w:line="288" w:lineRule="auto"/>
              <w:ind w:firstLine="0" w:firstLineChars="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机电</w:t>
            </w:r>
            <w:r>
              <w:rPr>
                <w:rFonts w:hint="eastAsia" w:ascii="宋体" w:hAnsi="宋体" w:eastAsia="宋体" w:cs="宋体"/>
                <w:color w:val="auto"/>
                <w:kern w:val="2"/>
                <w:sz w:val="21"/>
                <w:szCs w:val="21"/>
                <w:highlight w:val="none"/>
                <w:lang w:val="zh-CN"/>
              </w:rPr>
              <w:t>安装专业负责人</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7C61A7F2">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zh-CN"/>
              </w:rPr>
              <w:t>注册一级造价工程师（</w:t>
            </w:r>
            <w:r>
              <w:rPr>
                <w:rFonts w:hint="eastAsia" w:ascii="宋体" w:hAnsi="宋体" w:eastAsia="宋体" w:cs="宋体"/>
                <w:color w:val="auto"/>
                <w:sz w:val="21"/>
                <w:szCs w:val="21"/>
                <w:highlight w:val="none"/>
                <w:lang w:val="en-US" w:eastAsia="zh-CN"/>
              </w:rPr>
              <w:t>安装工程</w:t>
            </w:r>
            <w:r>
              <w:rPr>
                <w:rFonts w:hint="eastAsia" w:ascii="宋体" w:hAnsi="宋体" w:eastAsia="宋体" w:cs="宋体"/>
                <w:color w:val="auto"/>
                <w:sz w:val="21"/>
                <w:szCs w:val="21"/>
                <w:highlight w:val="none"/>
                <w:lang w:val="zh-CN"/>
              </w:rPr>
              <w:t>专业），</w:t>
            </w:r>
            <w:r>
              <w:rPr>
                <w:rFonts w:hint="eastAsia" w:ascii="宋体" w:hAnsi="宋体" w:eastAsia="宋体" w:cs="宋体"/>
                <w:color w:val="auto"/>
                <w:sz w:val="21"/>
                <w:szCs w:val="21"/>
                <w:highlight w:val="none"/>
                <w:lang w:val="en-US" w:eastAsia="zh-CN"/>
              </w:rPr>
              <w:t>工程相关专业，</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zh-CN"/>
              </w:rPr>
              <w:t>年或以上工作经验，</w:t>
            </w:r>
            <w:r>
              <w:rPr>
                <w:rFonts w:hint="eastAsia" w:ascii="宋体" w:hAnsi="宋体" w:eastAsia="宋体" w:cs="宋体"/>
                <w:color w:val="auto"/>
                <w:sz w:val="21"/>
                <w:szCs w:val="21"/>
                <w:highlight w:val="none"/>
                <w:lang w:val="en-US" w:eastAsia="zh-CN"/>
              </w:rPr>
              <w:t>工程相关专业副高</w:t>
            </w:r>
            <w:r>
              <w:rPr>
                <w:rFonts w:hint="eastAsia" w:ascii="宋体" w:hAnsi="宋体" w:eastAsia="宋体" w:cs="宋体"/>
                <w:color w:val="auto"/>
                <w:sz w:val="21"/>
                <w:szCs w:val="21"/>
                <w:highlight w:val="none"/>
                <w:lang w:val="zh-CN"/>
              </w:rPr>
              <w:t>或以上职称。</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05BB3E53">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strike w:val="0"/>
                <w:color w:val="auto"/>
                <w:kern w:val="2"/>
                <w:sz w:val="21"/>
                <w:szCs w:val="21"/>
                <w:highlight w:val="none"/>
                <w:lang w:val="zh-CN"/>
              </w:rPr>
            </w:pPr>
            <w:r>
              <w:rPr>
                <w:rFonts w:hint="eastAsia" w:ascii="宋体" w:hAnsi="宋体" w:eastAsia="宋体" w:cs="宋体"/>
                <w:color w:val="auto"/>
                <w:sz w:val="21"/>
                <w:szCs w:val="21"/>
                <w:highlight w:val="none"/>
                <w:lang w:val="zh-CN"/>
              </w:rPr>
              <w:t>职称证、</w:t>
            </w:r>
            <w:r>
              <w:rPr>
                <w:rFonts w:hint="eastAsia" w:ascii="宋体" w:hAnsi="宋体" w:eastAsia="宋体" w:cs="宋体"/>
                <w:color w:val="auto"/>
                <w:sz w:val="21"/>
                <w:szCs w:val="21"/>
                <w:highlight w:val="none"/>
                <w:lang w:val="en-US" w:eastAsia="zh-CN"/>
              </w:rPr>
              <w:t>一级</w:t>
            </w:r>
            <w:r>
              <w:rPr>
                <w:rFonts w:hint="eastAsia" w:ascii="宋体" w:hAnsi="宋体" w:eastAsia="宋体" w:cs="宋体"/>
                <w:color w:val="auto"/>
                <w:sz w:val="21"/>
                <w:szCs w:val="21"/>
                <w:highlight w:val="none"/>
                <w:lang w:val="zh-CN"/>
              </w:rPr>
              <w:t>造价师</w:t>
            </w:r>
            <w:r>
              <w:rPr>
                <w:rFonts w:hint="eastAsia" w:ascii="宋体" w:hAnsi="宋体" w:eastAsia="宋体" w:cs="宋体"/>
                <w:color w:val="auto"/>
                <w:sz w:val="21"/>
                <w:szCs w:val="21"/>
                <w:highlight w:val="none"/>
                <w:lang w:val="en-US" w:eastAsia="zh-CN"/>
              </w:rPr>
              <w:t>注册证书</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毕业证</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9FF8428">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1名</w:t>
            </w:r>
          </w:p>
        </w:tc>
      </w:tr>
      <w:tr w14:paraId="64D79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56499072">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rPr>
              <w:t>6</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06B85E02">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机电</w:t>
            </w:r>
            <w:r>
              <w:rPr>
                <w:rFonts w:hint="eastAsia" w:ascii="宋体" w:hAnsi="宋体" w:eastAsia="宋体" w:cs="宋体"/>
                <w:color w:val="auto"/>
                <w:kern w:val="2"/>
                <w:sz w:val="21"/>
                <w:szCs w:val="21"/>
                <w:highlight w:val="none"/>
                <w:lang w:val="zh-CN"/>
              </w:rPr>
              <w:t>安装专业造价人员</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42EDAD23">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注册</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val="zh-CN"/>
              </w:rPr>
              <w:t>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val="zh-CN"/>
              </w:rPr>
              <w:t>）造价工程师（</w:t>
            </w:r>
            <w:r>
              <w:rPr>
                <w:rFonts w:hint="eastAsia" w:ascii="宋体" w:hAnsi="宋体" w:eastAsia="宋体" w:cs="宋体"/>
                <w:color w:val="auto"/>
                <w:sz w:val="21"/>
                <w:szCs w:val="21"/>
                <w:highlight w:val="none"/>
                <w:lang w:val="en-US" w:eastAsia="zh-CN"/>
              </w:rPr>
              <w:t>安装工程</w:t>
            </w:r>
            <w:r>
              <w:rPr>
                <w:rFonts w:hint="eastAsia" w:ascii="宋体" w:hAnsi="宋体" w:eastAsia="宋体" w:cs="宋体"/>
                <w:color w:val="auto"/>
                <w:sz w:val="21"/>
                <w:szCs w:val="21"/>
                <w:highlight w:val="none"/>
                <w:lang w:val="zh-CN"/>
              </w:rPr>
              <w:t>专业），</w:t>
            </w:r>
            <w:r>
              <w:rPr>
                <w:rFonts w:hint="eastAsia" w:ascii="宋体" w:hAnsi="宋体" w:eastAsia="宋体" w:cs="宋体"/>
                <w:color w:val="auto"/>
                <w:sz w:val="21"/>
                <w:szCs w:val="21"/>
                <w:highlight w:val="none"/>
                <w:lang w:val="en-US" w:eastAsia="zh-CN"/>
              </w:rPr>
              <w:t>工程相关专业，8</w:t>
            </w:r>
            <w:r>
              <w:rPr>
                <w:rFonts w:hint="eastAsia" w:ascii="宋体" w:hAnsi="宋体" w:eastAsia="宋体" w:cs="宋体"/>
                <w:color w:val="auto"/>
                <w:sz w:val="21"/>
                <w:szCs w:val="21"/>
                <w:highlight w:val="none"/>
                <w:lang w:val="zh-CN"/>
              </w:rPr>
              <w:t>年或以上工作经验，</w:t>
            </w:r>
            <w:r>
              <w:rPr>
                <w:rFonts w:hint="eastAsia" w:ascii="宋体" w:hAnsi="宋体" w:eastAsia="宋体" w:cs="宋体"/>
                <w:color w:val="auto"/>
                <w:sz w:val="21"/>
                <w:szCs w:val="21"/>
                <w:highlight w:val="none"/>
                <w:lang w:val="en-US" w:eastAsia="zh-CN"/>
              </w:rPr>
              <w:t>工程相关专业中级</w:t>
            </w:r>
            <w:r>
              <w:rPr>
                <w:rFonts w:hint="eastAsia" w:ascii="宋体" w:hAnsi="宋体" w:eastAsia="宋体" w:cs="宋体"/>
                <w:color w:val="auto"/>
                <w:sz w:val="21"/>
                <w:szCs w:val="21"/>
                <w:highlight w:val="none"/>
                <w:lang w:val="zh-CN"/>
              </w:rPr>
              <w:t>或以上职称。</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79B8944A">
            <w:pPr>
              <w:keepNext w:val="0"/>
              <w:keepLines w:val="0"/>
              <w:pageBreakBefore w:val="0"/>
              <w:widowControl w:val="0"/>
              <w:kinsoku/>
              <w:wordWrap/>
              <w:overflowPunct/>
              <w:topLinePunct w:val="0"/>
              <w:autoSpaceDE w:val="0"/>
              <w:autoSpaceDN w:val="0"/>
              <w:bidi w:val="0"/>
              <w:adjustRightInd w:val="0"/>
              <w:snapToGrid w:val="0"/>
              <w:spacing w:line="288" w:lineRule="auto"/>
              <w:jc w:val="left"/>
              <w:textAlignment w:val="auto"/>
              <w:rPr>
                <w:rFonts w:hint="eastAsia" w:ascii="宋体" w:hAnsi="宋体" w:eastAsia="宋体" w:cs="宋体"/>
                <w:strike w:val="0"/>
                <w:color w:val="auto"/>
                <w:kern w:val="2"/>
                <w:sz w:val="21"/>
                <w:szCs w:val="21"/>
                <w:highlight w:val="none"/>
                <w:lang w:val="en-US"/>
              </w:rPr>
            </w:pPr>
            <w:r>
              <w:rPr>
                <w:rFonts w:hint="eastAsia" w:ascii="宋体" w:hAnsi="宋体" w:eastAsia="宋体" w:cs="宋体"/>
                <w:color w:val="auto"/>
                <w:sz w:val="21"/>
                <w:szCs w:val="21"/>
                <w:highlight w:val="none"/>
                <w:lang w:val="zh-CN"/>
              </w:rPr>
              <w:t>职称证、造价师</w:t>
            </w:r>
            <w:r>
              <w:rPr>
                <w:rFonts w:hint="eastAsia" w:ascii="宋体" w:hAnsi="宋体" w:eastAsia="宋体" w:cs="宋体"/>
                <w:color w:val="auto"/>
                <w:sz w:val="21"/>
                <w:szCs w:val="21"/>
                <w:highlight w:val="none"/>
                <w:lang w:val="en-US" w:eastAsia="zh-CN"/>
              </w:rPr>
              <w:t>注册证书</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毕业证</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950C6CD">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w:t>
            </w:r>
          </w:p>
          <w:p w14:paraId="446B4A56">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名</w:t>
            </w:r>
          </w:p>
        </w:tc>
      </w:tr>
      <w:tr w14:paraId="3EAA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1BA8C549">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94D2852">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资料员、信息联络员</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51B45D6A">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en-US" w:eastAsia="zh-CN"/>
              </w:rPr>
              <w:t>工程相关专业，3年或以上工作经验</w:t>
            </w:r>
            <w:r>
              <w:rPr>
                <w:rFonts w:hint="eastAsia" w:ascii="宋体" w:hAnsi="宋体" w:eastAsia="宋体" w:cs="宋体"/>
                <w:color w:val="auto"/>
                <w:kern w:val="2"/>
                <w:sz w:val="21"/>
                <w:szCs w:val="21"/>
                <w:highlight w:val="none"/>
                <w:lang w:val="zh-CN"/>
              </w:rPr>
              <w:t>。</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326ECDEE">
            <w:pPr>
              <w:autoSpaceDE w:val="0"/>
              <w:autoSpaceDN w:val="0"/>
              <w:adjustRightInd w:val="0"/>
              <w:snapToGrid w:val="0"/>
              <w:spacing w:line="288" w:lineRule="auto"/>
              <w:ind w:firstLine="0" w:firstLineChars="0"/>
              <w:jc w:val="left"/>
              <w:rPr>
                <w:rFonts w:hint="eastAsia" w:ascii="宋体" w:hAnsi="宋体" w:eastAsia="宋体" w:cs="宋体"/>
                <w:strike w:val="0"/>
                <w:color w:val="auto"/>
                <w:kern w:val="2"/>
                <w:sz w:val="21"/>
                <w:szCs w:val="21"/>
                <w:highlight w:val="none"/>
                <w:lang w:val="zh-CN"/>
              </w:rPr>
            </w:pPr>
            <w:r>
              <w:rPr>
                <w:rFonts w:hint="eastAsia" w:ascii="宋体" w:hAnsi="宋体" w:eastAsia="宋体" w:cs="宋体"/>
                <w:color w:val="auto"/>
                <w:kern w:val="2"/>
                <w:sz w:val="21"/>
                <w:szCs w:val="21"/>
                <w:highlight w:val="none"/>
                <w:lang w:val="zh-CN"/>
              </w:rPr>
              <w:t>毕业证</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A32D4DB">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trike w:val="0"/>
                <w:color w:val="auto"/>
                <w:kern w:val="2"/>
                <w:sz w:val="21"/>
                <w:szCs w:val="21"/>
                <w:highlight w:val="none"/>
                <w:lang w:val="en-US" w:eastAsia="zh-CN"/>
              </w:rPr>
            </w:pPr>
            <w:r>
              <w:rPr>
                <w:rFonts w:hint="eastAsia" w:ascii="宋体" w:hAnsi="宋体" w:eastAsia="宋体" w:cs="宋体"/>
                <w:strike w:val="0"/>
                <w:color w:val="auto"/>
                <w:kern w:val="2"/>
                <w:sz w:val="21"/>
                <w:szCs w:val="21"/>
                <w:highlight w:val="none"/>
                <w:lang w:val="en-US" w:eastAsia="zh-CN"/>
              </w:rPr>
              <w:t>1名</w:t>
            </w:r>
          </w:p>
        </w:tc>
      </w:tr>
    </w:tbl>
    <w:p w14:paraId="374F205E">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p w14:paraId="6069E3D0">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rPr>
        <w:t>（1）上述</w:t>
      </w:r>
      <w:r>
        <w:rPr>
          <w:rFonts w:hint="eastAsia" w:ascii="宋体" w:hAnsi="宋体" w:eastAsia="宋体" w:cs="宋体"/>
          <w:b w:val="0"/>
          <w:bCs w:val="0"/>
          <w:color w:val="auto"/>
          <w:sz w:val="24"/>
          <w:szCs w:val="24"/>
          <w:highlight w:val="none"/>
        </w:rPr>
        <w:t>人员不得兼任，需为</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正式员工，须提供投标截止时间前</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个月（</w:t>
      </w:r>
      <w:r>
        <w:rPr>
          <w:rFonts w:hint="eastAsia" w:ascii="宋体" w:hAnsi="宋体" w:eastAsia="宋体" w:cs="宋体"/>
          <w:b w:val="0"/>
          <w:bCs w:val="0"/>
          <w:color w:val="auto"/>
          <w:sz w:val="24"/>
          <w:szCs w:val="24"/>
          <w:highlight w:val="none"/>
          <w:lang w:val="en-US" w:eastAsia="zh-CN"/>
        </w:rPr>
        <w:t>2025</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   月</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rPr>
        <w:t>（不含</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rPr>
        <w:t>企业的子公司，但包括投标人企业非独立法人的分公司、分支机构）为拟投入本项目人员购买的社会保险证明文件扫描件并加盖投标人电子印章。</w:t>
      </w:r>
    </w:p>
    <w:p w14:paraId="19BA4F4F">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注册造价师证书没有注明专业的，专业以全国建筑市场监督公共服务平台（网址：https://jzsc.mohurd.gov.cn/）为准。</w:t>
      </w:r>
    </w:p>
    <w:p w14:paraId="71E1262B">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上述</w:t>
      </w:r>
      <w:r>
        <w:rPr>
          <w:rFonts w:hint="eastAsia" w:ascii="宋体" w:hAnsi="宋体" w:eastAsia="宋体" w:cs="宋体"/>
          <w:b w:val="0"/>
          <w:bCs w:val="0"/>
          <w:color w:val="auto"/>
          <w:sz w:val="24"/>
          <w:szCs w:val="24"/>
          <w:highlight w:val="none"/>
          <w:lang w:eastAsia="zh-CN"/>
        </w:rPr>
        <w:t>表格中“工程相关专业”</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lang w:eastAsia="zh-CN"/>
        </w:rPr>
        <w:t>大专或以上学历</w:t>
      </w:r>
      <w:r>
        <w:rPr>
          <w:rFonts w:hint="eastAsia" w:ascii="宋体" w:hAnsi="宋体" w:eastAsia="宋体" w:cs="宋体"/>
          <w:b w:val="0"/>
          <w:bCs w:val="0"/>
          <w:color w:val="auto"/>
          <w:sz w:val="24"/>
          <w:szCs w:val="24"/>
          <w:highlight w:val="none"/>
        </w:rPr>
        <w:t>毕业证为准</w:t>
      </w:r>
      <w:r>
        <w:rPr>
          <w:rFonts w:hint="eastAsia" w:ascii="宋体" w:hAnsi="宋体" w:eastAsia="宋体" w:cs="宋体"/>
          <w:b w:val="0"/>
          <w:bCs w:val="0"/>
          <w:color w:val="auto"/>
          <w:sz w:val="24"/>
          <w:szCs w:val="24"/>
          <w:highlight w:val="none"/>
          <w:lang w:eastAsia="zh-CN"/>
        </w:rPr>
        <w:t>；工作经验</w:t>
      </w:r>
      <w:r>
        <w:rPr>
          <w:rFonts w:hint="eastAsia" w:ascii="宋体" w:hAnsi="宋体" w:eastAsia="宋体" w:cs="宋体"/>
          <w:b w:val="0"/>
          <w:bCs w:val="0"/>
          <w:color w:val="auto"/>
          <w:sz w:val="24"/>
          <w:szCs w:val="24"/>
          <w:highlight w:val="none"/>
          <w:lang w:val="en-US" w:eastAsia="zh-CN"/>
        </w:rPr>
        <w:t>以大专或以上学历毕业时间起算</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工程相关专业中级</w:t>
      </w:r>
      <w:r>
        <w:rPr>
          <w:rFonts w:hint="eastAsia" w:ascii="宋体" w:hAnsi="宋体" w:eastAsia="宋体" w:cs="宋体"/>
          <w:b w:val="0"/>
          <w:bCs w:val="0"/>
          <w:color w:val="auto"/>
          <w:sz w:val="24"/>
          <w:szCs w:val="24"/>
          <w:highlight w:val="none"/>
          <w:lang w:val="zh-CN"/>
        </w:rPr>
        <w:t>或以上职称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工程相关专业副高</w:t>
      </w:r>
      <w:r>
        <w:rPr>
          <w:rFonts w:hint="eastAsia" w:ascii="宋体" w:hAnsi="宋体" w:eastAsia="宋体" w:cs="宋体"/>
          <w:b w:val="0"/>
          <w:bCs w:val="0"/>
          <w:color w:val="auto"/>
          <w:sz w:val="24"/>
          <w:szCs w:val="24"/>
          <w:highlight w:val="none"/>
          <w:lang w:val="zh-CN"/>
        </w:rPr>
        <w:t>或以上职称</w:t>
      </w:r>
      <w:r>
        <w:rPr>
          <w:rFonts w:hint="eastAsia" w:ascii="宋体" w:hAnsi="宋体" w:eastAsia="宋体" w:cs="宋体"/>
          <w:b w:val="0"/>
          <w:bCs w:val="0"/>
          <w:color w:val="auto"/>
          <w:sz w:val="24"/>
          <w:szCs w:val="24"/>
          <w:highlight w:val="none"/>
          <w:lang w:eastAsia="zh-CN"/>
        </w:rPr>
        <w:t>”以职称证中专业为准。</w:t>
      </w:r>
    </w:p>
    <w:p w14:paraId="53C79607">
      <w:pPr>
        <w:adjustRightInd w:val="0"/>
        <w:snapToGrid w:val="0"/>
        <w:spacing w:line="360" w:lineRule="auto"/>
        <w:ind w:firstLine="480" w:firstLineChars="200"/>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等同于注册一级造价工程师。香港专业人士参与投标的，香港专业人士的备案业务范围依据《广东省住房和城乡建设厅关于印发香港工程建设咨询企业和专业人士在粤港澳大湾区内地城市开业执业试点管理暂行办法的通知》（粤建规范〔2020〕1号）确定</w:t>
      </w:r>
      <w:r>
        <w:rPr>
          <w:rFonts w:hint="eastAsia" w:ascii="宋体" w:hAnsi="宋体" w:eastAsia="宋体" w:cs="宋体"/>
          <w:color w:val="auto"/>
          <w:kern w:val="0"/>
          <w:sz w:val="24"/>
          <w:szCs w:val="24"/>
          <w:highlight w:val="none"/>
        </w:rPr>
        <w:t>。</w:t>
      </w:r>
    </w:p>
    <w:p w14:paraId="3F6F3886">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4.4.2</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在投标文件《拟投入本项目造价人员一览表》中配备的人员在通过</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的面试考核后方可确定为本项目的工程造价咨询服务人员，</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不得擅自更换已确定为本项目的造价咨询服务人员。确因特殊情况需变动时，应提前书面提出更换人员的原因及更换人员的名单，更换人员的资质、资历、职称、实际工作能力等应不低于投标文件中所承诺人员的素质，同时</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应按合同约定承担违约责任，因死亡、重大疾病等合法原因导致不能履行职责除外</w:t>
      </w:r>
      <w:r>
        <w:rPr>
          <w:rFonts w:hint="eastAsia" w:ascii="宋体" w:hAnsi="宋体" w:eastAsia="宋体" w:cs="宋体"/>
          <w:b w:val="0"/>
          <w:bCs w:val="0"/>
          <w:color w:val="auto"/>
          <w:sz w:val="24"/>
          <w:szCs w:val="24"/>
          <w:highlight w:val="none"/>
          <w:lang w:eastAsia="zh-CN"/>
        </w:rPr>
        <w:t>。</w:t>
      </w:r>
    </w:p>
    <w:p w14:paraId="65BADED1">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4.4.3</w:t>
      </w:r>
      <w:r>
        <w:rPr>
          <w:rFonts w:hint="eastAsia" w:ascii="宋体" w:hAnsi="宋体" w:eastAsia="宋体" w:cs="宋体"/>
          <w:b w:val="0"/>
          <w:bCs w:val="0"/>
          <w:color w:val="auto"/>
          <w:sz w:val="24"/>
          <w:szCs w:val="24"/>
          <w:highlight w:val="none"/>
        </w:rPr>
        <w:t>本项目造价咨询工作必须由投标文件《拟投入本项目造价人员一览表》中配备的人员完成。当</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工作进度不满足</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要求时，需按</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要求增加或更换相关人员，直至整改完毕</w:t>
      </w:r>
      <w:r>
        <w:rPr>
          <w:rFonts w:hint="eastAsia" w:ascii="宋体" w:hAnsi="宋体" w:eastAsia="宋体" w:cs="宋体"/>
          <w:color w:val="auto"/>
          <w:kern w:val="0"/>
          <w:sz w:val="24"/>
          <w:szCs w:val="24"/>
          <w:highlight w:val="none"/>
        </w:rPr>
        <w:t>。</w:t>
      </w:r>
    </w:p>
    <w:p w14:paraId="4DB6819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4.4.4</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rPr>
        <w:t>项目负责人需全面熟悉项目情况，准时参加工程或造价管理会议，施工阶段须每周至少两次到工地现场，全面了解工地现场情况</w:t>
      </w:r>
      <w:r>
        <w:rPr>
          <w:rFonts w:hint="eastAsia" w:ascii="宋体" w:hAnsi="宋体" w:eastAsia="宋体" w:cs="宋体"/>
          <w:color w:val="auto"/>
          <w:kern w:val="0"/>
          <w:sz w:val="24"/>
          <w:szCs w:val="24"/>
          <w:highlight w:val="none"/>
        </w:rPr>
        <w:t>。</w:t>
      </w:r>
    </w:p>
    <w:p w14:paraId="306535B3">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4.4.5</w:t>
      </w:r>
      <w:r>
        <w:rPr>
          <w:rFonts w:hint="eastAsia" w:ascii="宋体" w:hAnsi="宋体" w:eastAsia="宋体" w:cs="宋体"/>
          <w:b w:val="0"/>
          <w:bCs w:val="0"/>
          <w:color w:val="auto"/>
          <w:sz w:val="24"/>
          <w:szCs w:val="24"/>
          <w:highlight w:val="none"/>
          <w:lang w:val="en-US" w:eastAsia="zh-CN"/>
        </w:rPr>
        <w:t>乙方须安排项目指挥长或公司部门经理及以上级别人员主持或参加造价相关协调会议、对数会议，确保造价审核及对数工作进度。</w:t>
      </w:r>
    </w:p>
    <w:p w14:paraId="7CB78D65">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4.4.6</w:t>
      </w:r>
      <w:r>
        <w:rPr>
          <w:rFonts w:hint="eastAsia" w:ascii="宋体" w:hAnsi="宋体" w:eastAsia="宋体" w:cs="宋体"/>
          <w:color w:val="auto"/>
          <w:kern w:val="0"/>
          <w:sz w:val="24"/>
          <w:szCs w:val="24"/>
          <w:highlight w:val="none"/>
        </w:rPr>
        <w:t>乙方所派出的服务本项目的造价咨询专业人员必须勤勉尽责，恪守职业道德，本着热情服务、秉公办事、廉洁自律的原则开展工作。</w:t>
      </w:r>
      <w:r>
        <w:rPr>
          <w:rFonts w:hint="eastAsia" w:ascii="宋体" w:hAnsi="宋体" w:eastAsia="宋体" w:cs="宋体"/>
          <w:b w:val="0"/>
          <w:bCs w:val="0"/>
          <w:color w:val="auto"/>
          <w:sz w:val="24"/>
          <w:szCs w:val="24"/>
          <w:highlight w:val="none"/>
        </w:rPr>
        <w:t>对于出现未按照合同履行职责，或与第三方串通造成经济损失，或不服从工作安排，不满足工作要求，不遵守管理制度，服务态度恶劣，不胜任工作等情形的，</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必须在接到</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通知后3天之内予以撤换，撤换人员应等同于原人员或优于以上且需按合同约定承担违约责任</w:t>
      </w:r>
      <w:r>
        <w:rPr>
          <w:rFonts w:hint="eastAsia" w:ascii="宋体" w:hAnsi="宋体" w:eastAsia="宋体" w:cs="宋体"/>
          <w:color w:val="auto"/>
          <w:kern w:val="0"/>
          <w:sz w:val="24"/>
          <w:szCs w:val="24"/>
          <w:highlight w:val="none"/>
        </w:rPr>
        <w:t>。</w:t>
      </w:r>
    </w:p>
    <w:p w14:paraId="63FF7C4C">
      <w:pPr>
        <w:adjustRightInd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4.5其它服务要求</w:t>
      </w:r>
    </w:p>
    <w:p w14:paraId="40274CA0">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4.5.1乙方须遵守甲方各项规章制度和廉政纪律要求，无条件配合甲方的复核、复审和考核等工作。</w:t>
      </w:r>
    </w:p>
    <w:p w14:paraId="092F1EC9">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4.5.2</w:t>
      </w:r>
      <w:r>
        <w:rPr>
          <w:rFonts w:hint="eastAsia" w:ascii="宋体" w:hAnsi="宋体" w:eastAsia="宋体" w:cs="宋体"/>
          <w:color w:val="auto"/>
          <w:kern w:val="0"/>
          <w:sz w:val="24"/>
          <w:szCs w:val="24"/>
          <w:highlight w:val="none"/>
          <w:lang w:val="zh-CN"/>
        </w:rPr>
        <w:t>乙方必须配备保证完成业务所必</w:t>
      </w:r>
      <w:r>
        <w:rPr>
          <w:rFonts w:hint="eastAsia" w:ascii="宋体" w:hAnsi="宋体" w:eastAsia="宋体" w:cs="宋体"/>
          <w:color w:val="auto"/>
          <w:kern w:val="0"/>
          <w:sz w:val="24"/>
          <w:szCs w:val="24"/>
          <w:highlight w:val="none"/>
          <w:lang w:val="zh-CN" w:eastAsia="zh-CN"/>
        </w:rPr>
        <w:t>需</w:t>
      </w:r>
      <w:r>
        <w:rPr>
          <w:rFonts w:hint="eastAsia" w:ascii="宋体" w:hAnsi="宋体" w:eastAsia="宋体" w:cs="宋体"/>
          <w:color w:val="auto"/>
          <w:kern w:val="0"/>
          <w:sz w:val="24"/>
          <w:szCs w:val="24"/>
          <w:highlight w:val="none"/>
          <w:lang w:val="zh-CN"/>
        </w:rPr>
        <w:t>的办公设施、设备及造价工作必需的</w:t>
      </w:r>
      <w:r>
        <w:rPr>
          <w:rFonts w:hint="eastAsia" w:ascii="宋体" w:hAnsi="宋体" w:eastAsia="宋体" w:cs="宋体"/>
          <w:color w:val="auto"/>
          <w:kern w:val="0"/>
          <w:sz w:val="24"/>
          <w:szCs w:val="24"/>
          <w:highlight w:val="none"/>
          <w:lang w:val="zh-CN" w:eastAsia="zh-CN"/>
        </w:rPr>
        <w:t>软件等</w:t>
      </w:r>
      <w:r>
        <w:rPr>
          <w:rFonts w:hint="eastAsia" w:ascii="宋体" w:hAnsi="宋体" w:eastAsia="宋体" w:cs="宋体"/>
          <w:color w:val="auto"/>
          <w:kern w:val="0"/>
          <w:sz w:val="24"/>
          <w:szCs w:val="24"/>
          <w:highlight w:val="none"/>
          <w:lang w:val="en-US" w:eastAsia="zh-CN"/>
        </w:rPr>
        <w:t>。</w:t>
      </w:r>
    </w:p>
    <w:p w14:paraId="63E673F3">
      <w:pPr>
        <w:adjustRightInd w:val="0"/>
        <w:snapToGrid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4.5.3</w:t>
      </w:r>
      <w:r>
        <w:rPr>
          <w:rFonts w:hint="eastAsia" w:ascii="宋体" w:hAnsi="宋体" w:eastAsia="宋体" w:cs="宋体"/>
          <w:color w:val="auto"/>
          <w:kern w:val="0"/>
          <w:sz w:val="24"/>
          <w:szCs w:val="24"/>
          <w:highlight w:val="none"/>
          <w:lang w:val="zh-CN" w:eastAsia="zh-CN"/>
        </w:rPr>
        <w:t>乙方须独立完成造价咨询业务，未经甲方同意不得转让；对有特殊技术要求的咨询项目，需聘请相关专家共同完成咨询业务的，需事先征得甲方同意。未经甲方同意，不得以任何形式向任何单位或个人披露审核项目有关的信息，不得对外提供、泄露审核有关情况。</w:t>
      </w:r>
    </w:p>
    <w:p w14:paraId="3901E7B1">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179" w:name="_Toc18276"/>
      <w:bookmarkStart w:id="180" w:name="_Toc1193"/>
      <w:bookmarkStart w:id="181" w:name="_Toc23735"/>
      <w:bookmarkStart w:id="182" w:name="_Toc8638"/>
      <w:bookmarkStart w:id="183" w:name="_Toc10556"/>
      <w:bookmarkStart w:id="184" w:name="_Toc28391"/>
      <w:bookmarkStart w:id="185" w:name="_Toc5634"/>
      <w:bookmarkStart w:id="186" w:name="_Toc13240"/>
      <w:bookmarkStart w:id="187" w:name="_Toc20060"/>
      <w:bookmarkStart w:id="188" w:name="_Toc18669"/>
      <w:bookmarkStart w:id="189" w:name="_Toc18267"/>
      <w:r>
        <w:rPr>
          <w:rFonts w:hint="eastAsia" w:ascii="宋体" w:hAnsi="宋体" w:eastAsia="宋体" w:cs="宋体"/>
          <w:b/>
          <w:color w:val="auto"/>
          <w:sz w:val="24"/>
          <w:szCs w:val="24"/>
          <w:highlight w:val="none"/>
        </w:rPr>
        <w:t>五、甲方的权利和义务</w:t>
      </w:r>
      <w:bookmarkEnd w:id="179"/>
      <w:bookmarkEnd w:id="180"/>
      <w:bookmarkEnd w:id="181"/>
      <w:bookmarkEnd w:id="182"/>
      <w:bookmarkEnd w:id="183"/>
      <w:bookmarkEnd w:id="184"/>
      <w:bookmarkEnd w:id="185"/>
      <w:bookmarkEnd w:id="186"/>
      <w:bookmarkEnd w:id="187"/>
      <w:bookmarkEnd w:id="188"/>
      <w:bookmarkEnd w:id="189"/>
    </w:p>
    <w:p w14:paraId="19F5447B">
      <w:pPr>
        <w:adjustRightInd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5.1甲方的权利</w:t>
      </w:r>
    </w:p>
    <w:p w14:paraId="493D758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5.1.1甲方有权向乙方询问工作进展情况及相关的内容，并要求乙方提交造价咨询服务业务范围内的专项报告。</w:t>
      </w:r>
    </w:p>
    <w:p w14:paraId="240ACFF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5.1.2甲方有权阐述对具体问题的意见和建议。</w:t>
      </w:r>
    </w:p>
    <w:p w14:paraId="592515E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5.1.3乙方派出的项目技术负责人、专业造价工作人员未能满足甲方要求时，甲方有权要求乙方更换相关人员，乙方应在收到甲方通知之日起3个日历天内按甲方要求完成更换。</w:t>
      </w:r>
    </w:p>
    <w:p w14:paraId="1FBEB59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当甲方认定乙方派出的项目技术负责人、专业造价工作人员不按合同履行其职责，或与第三人串通给甲方造成经济损失的，甲方有权要求乙方更换相关人员，乙方应在收到甲方通知之日起3个日历天内按甲方要求完成更换。情况严重的，甲方可以单方面解除合同并要求乙方承担相应的赔偿责任。</w:t>
      </w:r>
    </w:p>
    <w:p w14:paraId="739CFFA9">
      <w:pPr>
        <w:adjustRightInd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5.2甲方的义务</w:t>
      </w:r>
    </w:p>
    <w:p w14:paraId="72F543C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5.2.1甲方应负责与本合同约定项目造价咨询服务有关的第三人的协调。</w:t>
      </w:r>
    </w:p>
    <w:p w14:paraId="4E0C5B2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5.2.2甲方应及时将所拥有的且是乙方实施本合同约定项目造价咨询服务所必需的有关资料提供给乙方。</w:t>
      </w:r>
    </w:p>
    <w:p w14:paraId="06710F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5.2.3甲方应在3个工作日内对乙方书面提交并要求做出答复的事宜做出书面答复。乙方要求第三人提供有关资料时，甲方应负责转达及资料转送。</w:t>
      </w:r>
    </w:p>
    <w:p w14:paraId="1A0E060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5.2.4甲方指定</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（联系电话：</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w:t>
      </w:r>
      <w:r>
        <w:rPr>
          <w:rFonts w:hint="eastAsia" w:ascii="宋体" w:hAnsi="宋体" w:eastAsia="宋体" w:cs="宋体"/>
          <w:color w:val="auto"/>
          <w:sz w:val="24"/>
          <w:szCs w:val="24"/>
          <w:highlight w:val="none"/>
        </w:rPr>
        <w:t>为联系人，负责与乙方联系。</w:t>
      </w:r>
    </w:p>
    <w:p w14:paraId="61C8E854">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w:t>
      </w:r>
      <w:r>
        <w:rPr>
          <w:rFonts w:hint="eastAsia" w:ascii="宋体" w:hAnsi="宋体" w:eastAsia="宋体" w:cs="宋体"/>
          <w:color w:val="auto"/>
          <w:sz w:val="24"/>
          <w:szCs w:val="24"/>
          <w:highlight w:val="none"/>
        </w:rPr>
        <w:t>甲方其它权利和义务详见甲方造价管理制度及项目管理要求。</w:t>
      </w:r>
    </w:p>
    <w:p w14:paraId="3048091B">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190" w:name="_Toc2076"/>
      <w:bookmarkStart w:id="191" w:name="_Toc31963"/>
      <w:bookmarkStart w:id="192" w:name="_Toc11394"/>
      <w:bookmarkStart w:id="193" w:name="_Toc3578"/>
      <w:bookmarkStart w:id="194" w:name="_Toc23667"/>
      <w:bookmarkStart w:id="195" w:name="_Toc29624"/>
      <w:bookmarkStart w:id="196" w:name="_Toc24828"/>
      <w:bookmarkStart w:id="197" w:name="_Toc8808"/>
      <w:bookmarkStart w:id="198" w:name="_Toc29153"/>
      <w:bookmarkStart w:id="199" w:name="_Toc17116"/>
      <w:bookmarkStart w:id="200" w:name="_Toc25071"/>
      <w:r>
        <w:rPr>
          <w:rFonts w:hint="eastAsia" w:ascii="宋体" w:hAnsi="宋体" w:eastAsia="宋体" w:cs="宋体"/>
          <w:b/>
          <w:color w:val="auto"/>
          <w:sz w:val="24"/>
          <w:szCs w:val="24"/>
          <w:highlight w:val="none"/>
        </w:rPr>
        <w:t>六、乙方的权利和义务</w:t>
      </w:r>
      <w:bookmarkEnd w:id="190"/>
      <w:bookmarkEnd w:id="191"/>
      <w:bookmarkEnd w:id="192"/>
      <w:bookmarkEnd w:id="193"/>
      <w:bookmarkEnd w:id="194"/>
      <w:bookmarkEnd w:id="195"/>
      <w:bookmarkEnd w:id="196"/>
      <w:bookmarkEnd w:id="197"/>
      <w:bookmarkEnd w:id="198"/>
      <w:bookmarkEnd w:id="199"/>
      <w:bookmarkEnd w:id="200"/>
    </w:p>
    <w:p w14:paraId="405C2C35">
      <w:pPr>
        <w:adjustRightInd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6.1乙方的权利</w:t>
      </w:r>
    </w:p>
    <w:p w14:paraId="55E173B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6.1.1服务期限内，乙方有到工程现场勘察的权利。</w:t>
      </w:r>
    </w:p>
    <w:p w14:paraId="1C23275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6.1.2乙方有权按照本合同约定获得服务报酬。</w:t>
      </w:r>
    </w:p>
    <w:p w14:paraId="6C77B46F">
      <w:pPr>
        <w:adjustRightInd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6.2乙方的义务</w:t>
      </w:r>
    </w:p>
    <w:p w14:paraId="7655F85E">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6.2.1乙方应依据《工程造价咨询企业管理办法》（中华人民共和国建设部令第149号、中华人民共和国住房和城乡建设部令第50号）、《注册造价工程师管理办法》（中华人民共和国建设部令第150号、中华人民共和国住房和城乡建设部令第50号）等国家、广东省、广州市相关规定与本合同约定以及甲方要求实施本合同项下的咨询服务工作、提交工作成果。</w:t>
      </w:r>
    </w:p>
    <w:p w14:paraId="7FE57D4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6.2.2乙方应按本合同约定派出项目技术负责人和专业造价工作人员，并按照甲方要求为甲方提供全方位服务，保证造价咨询工作顺利进行。</w:t>
      </w:r>
    </w:p>
    <w:p w14:paraId="793BBB3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6.2.3服务期限内，乙方发现甲方提供的资料有缺陷、不明确或存在相互矛盾的，应及时书面通知甲方。</w:t>
      </w:r>
    </w:p>
    <w:p w14:paraId="39757F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6.2.4乙方在履行合同过程中接触到的甲方的文件、资料、信息，均应以绝密件对待；未经甲方书面同意，不得提供给第三人，不得用于本合同以外的其他目的。</w:t>
      </w:r>
    </w:p>
    <w:p w14:paraId="49F9EE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6.2.5未经甲方的书面同意，乙方不得转让本合同约定的权利和义务。</w:t>
      </w:r>
    </w:p>
    <w:p w14:paraId="0810F60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6.2.6乙方不得从事或参与可能损害甲方利益的任何活动。</w:t>
      </w:r>
    </w:p>
    <w:p w14:paraId="7379C57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6.2.7未经甲方书面同意，乙方不得更换其派出技术负责人、专业造价工作人员。</w:t>
      </w:r>
    </w:p>
    <w:p w14:paraId="6DC5E75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6.2.8乙方应当在3个工作日内对甲方或第三人书面提出并要求做出答复的事宜做出书面答复。</w:t>
      </w:r>
    </w:p>
    <w:p w14:paraId="00060EC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6.2.9乙方应严格按照合同约定及甲方相关管理办法的规定从事咨询服务工作。</w:t>
      </w:r>
    </w:p>
    <w:p w14:paraId="38BCA63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6.2.10乙方应确保造价咨询工作质量，工程量准确、造价合理，满足工程投资控制的要求。</w:t>
      </w:r>
      <w:r>
        <w:rPr>
          <w:rFonts w:hint="eastAsia" w:ascii="宋体" w:hAnsi="宋体" w:eastAsia="宋体" w:cs="宋体"/>
          <w:bCs/>
          <w:color w:val="auto"/>
          <w:sz w:val="24"/>
          <w:szCs w:val="24"/>
          <w:highlight w:val="none"/>
        </w:rPr>
        <w:t>否则应按本合同条款第8.2款的约定承担</w:t>
      </w:r>
      <w:r>
        <w:rPr>
          <w:rFonts w:hint="eastAsia" w:ascii="宋体" w:hAnsi="宋体" w:eastAsia="宋体" w:cs="宋体"/>
          <w:color w:val="auto"/>
          <w:sz w:val="24"/>
          <w:szCs w:val="24"/>
          <w:highlight w:val="none"/>
        </w:rPr>
        <w:t>违约责任。</w:t>
      </w:r>
    </w:p>
    <w:p w14:paraId="56DA967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6.2.11乙方指定</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（联系电话：</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w:t>
      </w:r>
      <w:r>
        <w:rPr>
          <w:rFonts w:hint="eastAsia" w:ascii="宋体" w:hAnsi="宋体" w:eastAsia="宋体" w:cs="宋体"/>
          <w:color w:val="auto"/>
          <w:sz w:val="24"/>
          <w:szCs w:val="24"/>
          <w:highlight w:val="none"/>
        </w:rPr>
        <w:t>为联系人，负责与甲方联系。</w:t>
      </w:r>
    </w:p>
    <w:p w14:paraId="2572132A">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201" w:name="_Toc32411"/>
      <w:bookmarkStart w:id="202" w:name="_Toc8847"/>
      <w:bookmarkStart w:id="203" w:name="_Toc30684"/>
      <w:bookmarkStart w:id="204" w:name="_Toc31809"/>
      <w:bookmarkStart w:id="205" w:name="_Toc26547"/>
      <w:bookmarkStart w:id="206" w:name="_Toc18328"/>
      <w:bookmarkStart w:id="207" w:name="_Toc24338"/>
      <w:bookmarkStart w:id="208" w:name="_Toc23820"/>
      <w:bookmarkStart w:id="209" w:name="_Toc12422"/>
      <w:bookmarkStart w:id="210" w:name="_Toc16720"/>
      <w:bookmarkStart w:id="211" w:name="_Toc3590"/>
      <w:r>
        <w:rPr>
          <w:rFonts w:hint="eastAsia" w:ascii="宋体" w:hAnsi="宋体" w:eastAsia="宋体" w:cs="宋体"/>
          <w:b/>
          <w:color w:val="auto"/>
          <w:sz w:val="24"/>
          <w:szCs w:val="24"/>
          <w:highlight w:val="none"/>
        </w:rPr>
        <w:t>七、服务报酬及其支付方式</w:t>
      </w:r>
      <w:bookmarkEnd w:id="201"/>
      <w:bookmarkEnd w:id="202"/>
      <w:bookmarkEnd w:id="203"/>
      <w:bookmarkEnd w:id="204"/>
      <w:bookmarkEnd w:id="205"/>
      <w:bookmarkEnd w:id="206"/>
      <w:bookmarkEnd w:id="207"/>
      <w:bookmarkEnd w:id="208"/>
      <w:bookmarkEnd w:id="209"/>
      <w:bookmarkEnd w:id="210"/>
      <w:bookmarkEnd w:id="211"/>
    </w:p>
    <w:p w14:paraId="7AC672C1">
      <w:pPr>
        <w:adjustRightInd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7.1服务报酬</w:t>
      </w:r>
    </w:p>
    <w:p w14:paraId="32A052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7.1.1</w:t>
      </w:r>
      <w:r>
        <w:rPr>
          <w:rFonts w:hint="eastAsia" w:ascii="宋体" w:hAnsi="宋体" w:eastAsia="宋体" w:cs="宋体"/>
          <w:color w:val="auto"/>
          <w:sz w:val="24"/>
          <w:szCs w:val="24"/>
          <w:highlight w:val="none"/>
        </w:rPr>
        <w:t>甲乙双方约定：本合同造价咨询服务报酬（含税）为人民币大写：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元，其中不含税总价为人民币大写：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元；税金为人民币大写：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14:paraId="45E9A5FD">
      <w:pPr>
        <w:pStyle w:val="23"/>
        <w:widowControl w:val="0"/>
        <w:adjustRightInd w:val="0"/>
        <w:snapToGrid w:val="0"/>
        <w:spacing w:line="360" w:lineRule="auto"/>
        <w:ind w:right="0" w:firstLine="480" w:firstLineChars="200"/>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7.1.2甲乙双方一致同意按以下约定进行结算：</w:t>
      </w:r>
    </w:p>
    <w:p w14:paraId="166D6677">
      <w:pPr>
        <w:widowControl w:val="0"/>
        <w:adjustRightInd w:val="0"/>
        <w:snapToGrid w:val="0"/>
        <w:spacing w:line="360" w:lineRule="auto"/>
        <w:ind w:left="0" w:leftChars="0" w:firstLine="480" w:firstLineChars="200"/>
        <w:contextualSpacing w:val="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本合同造价咨询服务结算价=</w:t>
      </w:r>
      <w:r>
        <w:rPr>
          <w:rFonts w:hint="eastAsia" w:ascii="宋体" w:hAnsi="宋体" w:eastAsia="宋体" w:cs="宋体"/>
          <w:color w:val="auto"/>
          <w:kern w:val="0"/>
          <w:sz w:val="24"/>
          <w:szCs w:val="24"/>
          <w:highlight w:val="none"/>
          <w:lang w:val="en-US" w:eastAsia="zh-CN"/>
        </w:rPr>
        <w:t>总价包干</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实际</w:t>
      </w:r>
      <w:r>
        <w:rPr>
          <w:rFonts w:hint="eastAsia" w:ascii="宋体" w:hAnsi="宋体" w:eastAsia="宋体" w:cs="宋体"/>
          <w:color w:val="auto"/>
          <w:kern w:val="0"/>
          <w:sz w:val="24"/>
          <w:szCs w:val="24"/>
          <w:highlight w:val="none"/>
        </w:rPr>
        <w:t>服务内容占比</w:t>
      </w:r>
      <w:r>
        <w:rPr>
          <w:rFonts w:hint="eastAsia" w:ascii="宋体" w:hAnsi="宋体" w:eastAsia="宋体" w:cs="宋体"/>
          <w:color w:val="auto"/>
          <w:kern w:val="0"/>
          <w:sz w:val="24"/>
          <w:szCs w:val="24"/>
          <w:highlight w:val="none"/>
          <w:lang w:eastAsia="zh-CN"/>
        </w:rPr>
        <w:t>（各阶段服务内容占比见</w:t>
      </w:r>
      <w:r>
        <w:rPr>
          <w:rFonts w:hint="eastAsia" w:ascii="宋体" w:hAnsi="宋体" w:eastAsia="宋体" w:cs="宋体"/>
          <w:color w:val="auto"/>
          <w:kern w:val="0"/>
          <w:sz w:val="24"/>
          <w:szCs w:val="24"/>
          <w:highlight w:val="none"/>
          <w:lang w:val="en-US" w:eastAsia="zh-CN"/>
        </w:rPr>
        <w:t>7.2表格中对应内容，含项目服务质量评分阶段占比）</w:t>
      </w:r>
      <w:r>
        <w:rPr>
          <w:rFonts w:hint="eastAsia" w:ascii="宋体" w:hAnsi="宋体" w:eastAsia="宋体" w:cs="宋体"/>
          <w:color w:val="auto"/>
          <w:kern w:val="0"/>
          <w:sz w:val="24"/>
          <w:szCs w:val="24"/>
          <w:highlight w:val="none"/>
        </w:rPr>
        <w:t>。</w:t>
      </w:r>
    </w:p>
    <w:p w14:paraId="00629054">
      <w:pPr>
        <w:widowControl w:val="0"/>
        <w:adjustRightInd w:val="0"/>
        <w:snapToGrid w:val="0"/>
        <w:spacing w:line="360" w:lineRule="auto"/>
        <w:ind w:left="0" w:leftChars="0" w:firstLine="480" w:firstLineChars="200"/>
        <w:contextualSpacing w:val="0"/>
        <w:jc w:val="both"/>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7.1.3服务报酬包含投入委托项目的管理、交通、食宿、文件制作以及包含所有税费等一切费用，同时也包含在服务过程中出现特殊情况如乙方服务人员必须加班或甲方要求乙方服务人员加班而产生的加班费用等诸如此类的所有费用，乙方应综合考虑。乙方工作范围内的配合甲方招投标、协助评标、定标、合同签订、组卷、提供其他与造价控制有关的技术服务（如主要材料市场信息及经济指标的比较分析）等工作的相关费用已包括在上述费用中，不再另行计费。</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组织相关造价控制会议，包括邀请相应的经济专家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高级经济顾问对造价问题进行咨询把关等工作的相关费用已包括在上述费用中，不再另行计费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除本合同另有约定外，乙方不得再向甲方要求支付其它任何费用。</w:t>
      </w:r>
    </w:p>
    <w:p w14:paraId="6573AC5E">
      <w:pPr>
        <w:adjustRightInd w:val="0"/>
        <w:snapToGrid w:val="0"/>
        <w:spacing w:line="360" w:lineRule="auto"/>
        <w:ind w:firstLine="482" w:firstLineChars="200"/>
        <w:contextualSpacing/>
        <w:rPr>
          <w:rFonts w:hint="eastAsia"/>
          <w:color w:val="auto"/>
          <w:highlight w:val="none"/>
        </w:rPr>
      </w:pPr>
      <w:r>
        <w:rPr>
          <w:rFonts w:hint="eastAsia" w:ascii="宋体" w:hAnsi="宋体" w:eastAsia="宋体" w:cs="宋体"/>
          <w:b/>
          <w:bCs/>
          <w:color w:val="auto"/>
          <w:kern w:val="0"/>
          <w:sz w:val="24"/>
          <w:szCs w:val="24"/>
          <w:highlight w:val="none"/>
        </w:rPr>
        <w:t>7.2服务报酬支付方式</w:t>
      </w:r>
    </w:p>
    <w:tbl>
      <w:tblPr>
        <w:tblStyle w:val="18"/>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90"/>
        <w:gridCol w:w="3785"/>
        <w:gridCol w:w="805"/>
        <w:gridCol w:w="1110"/>
        <w:gridCol w:w="2722"/>
      </w:tblGrid>
      <w:tr w14:paraId="2F05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6773B6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E632F20">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服务阶段</w:t>
            </w:r>
          </w:p>
        </w:tc>
        <w:tc>
          <w:tcPr>
            <w:tcW w:w="3785" w:type="dxa"/>
            <w:tcBorders>
              <w:top w:val="single" w:color="auto" w:sz="4" w:space="0"/>
              <w:left w:val="single" w:color="auto" w:sz="4" w:space="0"/>
              <w:bottom w:val="single" w:color="auto" w:sz="4" w:space="0"/>
              <w:right w:val="single" w:color="auto" w:sz="4" w:space="0"/>
            </w:tcBorders>
            <w:shd w:val="clear" w:color="auto" w:fill="auto"/>
            <w:vAlign w:val="center"/>
          </w:tcPr>
          <w:p w14:paraId="1D582EA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支付条件及</w:t>
            </w:r>
            <w:r>
              <w:rPr>
                <w:rFonts w:hint="eastAsia" w:ascii="宋体" w:hAnsi="宋体" w:eastAsia="宋体" w:cs="宋体"/>
                <w:b/>
                <w:color w:val="auto"/>
                <w:sz w:val="21"/>
                <w:szCs w:val="21"/>
                <w:highlight w:val="none"/>
              </w:rPr>
              <w:t>支付时间</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661A2FF0">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服务内容占比</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E3B01AF">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支付</w:t>
            </w:r>
          </w:p>
          <w:p w14:paraId="595019A5">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合同价的</w:t>
            </w:r>
            <w:r>
              <w:rPr>
                <w:rFonts w:hint="eastAsia" w:ascii="宋体" w:hAnsi="宋体" w:eastAsia="宋体" w:cs="宋体"/>
                <w:b/>
                <w:color w:val="auto"/>
                <w:sz w:val="21"/>
                <w:szCs w:val="21"/>
                <w:highlight w:val="none"/>
              </w:rPr>
              <w:t>比例</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6A3FD072">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01E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EA415FD">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ED263C4">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w:t>
            </w:r>
          </w:p>
        </w:tc>
        <w:tc>
          <w:tcPr>
            <w:tcW w:w="3785" w:type="dxa"/>
            <w:tcBorders>
              <w:top w:val="single" w:color="auto" w:sz="4" w:space="0"/>
              <w:left w:val="single" w:color="auto" w:sz="4" w:space="0"/>
              <w:bottom w:val="single" w:color="auto" w:sz="4" w:space="0"/>
              <w:right w:val="single" w:color="auto" w:sz="4" w:space="0"/>
            </w:tcBorders>
            <w:shd w:val="clear" w:color="auto" w:fill="auto"/>
            <w:vAlign w:val="center"/>
          </w:tcPr>
          <w:p w14:paraId="00372428">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合同签订生效且乙方已按要求向甲方提交履约担保</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支付申请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甲方完成审批后15</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rPr>
              <w:t>。</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1B1C60EE">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47F088E">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2D05ED7B">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p>
        </w:tc>
      </w:tr>
      <w:tr w14:paraId="0A29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198596D">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3891396">
            <w:pPr>
              <w:keepNext w:val="0"/>
              <w:keepLines w:val="0"/>
              <w:suppressLineNumbers w:val="0"/>
              <w:adjustRightInd w:val="0"/>
              <w:snapToGrid w:val="0"/>
              <w:spacing w:before="0" w:beforeAutospacing="0" w:after="0" w:afterAutospacing="0" w:line="288" w:lineRule="auto"/>
              <w:ind w:left="0" w:right="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估算阶段</w:t>
            </w:r>
            <w:r>
              <w:rPr>
                <w:rFonts w:hint="eastAsia" w:ascii="宋体" w:hAnsi="宋体" w:eastAsia="宋体" w:cs="宋体"/>
                <w:color w:val="auto"/>
                <w:kern w:val="0"/>
                <w:sz w:val="24"/>
                <w:szCs w:val="24"/>
                <w:highlight w:val="none"/>
                <w:lang w:val="en-US" w:eastAsia="zh-CN"/>
              </w:rPr>
              <w:t>（如有）</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概算阶段</w:t>
            </w:r>
          </w:p>
        </w:tc>
        <w:tc>
          <w:tcPr>
            <w:tcW w:w="3785" w:type="dxa"/>
            <w:tcBorders>
              <w:top w:val="single" w:color="auto" w:sz="4" w:space="0"/>
              <w:left w:val="single" w:color="auto" w:sz="4" w:space="0"/>
              <w:bottom w:val="single" w:color="auto" w:sz="4" w:space="0"/>
              <w:right w:val="single" w:color="auto" w:sz="4" w:space="0"/>
            </w:tcBorders>
            <w:shd w:val="clear" w:color="auto" w:fill="auto"/>
            <w:vAlign w:val="center"/>
          </w:tcPr>
          <w:p w14:paraId="51FA65CC">
            <w:pPr>
              <w:keepNext w:val="0"/>
              <w:keepLines w:val="0"/>
              <w:suppressLineNumbers w:val="0"/>
              <w:adjustRightInd w:val="0"/>
              <w:snapToGrid w:val="0"/>
              <w:spacing w:before="0" w:beforeAutospacing="0" w:after="0" w:afterAutospacing="0" w:line="288" w:lineRule="auto"/>
              <w:ind w:left="0" w:right="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概算审核成果</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并经审定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提出支付申请</w:t>
            </w:r>
            <w:r>
              <w:rPr>
                <w:rFonts w:hint="eastAsia" w:ascii="宋体" w:hAnsi="宋体" w:eastAsia="宋体" w:cs="宋体"/>
                <w:color w:val="auto"/>
                <w:sz w:val="21"/>
                <w:szCs w:val="21"/>
                <w:highlight w:val="none"/>
                <w:lang w:val="en-US" w:eastAsia="zh-CN"/>
              </w:rPr>
              <w:t>及提交完整资料，甲方完成审批后</w:t>
            </w:r>
            <w:r>
              <w:rPr>
                <w:rFonts w:hint="eastAsia" w:ascii="宋体" w:hAnsi="宋体" w:eastAsia="宋体" w:cs="宋体"/>
                <w:color w:val="auto"/>
                <w:sz w:val="21"/>
                <w:szCs w:val="21"/>
                <w:highlight w:val="none"/>
              </w:rPr>
              <w:t>5个工作日内</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rPr>
              <w:t>。</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02AFFCDC">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35E125A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22E88618">
            <w:pPr>
              <w:keepNext w:val="0"/>
              <w:keepLines w:val="0"/>
              <w:suppressLineNumbers w:val="0"/>
              <w:adjustRightInd w:val="0"/>
              <w:snapToGrid w:val="0"/>
              <w:spacing w:before="0" w:beforeAutospacing="0" w:after="0" w:afterAutospacing="0" w:line="288" w:lineRule="auto"/>
              <w:ind w:left="0" w:right="0"/>
              <w:jc w:val="both"/>
              <w:rPr>
                <w:rFonts w:hint="eastAsia" w:ascii="宋体" w:hAnsi="宋体" w:eastAsia="宋体" w:cs="宋体"/>
                <w:color w:val="auto"/>
                <w:sz w:val="21"/>
                <w:szCs w:val="21"/>
                <w:highlight w:val="none"/>
              </w:rPr>
            </w:pPr>
          </w:p>
        </w:tc>
      </w:tr>
      <w:tr w14:paraId="2784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10429CD">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A281A72">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招标阶段</w:t>
            </w:r>
          </w:p>
        </w:tc>
        <w:tc>
          <w:tcPr>
            <w:tcW w:w="3785" w:type="dxa"/>
            <w:tcBorders>
              <w:top w:val="single" w:color="auto" w:sz="4" w:space="0"/>
              <w:left w:val="single" w:color="auto" w:sz="4" w:space="0"/>
              <w:bottom w:val="single" w:color="auto" w:sz="4" w:space="0"/>
              <w:right w:val="single" w:color="auto" w:sz="4" w:space="0"/>
            </w:tcBorders>
            <w:shd w:val="clear" w:color="auto" w:fill="auto"/>
            <w:vAlign w:val="center"/>
          </w:tcPr>
          <w:p w14:paraId="1B26FE32">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工程主体施工合同签订后，乙方</w:t>
            </w:r>
            <w:r>
              <w:rPr>
                <w:rFonts w:hint="eastAsia" w:ascii="宋体" w:hAnsi="宋体" w:eastAsia="宋体" w:cs="宋体"/>
                <w:color w:val="auto"/>
                <w:sz w:val="21"/>
                <w:szCs w:val="21"/>
                <w:highlight w:val="none"/>
              </w:rPr>
              <w:t>提出支付申请</w:t>
            </w:r>
            <w:r>
              <w:rPr>
                <w:rFonts w:hint="eastAsia" w:ascii="宋体" w:hAnsi="宋体" w:eastAsia="宋体" w:cs="宋体"/>
                <w:color w:val="auto"/>
                <w:sz w:val="21"/>
                <w:szCs w:val="21"/>
                <w:highlight w:val="none"/>
                <w:lang w:val="en-US" w:eastAsia="zh-CN"/>
              </w:rPr>
              <w:t>及提交完整资料，甲方完成审批后1</w:t>
            </w:r>
            <w:r>
              <w:rPr>
                <w:rFonts w:hint="eastAsia" w:ascii="宋体" w:hAnsi="宋体" w:eastAsia="宋体" w:cs="宋体"/>
                <w:color w:val="auto"/>
                <w:sz w:val="21"/>
                <w:szCs w:val="21"/>
                <w:highlight w:val="none"/>
              </w:rPr>
              <w:t>5个工作日内</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施工、货物、服务</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val="en-US" w:eastAsia="zh-CN"/>
              </w:rPr>
              <w:t>可按造价占比（以甲方认定为准）</w:t>
            </w:r>
            <w:r>
              <w:rPr>
                <w:rFonts w:hint="eastAsia" w:ascii="宋体" w:hAnsi="宋体" w:eastAsia="宋体" w:cs="宋体"/>
                <w:color w:val="auto"/>
                <w:sz w:val="21"/>
                <w:szCs w:val="21"/>
                <w:highlight w:val="none"/>
              </w:rPr>
              <w:t>分次支付。</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13038AA8">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63799B8">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1AAAF5FA">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p>
        </w:tc>
      </w:tr>
      <w:tr w14:paraId="4DC1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908EFDC">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5CE7F48">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竣工结算阶段</w:t>
            </w:r>
          </w:p>
        </w:tc>
        <w:tc>
          <w:tcPr>
            <w:tcW w:w="3785" w:type="dxa"/>
            <w:tcBorders>
              <w:top w:val="single" w:color="auto" w:sz="4" w:space="0"/>
              <w:left w:val="single" w:color="auto" w:sz="4" w:space="0"/>
              <w:bottom w:val="single" w:color="auto" w:sz="4" w:space="0"/>
              <w:right w:val="single" w:color="auto" w:sz="4" w:space="0"/>
            </w:tcBorders>
            <w:shd w:val="clear" w:color="auto" w:fill="auto"/>
            <w:vAlign w:val="center"/>
          </w:tcPr>
          <w:p w14:paraId="6203DF04">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主体工程结算审核完成并提供结算成果报告，</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提出支付申请</w:t>
            </w:r>
            <w:r>
              <w:rPr>
                <w:rFonts w:hint="eastAsia" w:ascii="宋体" w:hAnsi="宋体" w:eastAsia="宋体" w:cs="宋体"/>
                <w:color w:val="auto"/>
                <w:sz w:val="21"/>
                <w:szCs w:val="21"/>
                <w:highlight w:val="none"/>
                <w:lang w:val="en-US" w:eastAsia="zh-CN"/>
              </w:rPr>
              <w:t>及提交完整资料，甲方完成审批后1</w:t>
            </w:r>
            <w:r>
              <w:rPr>
                <w:rFonts w:hint="eastAsia" w:ascii="宋体" w:hAnsi="宋体" w:eastAsia="宋体" w:cs="宋体"/>
                <w:color w:val="auto"/>
                <w:sz w:val="21"/>
                <w:szCs w:val="21"/>
                <w:highlight w:val="none"/>
              </w:rPr>
              <w:t>5个工作日内</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rPr>
              <w:t>。</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5497DA6B">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27C7D19">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07A6DCEE">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eastAsia="宋体" w:cs="宋体"/>
                <w:color w:val="auto"/>
                <w:sz w:val="21"/>
                <w:szCs w:val="21"/>
                <w:highlight w:val="none"/>
                <w:lang w:val="en-US"/>
              </w:rPr>
            </w:pPr>
          </w:p>
        </w:tc>
      </w:tr>
      <w:tr w14:paraId="5071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D68A7B3">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B7AD9A4">
            <w:pPr>
              <w:keepNext w:val="0"/>
              <w:keepLines w:val="0"/>
              <w:suppressLineNumbers w:val="0"/>
              <w:adjustRightInd w:val="0"/>
              <w:snapToGrid w:val="0"/>
              <w:spacing w:before="0" w:beforeAutospacing="0" w:after="0" w:afterAutospacing="0" w:line="288"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决算阶段</w:t>
            </w:r>
          </w:p>
        </w:tc>
        <w:tc>
          <w:tcPr>
            <w:tcW w:w="3785" w:type="dxa"/>
            <w:tcBorders>
              <w:top w:val="single" w:color="auto" w:sz="4" w:space="0"/>
              <w:left w:val="single" w:color="auto" w:sz="4" w:space="0"/>
              <w:bottom w:val="single" w:color="auto" w:sz="4" w:space="0"/>
              <w:right w:val="single" w:color="auto" w:sz="4" w:space="0"/>
            </w:tcBorders>
            <w:shd w:val="clear" w:color="auto" w:fill="auto"/>
            <w:vAlign w:val="center"/>
          </w:tcPr>
          <w:p w14:paraId="39862378">
            <w:pPr>
              <w:keepNext w:val="0"/>
              <w:keepLines w:val="0"/>
              <w:suppressLineNumbers w:val="0"/>
              <w:adjustRightInd w:val="0"/>
              <w:snapToGrid w:val="0"/>
              <w:spacing w:before="0" w:beforeAutospacing="0" w:after="0" w:afterAutospacing="0" w:line="288"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本项目完成质量抽检或决算后（两者以后到日期为准），合同结算审核成果文件提交并经审定，乙方</w:t>
            </w:r>
            <w:r>
              <w:rPr>
                <w:rFonts w:hint="eastAsia" w:ascii="宋体" w:hAnsi="宋体" w:eastAsia="宋体" w:cs="宋体"/>
                <w:color w:val="auto"/>
                <w:sz w:val="21"/>
                <w:szCs w:val="21"/>
                <w:highlight w:val="none"/>
              </w:rPr>
              <w:t>提出支付申请</w:t>
            </w:r>
            <w:r>
              <w:rPr>
                <w:rFonts w:hint="eastAsia" w:ascii="宋体" w:hAnsi="宋体" w:eastAsia="宋体" w:cs="宋体"/>
                <w:color w:val="auto"/>
                <w:sz w:val="21"/>
                <w:szCs w:val="21"/>
                <w:highlight w:val="none"/>
                <w:lang w:val="en-US" w:eastAsia="zh-CN"/>
              </w:rPr>
              <w:t>及提交完整资料，甲方完成审批后1</w:t>
            </w:r>
            <w:r>
              <w:rPr>
                <w:rFonts w:hint="eastAsia" w:ascii="宋体" w:hAnsi="宋体" w:eastAsia="宋体" w:cs="宋体"/>
                <w:color w:val="auto"/>
                <w:sz w:val="21"/>
                <w:szCs w:val="21"/>
                <w:highlight w:val="none"/>
              </w:rPr>
              <w:t>5个工作日内</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施工、货物、服务</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val="en-US" w:eastAsia="zh-CN"/>
              </w:rPr>
              <w:t>可按造价占比（以甲方认定为准）</w:t>
            </w:r>
            <w:r>
              <w:rPr>
                <w:rFonts w:hint="eastAsia" w:ascii="宋体" w:hAnsi="宋体" w:eastAsia="宋体" w:cs="宋体"/>
                <w:color w:val="auto"/>
                <w:sz w:val="21"/>
                <w:szCs w:val="21"/>
                <w:highlight w:val="none"/>
              </w:rPr>
              <w:t>分次支付。</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06FDF620">
            <w:pPr>
              <w:keepNext w:val="0"/>
              <w:keepLines w:val="0"/>
              <w:suppressLineNumbers w:val="0"/>
              <w:adjustRightInd w:val="0"/>
              <w:snapToGrid w:val="0"/>
              <w:spacing w:before="0" w:beforeAutospacing="0" w:after="0" w:afterAutospacing="0" w:line="288"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36F2923">
            <w:pPr>
              <w:keepNext w:val="0"/>
              <w:keepLines w:val="0"/>
              <w:suppressLineNumbers w:val="0"/>
              <w:adjustRightInd w:val="0"/>
              <w:snapToGrid w:val="0"/>
              <w:spacing w:before="0" w:beforeAutospacing="0" w:after="0" w:afterAutospacing="0" w:line="288"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6A9ABF7B">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p>
        </w:tc>
      </w:tr>
      <w:tr w14:paraId="1CDE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6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A469E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210B3A1B">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EFF039C">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0967B632">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p>
        </w:tc>
      </w:tr>
    </w:tbl>
    <w:p w14:paraId="6A3A7A1A">
      <w:pPr>
        <w:widowControl w:val="0"/>
        <w:adjustRightInd w:val="0"/>
        <w:snapToGrid w:val="0"/>
        <w:spacing w:line="360" w:lineRule="auto"/>
        <w:ind w:firstLine="480" w:firstLineChars="200"/>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144EE9A">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纳入阶段及占比</w:t>
      </w:r>
      <w:r>
        <w:rPr>
          <w:rFonts w:hint="eastAsia" w:ascii="宋体" w:hAnsi="宋体" w:eastAsia="宋体" w:cs="宋体"/>
          <w:color w:val="auto"/>
          <w:sz w:val="24"/>
          <w:szCs w:val="24"/>
          <w:highlight w:val="none"/>
        </w:rPr>
        <w:t>费用分摊的工作，其费用视为已包含在其他阶段的费用中，不单独计量支付。</w:t>
      </w:r>
    </w:p>
    <w:p w14:paraId="073D610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每次付款，乙方均需按甲方财务管理制度办理支付申请手续，并提供合法有效增值税一般纳税人服务类</w:t>
      </w:r>
      <w:r>
        <w:rPr>
          <w:rFonts w:hint="eastAsia" w:ascii="宋体" w:hAnsi="宋体" w:eastAsia="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发票的正式发票，甲方审核确认后办理支付。</w:t>
      </w:r>
    </w:p>
    <w:p w14:paraId="36FA20AB">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实际支付无需按上表阶段的顺序支付，可按实际完成的服务内容，满足支付条件即可办理相关支付。未</w:t>
      </w:r>
      <w:r>
        <w:rPr>
          <w:rFonts w:hint="eastAsia" w:ascii="宋体" w:hAnsi="宋体" w:eastAsia="宋体" w:cs="宋体"/>
          <w:color w:val="auto"/>
          <w:sz w:val="24"/>
          <w:szCs w:val="24"/>
          <w:highlight w:val="none"/>
        </w:rPr>
        <w:t>实施</w:t>
      </w:r>
      <w:r>
        <w:rPr>
          <w:rFonts w:hint="eastAsia" w:ascii="宋体" w:hAnsi="宋体" w:eastAsia="宋体" w:cs="宋体"/>
          <w:color w:val="auto"/>
          <w:sz w:val="24"/>
          <w:szCs w:val="24"/>
          <w:highlight w:val="none"/>
          <w:lang w:val="en-US" w:eastAsia="zh-CN"/>
        </w:rPr>
        <w:t>的阶段及服务内容，不得办理支付申请。</w:t>
      </w:r>
    </w:p>
    <w:p w14:paraId="5354F876">
      <w:pPr>
        <w:adjustRightInd w:val="0"/>
        <w:snapToGrid w:val="0"/>
        <w:spacing w:line="360" w:lineRule="auto"/>
        <w:ind w:firstLine="480" w:firstLineChars="200"/>
        <w:jc w:val="both"/>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服务报酬的具体支付时间以实际支付时间为准，乙方承诺不因支付延迟而向甲方索赔费用或主张相关违约责任，并且此情况不能成为乙方终止或拒绝履行合同约定义务的理由。</w:t>
      </w:r>
    </w:p>
    <w:p w14:paraId="5E26DFF1">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7.3</w:t>
      </w:r>
      <w:r>
        <w:rPr>
          <w:rFonts w:hint="eastAsia" w:ascii="宋体" w:hAnsi="宋体" w:eastAsia="宋体" w:cs="宋体"/>
          <w:color w:val="auto"/>
          <w:sz w:val="24"/>
          <w:szCs w:val="24"/>
          <w:highlight w:val="none"/>
        </w:rPr>
        <w:t>双方一致同意，如本合同工程审计机关对结算</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rPr>
        <w:t>提出修正意见的，双方应当本着实事求是的原则予以纠正。</w:t>
      </w:r>
    </w:p>
    <w:p w14:paraId="70E8F6E9">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212" w:name="_Toc20495"/>
      <w:bookmarkStart w:id="213" w:name="_Toc11548"/>
      <w:bookmarkStart w:id="214" w:name="_Toc7887"/>
      <w:bookmarkStart w:id="215" w:name="_Toc29843"/>
      <w:bookmarkStart w:id="216" w:name="_Toc22554"/>
      <w:bookmarkStart w:id="217" w:name="_Toc31198"/>
      <w:bookmarkStart w:id="218" w:name="_Toc17678"/>
      <w:bookmarkStart w:id="219" w:name="_Toc14240"/>
      <w:bookmarkStart w:id="220" w:name="_Toc6642"/>
      <w:bookmarkStart w:id="221" w:name="_Toc24092"/>
      <w:bookmarkStart w:id="222" w:name="_Toc14967"/>
      <w:r>
        <w:rPr>
          <w:rFonts w:hint="eastAsia" w:ascii="宋体" w:hAnsi="宋体" w:eastAsia="宋体" w:cs="宋体"/>
          <w:b/>
          <w:color w:val="auto"/>
          <w:sz w:val="24"/>
          <w:szCs w:val="24"/>
          <w:highlight w:val="none"/>
        </w:rPr>
        <w:t>八、违约责任</w:t>
      </w:r>
      <w:bookmarkEnd w:id="212"/>
      <w:bookmarkEnd w:id="213"/>
      <w:bookmarkEnd w:id="214"/>
      <w:bookmarkEnd w:id="215"/>
      <w:bookmarkEnd w:id="216"/>
      <w:bookmarkEnd w:id="217"/>
      <w:bookmarkEnd w:id="218"/>
      <w:bookmarkEnd w:id="219"/>
      <w:bookmarkEnd w:id="220"/>
      <w:bookmarkEnd w:id="221"/>
      <w:bookmarkEnd w:id="222"/>
    </w:p>
    <w:p w14:paraId="70456831">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8.1甲方违约责任</w:t>
      </w:r>
    </w:p>
    <w:p w14:paraId="78649B3F">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若甲方未按合同约定及时提供乙方开展</w:t>
      </w:r>
      <w:r>
        <w:rPr>
          <w:rFonts w:hint="eastAsia" w:ascii="宋体" w:hAnsi="宋体" w:eastAsia="宋体" w:cs="宋体"/>
          <w:snapToGrid w:val="0"/>
          <w:color w:val="auto"/>
          <w:kern w:val="0"/>
          <w:sz w:val="24"/>
          <w:highlight w:val="none"/>
          <w:lang w:val="en-US" w:eastAsia="zh-CN"/>
        </w:rPr>
        <w:t>服务</w:t>
      </w:r>
      <w:r>
        <w:rPr>
          <w:rFonts w:hint="eastAsia" w:ascii="宋体" w:hAnsi="宋体" w:eastAsia="宋体" w:cs="宋体"/>
          <w:snapToGrid w:val="0"/>
          <w:color w:val="auto"/>
          <w:kern w:val="0"/>
          <w:sz w:val="24"/>
          <w:highlight w:val="none"/>
        </w:rPr>
        <w:t>工作所需要</w:t>
      </w:r>
      <w:r>
        <w:rPr>
          <w:rFonts w:hint="eastAsia" w:ascii="宋体" w:hAnsi="宋体" w:eastAsia="宋体" w:cs="宋体"/>
          <w:snapToGrid w:val="0"/>
          <w:color w:val="auto"/>
          <w:kern w:val="0"/>
          <w:sz w:val="24"/>
          <w:highlight w:val="none"/>
          <w:lang w:val="en-US" w:eastAsia="zh-CN"/>
        </w:rPr>
        <w:t>的</w:t>
      </w:r>
      <w:r>
        <w:rPr>
          <w:rFonts w:hint="eastAsia" w:ascii="宋体" w:hAnsi="宋体" w:eastAsia="宋体" w:cs="宋体"/>
          <w:snapToGrid w:val="0"/>
          <w:color w:val="auto"/>
          <w:kern w:val="0"/>
          <w:sz w:val="24"/>
          <w:highlight w:val="none"/>
        </w:rPr>
        <w:t>技术资料、基础资料等相关资料，或由于甲方变更计划，致使乙方不能按本合同约定时间完成造价咨询工作的，甲方应</w:t>
      </w:r>
      <w:r>
        <w:rPr>
          <w:rFonts w:hint="eastAsia" w:ascii="宋体" w:hAnsi="宋体" w:eastAsia="宋体" w:cs="宋体"/>
          <w:snapToGrid w:val="0"/>
          <w:color w:val="auto"/>
          <w:kern w:val="0"/>
          <w:sz w:val="24"/>
          <w:highlight w:val="none"/>
          <w:lang w:val="en-US" w:eastAsia="zh-CN"/>
        </w:rPr>
        <w:t>实事求是</w:t>
      </w:r>
      <w:r>
        <w:rPr>
          <w:rFonts w:hint="eastAsia" w:ascii="宋体" w:hAnsi="宋体" w:eastAsia="宋体" w:cs="宋体"/>
          <w:snapToGrid w:val="0"/>
          <w:color w:val="auto"/>
          <w:kern w:val="0"/>
          <w:sz w:val="24"/>
          <w:highlight w:val="none"/>
        </w:rPr>
        <w:t>顺延</w:t>
      </w:r>
      <w:r>
        <w:rPr>
          <w:rFonts w:hint="eastAsia" w:ascii="宋体" w:hAnsi="宋体" w:eastAsia="宋体" w:cs="宋体"/>
          <w:snapToGrid w:val="0"/>
          <w:color w:val="auto"/>
          <w:kern w:val="0"/>
          <w:sz w:val="24"/>
          <w:highlight w:val="none"/>
          <w:lang w:val="en-US" w:eastAsia="zh-CN"/>
        </w:rPr>
        <w:t>乙方工作</w:t>
      </w:r>
      <w:r>
        <w:rPr>
          <w:rFonts w:hint="eastAsia" w:ascii="宋体" w:hAnsi="宋体" w:eastAsia="宋体" w:cs="宋体"/>
          <w:snapToGrid w:val="0"/>
          <w:color w:val="auto"/>
          <w:kern w:val="0"/>
          <w:sz w:val="24"/>
          <w:highlight w:val="none"/>
        </w:rPr>
        <w:t>时间。</w:t>
      </w:r>
    </w:p>
    <w:p w14:paraId="3613A38C">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如因政策变化、甲方决策、设计变更、</w:t>
      </w:r>
      <w:r>
        <w:rPr>
          <w:rFonts w:hint="eastAsia" w:ascii="宋体" w:hAnsi="宋体" w:eastAsia="宋体" w:cs="宋体"/>
          <w:snapToGrid w:val="0"/>
          <w:color w:val="auto"/>
          <w:kern w:val="0"/>
          <w:sz w:val="24"/>
          <w:highlight w:val="none"/>
          <w:lang w:val="en-US" w:eastAsia="zh-CN"/>
        </w:rPr>
        <w:t>投资规模及</w:t>
      </w:r>
      <w:r>
        <w:rPr>
          <w:rFonts w:hint="eastAsia" w:ascii="宋体" w:hAnsi="宋体" w:eastAsia="宋体" w:cs="宋体"/>
          <w:snapToGrid w:val="0"/>
          <w:color w:val="auto"/>
          <w:kern w:val="0"/>
          <w:sz w:val="24"/>
          <w:highlight w:val="none"/>
        </w:rPr>
        <w:t>结构形式或者预算等发生调整</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lang w:val="en-US" w:eastAsia="zh-CN"/>
        </w:rPr>
        <w:t>导致</w:t>
      </w:r>
      <w:r>
        <w:rPr>
          <w:rFonts w:hint="eastAsia" w:ascii="宋体" w:hAnsi="宋体" w:eastAsia="宋体" w:cs="宋体"/>
          <w:snapToGrid w:val="0"/>
          <w:color w:val="auto"/>
          <w:kern w:val="0"/>
          <w:sz w:val="24"/>
          <w:highlight w:val="none"/>
        </w:rPr>
        <w:t>项目内容</w:t>
      </w:r>
      <w:r>
        <w:rPr>
          <w:rFonts w:hint="eastAsia" w:ascii="宋体" w:hAnsi="宋体" w:eastAsia="宋体" w:cs="宋体"/>
          <w:snapToGrid w:val="0"/>
          <w:color w:val="auto"/>
          <w:kern w:val="0"/>
          <w:sz w:val="24"/>
          <w:highlight w:val="none"/>
          <w:lang w:val="en-US" w:eastAsia="zh-CN"/>
        </w:rPr>
        <w:t>调整或建筑面积减少</w:t>
      </w:r>
      <w:r>
        <w:rPr>
          <w:rFonts w:hint="eastAsia" w:ascii="宋体" w:hAnsi="宋体" w:eastAsia="宋体" w:cs="宋体"/>
          <w:snapToGrid w:val="0"/>
          <w:color w:val="auto"/>
          <w:kern w:val="0"/>
          <w:sz w:val="24"/>
          <w:highlight w:val="none"/>
        </w:rPr>
        <w:t>，乙方已充分理解此风险并无条件接受</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lang w:val="en-US" w:eastAsia="zh-CN"/>
        </w:rPr>
        <w:t>服务报酬结算方式不变</w:t>
      </w:r>
      <w:r>
        <w:rPr>
          <w:rFonts w:hint="eastAsia" w:ascii="宋体" w:hAnsi="宋体" w:eastAsia="宋体" w:cs="宋体"/>
          <w:snapToGrid w:val="0"/>
          <w:color w:val="auto"/>
          <w:kern w:val="0"/>
          <w:sz w:val="24"/>
          <w:highlight w:val="none"/>
        </w:rPr>
        <w:t>。</w:t>
      </w:r>
    </w:p>
    <w:p w14:paraId="3911E74C">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如</w:t>
      </w:r>
      <w:r>
        <w:rPr>
          <w:rFonts w:hint="eastAsia" w:ascii="宋体" w:hAnsi="宋体" w:eastAsia="宋体" w:cs="宋体"/>
          <w:snapToGrid w:val="0"/>
          <w:color w:val="auto"/>
          <w:kern w:val="0"/>
          <w:sz w:val="24"/>
          <w:highlight w:val="none"/>
          <w:lang w:val="en-US" w:eastAsia="zh-CN"/>
        </w:rPr>
        <w:t>因</w:t>
      </w:r>
      <w:r>
        <w:rPr>
          <w:rFonts w:hint="eastAsia" w:ascii="宋体" w:hAnsi="宋体" w:eastAsia="宋体" w:cs="宋体"/>
          <w:snapToGrid w:val="0"/>
          <w:color w:val="auto"/>
          <w:kern w:val="0"/>
          <w:sz w:val="24"/>
          <w:highlight w:val="none"/>
        </w:rPr>
        <w:t>政策变化、甲方决策、土地出让</w:t>
      </w:r>
      <w:r>
        <w:rPr>
          <w:rFonts w:hint="eastAsia" w:ascii="宋体" w:hAnsi="宋体" w:eastAsia="宋体" w:cs="宋体"/>
          <w:snapToGrid w:val="0"/>
          <w:color w:val="auto"/>
          <w:kern w:val="0"/>
          <w:sz w:val="24"/>
          <w:highlight w:val="none"/>
          <w:lang w:val="en-US" w:eastAsia="zh-CN"/>
        </w:rPr>
        <w:t>或其他</w:t>
      </w:r>
      <w:r>
        <w:rPr>
          <w:rFonts w:hint="eastAsia" w:ascii="宋体" w:hAnsi="宋体" w:eastAsia="宋体" w:cs="宋体"/>
          <w:snapToGrid w:val="0"/>
          <w:color w:val="auto"/>
          <w:kern w:val="0"/>
          <w:sz w:val="24"/>
          <w:highlight w:val="none"/>
        </w:rPr>
        <w:t>原因</w:t>
      </w:r>
      <w:r>
        <w:rPr>
          <w:rFonts w:hint="eastAsia" w:ascii="宋体" w:hAnsi="宋体" w:eastAsia="宋体" w:cs="宋体"/>
          <w:snapToGrid w:val="0"/>
          <w:color w:val="auto"/>
          <w:kern w:val="0"/>
          <w:sz w:val="24"/>
          <w:highlight w:val="none"/>
          <w:lang w:val="en-US" w:eastAsia="zh-CN"/>
        </w:rPr>
        <w:t>导致本项目停建或缓建或取消，</w:t>
      </w:r>
      <w:r>
        <w:rPr>
          <w:rFonts w:hint="eastAsia" w:ascii="宋体" w:hAnsi="宋体" w:eastAsia="宋体" w:cs="宋体"/>
          <w:snapToGrid w:val="0"/>
          <w:color w:val="auto"/>
          <w:kern w:val="0"/>
          <w:sz w:val="24"/>
          <w:highlight w:val="none"/>
        </w:rPr>
        <w:t>甲方有权单方解除本合同，双方互不视为违约。双方以乙方实际完成工作量按本合同</w:t>
      </w:r>
      <w:r>
        <w:rPr>
          <w:rFonts w:hint="eastAsia" w:ascii="宋体" w:hAnsi="宋体" w:eastAsia="宋体" w:cs="宋体"/>
          <w:snapToGrid w:val="0"/>
          <w:color w:val="auto"/>
          <w:kern w:val="0"/>
          <w:sz w:val="24"/>
          <w:highlight w:val="none"/>
          <w:lang w:val="en-US" w:eastAsia="zh-CN"/>
        </w:rPr>
        <w:t>约定</w:t>
      </w:r>
      <w:r>
        <w:rPr>
          <w:rFonts w:hint="eastAsia" w:ascii="宋体" w:hAnsi="宋体" w:eastAsia="宋体" w:cs="宋体"/>
          <w:snapToGrid w:val="0"/>
          <w:color w:val="auto"/>
          <w:kern w:val="0"/>
          <w:sz w:val="24"/>
          <w:highlight w:val="none"/>
        </w:rPr>
        <w:t>的</w:t>
      </w:r>
      <w:r>
        <w:rPr>
          <w:rFonts w:hint="eastAsia" w:ascii="宋体" w:hAnsi="宋体" w:eastAsia="宋体" w:cs="宋体"/>
          <w:snapToGrid w:val="0"/>
          <w:color w:val="auto"/>
          <w:kern w:val="0"/>
          <w:sz w:val="24"/>
          <w:highlight w:val="none"/>
          <w:lang w:val="en-US" w:eastAsia="zh-CN"/>
        </w:rPr>
        <w:t>结算方式</w:t>
      </w:r>
      <w:r>
        <w:rPr>
          <w:rFonts w:hint="eastAsia" w:ascii="宋体" w:hAnsi="宋体" w:eastAsia="宋体" w:cs="宋体"/>
          <w:snapToGrid w:val="0"/>
          <w:color w:val="auto"/>
          <w:kern w:val="0"/>
          <w:sz w:val="24"/>
          <w:highlight w:val="none"/>
        </w:rPr>
        <w:t>核定</w:t>
      </w:r>
      <w:r>
        <w:rPr>
          <w:rFonts w:hint="eastAsia" w:ascii="宋体" w:hAnsi="宋体" w:eastAsia="宋体" w:cs="宋体"/>
          <w:snapToGrid w:val="0"/>
          <w:color w:val="auto"/>
          <w:kern w:val="0"/>
          <w:sz w:val="24"/>
          <w:highlight w:val="none"/>
          <w:lang w:val="en-US" w:eastAsia="zh-CN"/>
        </w:rPr>
        <w:t>服务报酬</w:t>
      </w:r>
      <w:r>
        <w:rPr>
          <w:rFonts w:hint="eastAsia" w:ascii="宋体" w:hAnsi="宋体" w:eastAsia="宋体" w:cs="宋体"/>
          <w:snapToGrid w:val="0"/>
          <w:color w:val="auto"/>
          <w:kern w:val="0"/>
          <w:sz w:val="24"/>
          <w:highlight w:val="none"/>
        </w:rPr>
        <w:t>，无须再另行进行相关赔偿。乙方已充分知悉上述风险，并且放弃向甲方主张索赔的权利。</w:t>
      </w:r>
    </w:p>
    <w:p w14:paraId="4A2F056E">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8.2乙方违约责任</w:t>
      </w:r>
    </w:p>
    <w:p w14:paraId="5A61964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8.2.1乙方承担违约责任的方式包括但不限于：</w:t>
      </w:r>
    </w:p>
    <w:p w14:paraId="3936FAD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（1）书面警告。乙方不履行或不完全履行合同或不执行甲方的指令时，甲方有权向乙方发出书面警告。乙方必须在书面警告限定的时间内履行义务或执行指令，否则应承担一次一般违约责任。</w:t>
      </w:r>
    </w:p>
    <w:p w14:paraId="6FE347A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（2）一般违约责任。乙方违反本合同的约定须承担一般违约责任时，必须向甲方交纳违约金人民币3000元/次。</w:t>
      </w:r>
    </w:p>
    <w:p w14:paraId="09F7371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（3）严重违约责任。乙方违反本合同的约定须承担严重违约责任时，必须向甲方交纳违约金人民币10000元/次。</w:t>
      </w:r>
    </w:p>
    <w:p w14:paraId="351D8D2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（4）下浮支付服务报酬。乙方的违约情节特别严重时，甲方有权在合同约定基础上再下浮支付服务报酬，累计下浮金额不超过服务报酬总额的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1660EC7D">
      <w:pPr>
        <w:adjustRightInd w:val="0"/>
        <w:snapToGrid w:val="0"/>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（5）部分解除合同或解除合同。乙方累计三次以上（含三次）严重违约或甲方认为其违约情节特别恶劣的，甲方有权单方面部分解除合同或解除合同。</w:t>
      </w:r>
    </w:p>
    <w:p w14:paraId="715B2D1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赔偿损失。因乙方违约或工作失误给甲方造成损失的，乙方应向甲方赔偿与违约有直接或间接因果关系的所有损失，但赔偿总额不应超过服务报酬总额。如果损失是由于乙方故意或严重渎职造成的，乙方应全额赔偿由此给甲方所造成的损失。</w:t>
      </w:r>
    </w:p>
    <w:p w14:paraId="4D8AA41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8.2.2三次书面警告另行追加一次一般违约责任，三次一般违约责任另行追加一次严重违约责任，累计三次严重违约责任，甲方有权单方面部分解除合同或解除合同。</w:t>
      </w:r>
    </w:p>
    <w:p w14:paraId="2EBA810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8.2.3乙方违约需向甲方支付违约金或赔偿金时，违约金和赔偿金应分别计算，甲方有权从应支付给乙方的服务报酬中直接扣除，结算时不予退还，乙方不得有任何异议。同时，甲方保留进一步依法追究乙方有关责任的权利，如：视情况决定将乙方的违约行为通报有关政府主管部门，提起诉讼等。</w:t>
      </w:r>
    </w:p>
    <w:p w14:paraId="7CC69D8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8.2.4组织管理方面的违约责任</w:t>
      </w:r>
    </w:p>
    <w:p w14:paraId="184917C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保证项目建设有序、规范和顺利进行，乙方必须主动支持甲方的工作，对甲方的指令和书面通知，若无正当理由又未提前报告、得到认可，而公开或变相拒不执行的，第一次按一般违约处理；第二次以后，每违反一次按一次严重违约处理；乙方同时应承担由此给甲方造成的一切经济损失。情节较轻的，可给予书面警告，情节特别严重的，甲方有权视情况单方面部分解除合同或解除合同。</w:t>
      </w:r>
    </w:p>
    <w:p w14:paraId="556FC2A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配备的造价咨询人员不符合本合同约定的，甲方每发现一人次，有权要求乙方承担一次一般违约责任；同时乙方应在甲方规定的时间内改正，否则应另承担一次严重违约责任；同时甲方有权视情况单方面部分解除合同或解除合同。</w:t>
      </w:r>
    </w:p>
    <w:p w14:paraId="637D268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违反本合同约定，项目负责人不按时亲自组织造价咨询工作，未及时向甲方主管部门负责人及时汇报项目争议进展情况的，甲方每发现一次，有权要求乙方承担一次一般违约责任；乙方应在甲方规定的时间内改正，否则应另承担一次严重违约责任；如因此给甲方造成损失的，乙方应赔偿甲方的损失；同时甲方有权视情况单方面部分解除合同或解除合同。</w:t>
      </w:r>
    </w:p>
    <w:p w14:paraId="0BBB2D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）乙方违反本合同约定，未经甲方书面同意擅自更换造价咨询人员的，甲方有权发出书面警告，乙方应在甲方规定的时间内改正，否则应承担一次严重违约责任；同时甲方有权方面部分解除合同或解除合同。</w:t>
      </w:r>
    </w:p>
    <w:p w14:paraId="4D34AD0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违反本合同约定，不按甲方的要求撤换不能胜任工作的造价咨询人员的，甲方有权发出书面警告，乙方应在甲方规定的时间内改正，否则应承担一次严重违约责任；同时甲方有权单方面部分解除合同或解除合同。</w:t>
      </w:r>
    </w:p>
    <w:p w14:paraId="76FFE4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）甲方要求乙方有关人员必须参加的会议（含对数等），有关人员必须到会，未经甲方同意不到会或不按期到会的，甲方有权给予书面警告。</w:t>
      </w:r>
    </w:p>
    <w:p w14:paraId="50391E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8.2.5工作进度方面的违约责任</w:t>
      </w:r>
    </w:p>
    <w:p w14:paraId="7E028F4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按本合同约定的时间向甲方提交合格的造价咨询成果文件的，每延误一天，应按本合同服务报酬总额的1‰向甲方支付违约金；延误20天以上，乙方除按上述约定继续支付违约金外，甲方有权下浮10%支付服务报酬；延误30天以上，甲方有权单方面部分解除合同或解除合同。</w:t>
      </w:r>
    </w:p>
    <w:p w14:paraId="5D40A2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按本合同约定及时收集整理有关资料以致影响甲方正常工作的，甲方有权要求乙方承担一次一般违约责任；乙方应在甲方规定的时间内改正，否则应另承担一次严重违约责任；如因此给甲方造成损失的，乙方应赔偿甲方的损失。</w:t>
      </w:r>
    </w:p>
    <w:p w14:paraId="73BEA32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（3）乙方不按本合同约定的时间向甲方提交造价咨询工作报告和符合归档要求的造价咨询成果文件的，支付服务报酬的时间相应顺延，且乙方须承担一次严重违约责任。</w:t>
      </w:r>
    </w:p>
    <w:p w14:paraId="7DB275B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8.2.6服务质量方面的违约责任</w:t>
      </w:r>
    </w:p>
    <w:p w14:paraId="222720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（1）乙方提交的</w:t>
      </w:r>
      <w:r>
        <w:rPr>
          <w:rFonts w:hint="eastAsia" w:ascii="宋体" w:hAnsi="宋体" w:eastAsia="宋体" w:cs="宋体"/>
          <w:color w:val="auto"/>
          <w:sz w:val="24"/>
          <w:szCs w:val="24"/>
          <w:highlight w:val="none"/>
          <w:lang w:val="en-US" w:eastAsia="zh-CN"/>
        </w:rPr>
        <w:t>单项</w:t>
      </w:r>
      <w:r>
        <w:rPr>
          <w:rFonts w:hint="eastAsia" w:ascii="宋体" w:hAnsi="宋体" w:eastAsia="宋体" w:cs="宋体"/>
          <w:color w:val="auto"/>
          <w:sz w:val="24"/>
          <w:szCs w:val="24"/>
          <w:highlight w:val="none"/>
        </w:rPr>
        <w:t>工作成果存在漏项或偏差金额（乙方</w:t>
      </w:r>
      <w:r>
        <w:rPr>
          <w:rFonts w:hint="eastAsia" w:ascii="宋体" w:hAnsi="宋体" w:eastAsia="宋体" w:cs="宋体"/>
          <w:color w:val="auto"/>
          <w:sz w:val="24"/>
          <w:szCs w:val="24"/>
          <w:highlight w:val="none"/>
          <w:lang w:val="en-US" w:eastAsia="zh-CN"/>
        </w:rPr>
        <w:t>送审</w:t>
      </w:r>
      <w:r>
        <w:rPr>
          <w:rFonts w:hint="eastAsia" w:ascii="宋体" w:hAnsi="宋体" w:eastAsia="宋体" w:cs="宋体"/>
          <w:color w:val="auto"/>
          <w:sz w:val="24"/>
          <w:szCs w:val="24"/>
          <w:highlight w:val="none"/>
        </w:rPr>
        <w:t>金额与甲方</w:t>
      </w:r>
      <w:r>
        <w:rPr>
          <w:rFonts w:hint="eastAsia" w:ascii="宋体" w:hAnsi="宋体" w:eastAsia="宋体" w:cs="宋体"/>
          <w:color w:val="auto"/>
          <w:sz w:val="24"/>
          <w:szCs w:val="24"/>
          <w:highlight w:val="none"/>
          <w:lang w:val="en-US" w:eastAsia="zh-CN"/>
        </w:rPr>
        <w:t>审定</w:t>
      </w:r>
      <w:r>
        <w:rPr>
          <w:rFonts w:hint="eastAsia" w:ascii="宋体" w:hAnsi="宋体" w:eastAsia="宋体" w:cs="宋体"/>
          <w:color w:val="auto"/>
          <w:sz w:val="24"/>
          <w:szCs w:val="24"/>
          <w:highlight w:val="none"/>
        </w:rPr>
        <w:t>金额之差的绝对值，下同）＜100万元的，按以下约定处理：</w:t>
      </w:r>
    </w:p>
    <w:p w14:paraId="2273A6D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漏项或偏差金额累计达到100万元以上且不超过500万元时，甲方即有权要求乙方承担一次一般违约责任；最终确认漏项或偏差累计金额达到500万元以上的，甲方有权要求乙方另行承担一次严重违约责任。</w:t>
      </w:r>
    </w:p>
    <w:p w14:paraId="11EAA26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（2）乙方提交的</w:t>
      </w:r>
      <w:r>
        <w:rPr>
          <w:rFonts w:hint="eastAsia" w:ascii="宋体" w:hAnsi="宋体" w:eastAsia="宋体" w:cs="宋体"/>
          <w:color w:val="auto"/>
          <w:sz w:val="24"/>
          <w:szCs w:val="24"/>
          <w:highlight w:val="none"/>
          <w:lang w:val="en-US" w:eastAsia="zh-CN"/>
        </w:rPr>
        <w:t>单项</w:t>
      </w:r>
      <w:r>
        <w:rPr>
          <w:rFonts w:hint="eastAsia" w:ascii="宋体" w:hAnsi="宋体" w:eastAsia="宋体" w:cs="宋体"/>
          <w:color w:val="auto"/>
          <w:sz w:val="24"/>
          <w:szCs w:val="24"/>
          <w:highlight w:val="none"/>
        </w:rPr>
        <w:t>工作成果存在漏项或偏差金额≥100万元的，每发现一次，甲方有权要求乙方承担一次严重违约责任。</w:t>
      </w:r>
    </w:p>
    <w:p w14:paraId="07F99A5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乙方因承担本款违约责任支付的违约金总额累计不应超过本合同服务报酬暂定总额的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28F1CAE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查实乙方违反本合同约定或者由于乙方的其它原因，致使甲方被投诉的，甲方视情节严重程度有权要求乙方承担一次一般违约或以上的违约责任并且甲方还有权下浮10%支付服务报酬。因此致使中标无效需要重新组织招标的，重新组织招标所需要的费用全部由乙方承担。同时，甲方有权单方面部分解除合同或解除合同。</w:t>
      </w:r>
    </w:p>
    <w:p w14:paraId="4F00A66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未按约定向有关部门提交全部招标控制价备案文件，或有其他未妥善办理招标工程量清单或招标控制价相关手续的情形，致使开标时间延误的，每延误一天，应按本合同服务报酬总额的1‰向甲方支付违约金；延误20天以上，乙方除按上述约定继续支付违约金外，甲方有权下浮10%支付服务报酬；延误30天以上，甲方有权单方面部分解除合同或解除合同。</w:t>
      </w:r>
    </w:p>
    <w:p w14:paraId="3D12F3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（5）乙方对本合同约定有关工作事项故意拖延或者不作出明确处理意见的，每发生一次，乙方须承担一次一般违约责任。若因此给甲方造成损失的，乙方应赔偿甲方的全部损失。</w:t>
      </w:r>
    </w:p>
    <w:p w14:paraId="6ECBF4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（6）由于乙方原因，致使本合同项目在施工阶段中发生</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类变更的，甲方有权要求乙方承担一次一般违约责任；发生</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类变更的，乙方除应承担一次严重违约责任外</w:t>
      </w:r>
      <w:r>
        <w:rPr>
          <w:rFonts w:hint="eastAsia" w:ascii="宋体" w:hAnsi="宋体" w:eastAsia="宋体" w:cs="宋体"/>
          <w:bCs/>
          <w:color w:val="auto"/>
          <w:kern w:val="0"/>
          <w:sz w:val="24"/>
          <w:szCs w:val="24"/>
          <w:highlight w:val="none"/>
        </w:rPr>
        <w:t>，还应向甲方赔偿相应的损失</w:t>
      </w:r>
      <w:r>
        <w:rPr>
          <w:rFonts w:hint="eastAsia" w:ascii="宋体" w:hAnsi="宋体" w:eastAsia="宋体" w:cs="宋体"/>
          <w:color w:val="auto"/>
          <w:sz w:val="24"/>
          <w:szCs w:val="24"/>
          <w:highlight w:val="none"/>
        </w:rPr>
        <w:t>；发生</w:t>
      </w:r>
      <w:r>
        <w:rPr>
          <w:rFonts w:hint="eastAsia" w:ascii="宋体" w:hAnsi="宋体" w:eastAsia="宋体" w:cs="宋体"/>
          <w:color w:val="auto"/>
          <w:sz w:val="24"/>
          <w:szCs w:val="24"/>
          <w:highlight w:val="none"/>
          <w:lang w:val="en-US" w:eastAsia="zh-CN"/>
        </w:rPr>
        <w:t>一类或二</w:t>
      </w:r>
      <w:r>
        <w:rPr>
          <w:rFonts w:hint="eastAsia" w:ascii="宋体" w:hAnsi="宋体" w:eastAsia="宋体" w:cs="宋体"/>
          <w:color w:val="auto"/>
          <w:sz w:val="24"/>
          <w:szCs w:val="24"/>
          <w:highlight w:val="none"/>
        </w:rPr>
        <w:t>类变更的，甲方有权下浮10%支付服务报酬，且乙方应向甲方赔偿相应的损失，同时，甲方有权单方面部分解除合同或解除合同。</w:t>
      </w:r>
    </w:p>
    <w:p w14:paraId="1A11EE3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（7）竣工结算总金额超出</w:t>
      </w:r>
      <w:r>
        <w:rPr>
          <w:rFonts w:hint="eastAsia" w:ascii="宋体" w:hAnsi="宋体" w:eastAsia="宋体" w:cs="宋体"/>
          <w:color w:val="auto"/>
          <w:sz w:val="24"/>
          <w:szCs w:val="24"/>
          <w:highlight w:val="none"/>
          <w:lang w:val="en-US" w:eastAsia="zh-CN"/>
        </w:rPr>
        <w:t>经审定的概算金额中</w:t>
      </w:r>
      <w:r>
        <w:rPr>
          <w:rFonts w:hint="eastAsia" w:ascii="宋体" w:hAnsi="宋体" w:eastAsia="宋体" w:cs="宋体"/>
          <w:color w:val="auto"/>
          <w:sz w:val="24"/>
          <w:szCs w:val="24"/>
          <w:highlight w:val="none"/>
        </w:rPr>
        <w:t>实际实施范围所对应的金额，甲方有权下浮10%支付服务报酬，同时，甲方有权单方面部分解除合同或解除合同。</w:t>
      </w:r>
    </w:p>
    <w:p w14:paraId="7DA4DA4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8.2.7工作纪律方面的违约责任</w:t>
      </w:r>
    </w:p>
    <w:p w14:paraId="3D38451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（1）对于异常情况，乙方不如实或不及时上报甲方甚至隐瞒不报的，一经核实，乙方须承担一次严重违约责任。若因此给甲方造成损失的，乙方应赔偿甲方的全部损失。</w:t>
      </w:r>
    </w:p>
    <w:p w14:paraId="3E907E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（2）乙方违反本合同约定，接受了与本合同工程建设项目有关的</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咨询业务，甲方有权单方面部分解除合同或解除合同；同时，甲方将如实通报政府有关部门，由政府有关部门对其进行处罚。若因此给甲方造成损失，乙方应赔偿甲方的全部损失。</w:t>
      </w:r>
    </w:p>
    <w:p w14:paraId="28A4253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违反本合同约定或法律规定，向第三方泄露与本合同工程有关的任何招投标资料和情况的，一经核实，甲方有权单方面部分解除合同或解除合同；同时，甲方将如实通报政府有关部门，由政府有关部门对其进行处罚。若因此给甲方造成损失，乙方应赔偿甲方的全部损失。</w:t>
      </w:r>
    </w:p>
    <w:p w14:paraId="3AADFC7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发生任何对乙方的投诉情况，经查属实，甲方有权根据情节轻重要求乙方承担一次严重违约责任并且甲方有权下浮10%支付服务报酬。同时，甲方将视情况决定将乙方的违约行为通报有关政府主管部门。如因对乙方的投诉最终导致甲方被投诉的，同时按照</w:t>
      </w:r>
      <w:r>
        <w:rPr>
          <w:rFonts w:hint="eastAsia" w:ascii="宋体" w:hAnsi="宋体" w:eastAsia="宋体" w:cs="宋体"/>
          <w:bCs/>
          <w:color w:val="auto"/>
          <w:sz w:val="24"/>
          <w:szCs w:val="24"/>
          <w:highlight w:val="none"/>
        </w:rPr>
        <w:t>本合同条款第</w:t>
      </w:r>
      <w:r>
        <w:rPr>
          <w:rFonts w:hint="eastAsia" w:ascii="宋体" w:hAnsi="宋体" w:eastAsia="宋体" w:cs="宋体"/>
          <w:color w:val="auto"/>
          <w:sz w:val="24"/>
          <w:szCs w:val="24"/>
          <w:highlight w:val="none"/>
        </w:rPr>
        <w:t>8.2.6（3）款执行。</w:t>
      </w:r>
    </w:p>
    <w:p w14:paraId="5B1FB54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（5）乙方通过提供虚假信息，误导或欺骗等方式，谋取非法利益的；乙方未经甲方书面同意擅自将受托项目转委托给第三方的，每次均须承担严重违约责任一次。</w:t>
      </w:r>
    </w:p>
    <w:p w14:paraId="30E68EF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（6）乙方违反回避制度的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乙方拒绝接受甲方核查的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乙方不按要求保管甲方提供的相关资料的，每次均须承担一般违约责任一次。</w:t>
      </w:r>
    </w:p>
    <w:p w14:paraId="32AA9A2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（7）乙方违反保密义务，每次均须承担严重违约责任一次，并承担其它相应的法律责任。</w:t>
      </w:r>
    </w:p>
    <w:p w14:paraId="2E28AD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8.2.8</w:t>
      </w:r>
      <w:r>
        <w:rPr>
          <w:rFonts w:hint="eastAsia" w:ascii="宋体" w:hAnsi="宋体" w:eastAsia="宋体" w:cs="宋体"/>
          <w:color w:val="auto"/>
          <w:sz w:val="24"/>
          <w:szCs w:val="24"/>
          <w:highlight w:val="none"/>
          <w:lang w:val="en-US" w:eastAsia="zh-CN"/>
        </w:rPr>
        <w:t>甲方对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项目服务工作的满意程度为不满意，甲方有权下浮10%支付造价咨询服务报酬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单项不满意，甲方有权</w:t>
      </w:r>
      <w:r>
        <w:rPr>
          <w:rFonts w:hint="eastAsia" w:ascii="宋体" w:hAnsi="宋体" w:eastAsia="宋体" w:cs="宋体"/>
          <w:color w:val="auto"/>
          <w:sz w:val="24"/>
          <w:szCs w:val="24"/>
          <w:highlight w:val="none"/>
        </w:rPr>
        <w:t>要求乙方整改，乙方必须无条件接受。</w:t>
      </w:r>
    </w:p>
    <w:p w14:paraId="5C695F0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8.2.9乙方向甲方提出的赔偿要求不能成立时，则应补偿由于该赔偿或其他要求所导致甲方的各种费用的支出。</w:t>
      </w:r>
    </w:p>
    <w:p w14:paraId="3EF3BB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8.2.10在本合同有效期内，乙方的单位名称变更的，应及时以书面形式通知甲方；乙方法定代表人变更的，应在变更后15</w:t>
      </w:r>
      <w:r>
        <w:rPr>
          <w:rFonts w:hint="eastAsia" w:ascii="宋体" w:hAnsi="宋体" w:eastAsia="宋体" w:cs="宋体"/>
          <w:color w:val="auto"/>
          <w:sz w:val="24"/>
          <w:szCs w:val="24"/>
          <w:highlight w:val="none"/>
          <w:lang w:val="en-US" w:eastAsia="zh-CN"/>
        </w:rPr>
        <w:t>天</w:t>
      </w:r>
      <w:r>
        <w:rPr>
          <w:rFonts w:hint="eastAsia" w:ascii="宋体" w:hAnsi="宋体" w:eastAsia="宋体" w:cs="宋体"/>
          <w:color w:val="auto"/>
          <w:sz w:val="24"/>
          <w:szCs w:val="24"/>
          <w:highlight w:val="none"/>
        </w:rPr>
        <w:t>内向甲方提交新法定代表人的职务、职称、联系电话、通信地址等信息。否则视为乙方违约，乙方应当承担一次一般违约责任。</w:t>
      </w:r>
    </w:p>
    <w:p w14:paraId="4E33D69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8.2.11除上述约定之外，乙方不履行或不完全履行合同其他义务的，均构成违约，应当承担一次一般违约责任。情节较轻的，可给予书面警告；情节较重的，应当承担一次严重违约责任。</w:t>
      </w:r>
    </w:p>
    <w:p w14:paraId="1C291AE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8.2.12乙方违约责任的认定方式：以甲方发出的通知、通报、会议纪要等书面文件确定的内容为准。</w:t>
      </w:r>
    </w:p>
    <w:p w14:paraId="3DCB9BF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8.3除非法律、法规规定或本合同约定，任何一方不得擅自解除合同，擅自解除合同者应向对方支付</w:t>
      </w:r>
      <w:r>
        <w:rPr>
          <w:rFonts w:hint="eastAsia" w:ascii="宋体" w:hAnsi="宋体" w:eastAsia="宋体" w:cs="宋体"/>
          <w:bCs/>
          <w:color w:val="auto"/>
          <w:sz w:val="24"/>
          <w:szCs w:val="24"/>
          <w:highlight w:val="none"/>
        </w:rPr>
        <w:t>本合同服务报酬总额</w:t>
      </w:r>
      <w:r>
        <w:rPr>
          <w:rFonts w:hint="eastAsia" w:ascii="宋体" w:hAnsi="宋体" w:eastAsia="宋体" w:cs="宋体"/>
          <w:color w:val="auto"/>
          <w:sz w:val="24"/>
          <w:szCs w:val="24"/>
          <w:highlight w:val="none"/>
        </w:rPr>
        <w:t>20%的违约金。如乙方擅自解除合同的，还需返还已收取的全部款项。</w:t>
      </w:r>
    </w:p>
    <w:p w14:paraId="2CEC2A1F">
      <w:pPr>
        <w:widowControl w:val="0"/>
        <w:adjustRightInd w:val="0"/>
        <w:snapToGrid w:val="0"/>
        <w:spacing w:line="360" w:lineRule="auto"/>
        <w:ind w:firstLine="482" w:firstLineChars="200"/>
        <w:jc w:val="both"/>
        <w:outlineLvl w:val="0"/>
        <w:rPr>
          <w:rFonts w:hint="eastAsia" w:ascii="宋体" w:hAnsi="宋体" w:eastAsia="宋体" w:cs="宋体"/>
          <w:color w:val="auto"/>
          <w:sz w:val="24"/>
          <w:szCs w:val="24"/>
          <w:highlight w:val="none"/>
        </w:rPr>
      </w:pPr>
      <w:bookmarkStart w:id="223" w:name="_Toc4410"/>
      <w:bookmarkStart w:id="224" w:name="_Toc17992"/>
      <w:bookmarkStart w:id="225" w:name="_Toc18048"/>
      <w:bookmarkStart w:id="226" w:name="_Toc24905"/>
      <w:bookmarkStart w:id="227" w:name="_Toc28620"/>
      <w:bookmarkStart w:id="228" w:name="_Toc11086"/>
      <w:bookmarkStart w:id="229" w:name="_Toc30549"/>
      <w:bookmarkStart w:id="230" w:name="_Toc28454"/>
      <w:bookmarkStart w:id="231" w:name="_Toc22188"/>
      <w:bookmarkStart w:id="232" w:name="_Toc18110"/>
      <w:bookmarkStart w:id="233" w:name="_Toc13212"/>
      <w:r>
        <w:rPr>
          <w:rFonts w:hint="eastAsia" w:ascii="宋体" w:hAnsi="宋体" w:eastAsia="宋体" w:cs="宋体"/>
          <w:b/>
          <w:color w:val="auto"/>
          <w:sz w:val="24"/>
          <w:szCs w:val="24"/>
          <w:highlight w:val="none"/>
        </w:rPr>
        <w:t>九、合同变更与终止</w:t>
      </w:r>
      <w:bookmarkEnd w:id="223"/>
      <w:bookmarkEnd w:id="224"/>
      <w:bookmarkEnd w:id="225"/>
      <w:bookmarkEnd w:id="226"/>
      <w:bookmarkEnd w:id="227"/>
      <w:bookmarkEnd w:id="228"/>
      <w:bookmarkEnd w:id="229"/>
      <w:bookmarkEnd w:id="230"/>
      <w:bookmarkEnd w:id="231"/>
      <w:bookmarkEnd w:id="232"/>
      <w:bookmarkEnd w:id="233"/>
    </w:p>
    <w:p w14:paraId="59B5EDE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9.1由于甲方或第三人的原因使乙方工作受到阻碍或延误以致增加了工作量或持续时间，则乙方应当将此情况与可能产生的影响及时书面通知甲方，</w:t>
      </w:r>
      <w:r>
        <w:rPr>
          <w:rFonts w:hint="eastAsia" w:ascii="宋体" w:hAnsi="宋体" w:eastAsia="宋体" w:cs="宋体"/>
          <w:color w:val="auto"/>
          <w:sz w:val="24"/>
          <w:szCs w:val="24"/>
          <w:highlight w:val="none"/>
          <w:lang w:val="en-US" w:eastAsia="zh-CN"/>
        </w:rPr>
        <w:t>经甲方同意后，</w:t>
      </w:r>
      <w:r>
        <w:rPr>
          <w:rFonts w:hint="eastAsia" w:ascii="宋体" w:hAnsi="宋体" w:eastAsia="宋体" w:cs="宋体"/>
          <w:color w:val="auto"/>
          <w:sz w:val="24"/>
          <w:szCs w:val="24"/>
          <w:highlight w:val="none"/>
        </w:rPr>
        <w:t>完成造价咨询工作的时间</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相应延长。</w:t>
      </w:r>
    </w:p>
    <w:p w14:paraId="62B9C8D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9.2当事人一方要求变更或解除合同时，应当至少提前14天通知对方；因变更或解除合同使一方遭受损失的，应由责任方负责赔偿。</w:t>
      </w:r>
    </w:p>
    <w:p w14:paraId="7AB5AE2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9.3本合同履行期间，如遇不可抗力，致使合同无法履行的，双方应按有关法律规定及时协商处理。</w:t>
      </w:r>
    </w:p>
    <w:p w14:paraId="322EED79">
      <w:pPr>
        <w:adjustRightInd w:val="0"/>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不可抗力，是指不能预见、不能避免并不能克服，对本工程的施工造成重大实质性影响的自然灾害和战争、动乱（不包括承包人内部的任何纠纷和纷争）等事件。政府关于本项目政策的重大调整或本项目建设规划方案重大功能性调整，也属不可抗力的范围。</w:t>
      </w:r>
    </w:p>
    <w:p w14:paraId="1AEA2E65">
      <w:pPr>
        <w:adjustRightInd w:val="0"/>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自然灾害的范围及其认定方式，按如下约定执行：</w:t>
      </w:r>
    </w:p>
    <w:p w14:paraId="6B5CC59B">
      <w:pPr>
        <w:adjustRightInd w:val="0"/>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异常天气：仅指50年（含50年）一遇以上的洪水或10级（含10级）以上的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14:paraId="77BD45D2">
      <w:pPr>
        <w:adjustRightInd w:val="0"/>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（2）里氏5级（含5级）以上的地震。</w:t>
      </w:r>
    </w:p>
    <w:p w14:paraId="2723705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9.4</w:t>
      </w:r>
      <w:r>
        <w:rPr>
          <w:rFonts w:hint="eastAsia" w:ascii="宋体" w:hAnsi="宋体" w:eastAsia="宋体" w:cs="宋体"/>
          <w:bCs/>
          <w:color w:val="auto"/>
          <w:kern w:val="0"/>
          <w:sz w:val="24"/>
          <w:szCs w:val="24"/>
          <w:highlight w:val="none"/>
        </w:rPr>
        <w:t>因不可抗力事件导致的费用损失，由甲、乙双方各自承担自己的损失。对不可抗力事件导致的乙方成果文件提交时间的延误，由双方协商确定乙方提交成果的提交时间。</w:t>
      </w:r>
    </w:p>
    <w:p w14:paraId="4C8EED8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变更或解除合同的通知或协议应当采取书面形式，新的协议未达成之前，原合同仍然有效。</w:t>
      </w:r>
    </w:p>
    <w:p w14:paraId="4D215781">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234" w:name="_Toc14927"/>
      <w:bookmarkStart w:id="235" w:name="_Toc29279"/>
      <w:bookmarkStart w:id="236" w:name="_Toc23279"/>
      <w:bookmarkStart w:id="237" w:name="_Toc15908"/>
      <w:bookmarkStart w:id="238" w:name="_Toc12502"/>
      <w:bookmarkStart w:id="239" w:name="_Toc30118"/>
      <w:bookmarkStart w:id="240" w:name="_Toc5628"/>
      <w:bookmarkStart w:id="241" w:name="_Toc10788"/>
      <w:bookmarkStart w:id="242" w:name="_Toc21780"/>
      <w:bookmarkStart w:id="243" w:name="_Toc25856"/>
      <w:bookmarkStart w:id="244" w:name="_Toc9441"/>
      <w:r>
        <w:rPr>
          <w:rFonts w:hint="eastAsia" w:ascii="宋体" w:hAnsi="宋体" w:eastAsia="宋体" w:cs="宋体"/>
          <w:b/>
          <w:color w:val="auto"/>
          <w:sz w:val="24"/>
          <w:szCs w:val="24"/>
          <w:highlight w:val="none"/>
        </w:rPr>
        <w:t>十、履约担保及索赔</w:t>
      </w:r>
      <w:bookmarkEnd w:id="234"/>
      <w:bookmarkEnd w:id="235"/>
      <w:bookmarkEnd w:id="236"/>
      <w:bookmarkEnd w:id="237"/>
      <w:bookmarkEnd w:id="238"/>
      <w:bookmarkEnd w:id="239"/>
      <w:bookmarkEnd w:id="240"/>
      <w:bookmarkEnd w:id="241"/>
      <w:bookmarkEnd w:id="242"/>
      <w:bookmarkEnd w:id="243"/>
      <w:bookmarkEnd w:id="244"/>
    </w:p>
    <w:p w14:paraId="3C84AE0A">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10.1乙方应在本合同签订后14天内按合同附件载明的格式向甲方提交由在中华人民共和国注册并经甲方认可的担保机构开出的担保金额为</w:t>
      </w:r>
      <w:r>
        <w:rPr>
          <w:rFonts w:hint="eastAsia" w:ascii="宋体" w:hAnsi="宋体" w:eastAsia="宋体" w:cs="宋体"/>
          <w:color w:val="auto"/>
          <w:spacing w:val="4"/>
          <w:kern w:val="0"/>
          <w:sz w:val="24"/>
          <w:szCs w:val="24"/>
          <w:highlight w:val="none"/>
          <w:u w:val="single"/>
          <w:lang w:eastAsia="zh-CN"/>
        </w:rPr>
        <w:t>穗云水厂常规工艺增容工程</w:t>
      </w:r>
      <w:r>
        <w:rPr>
          <w:rFonts w:hint="eastAsia" w:ascii="宋体" w:hAnsi="宋体" w:eastAsia="宋体" w:cs="宋体"/>
          <w:color w:val="auto"/>
          <w:spacing w:val="4"/>
          <w:kern w:val="0"/>
          <w:sz w:val="24"/>
          <w:szCs w:val="24"/>
          <w:highlight w:val="none"/>
          <w:u w:val="single"/>
        </w:rPr>
        <w:t>造价咨询服务</w:t>
      </w:r>
      <w:r>
        <w:rPr>
          <w:rFonts w:hint="eastAsia" w:ascii="宋体" w:hAnsi="宋体" w:eastAsia="宋体" w:cs="宋体"/>
          <w:color w:val="auto"/>
          <w:spacing w:val="11"/>
          <w:kern w:val="0"/>
          <w:sz w:val="24"/>
          <w:szCs w:val="24"/>
          <w:highlight w:val="none"/>
        </w:rPr>
        <w:t>合同总价款的10％，即人民币</w:t>
      </w:r>
      <w:r>
        <w:rPr>
          <w:rFonts w:hint="eastAsia" w:ascii="宋体" w:hAnsi="宋体" w:eastAsia="宋体" w:cs="宋体"/>
          <w:color w:val="auto"/>
          <w:spacing w:val="11"/>
          <w:kern w:val="0"/>
          <w:sz w:val="24"/>
          <w:szCs w:val="24"/>
          <w:highlight w:val="none"/>
          <w:u w:val="single"/>
          <w:lang w:val="en-US" w:eastAsia="zh-CN"/>
        </w:rPr>
        <w:t xml:space="preserve">          </w:t>
      </w:r>
      <w:r>
        <w:rPr>
          <w:rFonts w:hint="eastAsia" w:ascii="宋体" w:hAnsi="宋体" w:eastAsia="宋体" w:cs="宋体"/>
          <w:color w:val="auto"/>
          <w:spacing w:val="4"/>
          <w:kern w:val="0"/>
          <w:sz w:val="24"/>
          <w:szCs w:val="24"/>
          <w:highlight w:val="none"/>
        </w:rPr>
        <w:t>元的《履约担保》原件。</w:t>
      </w:r>
    </w:p>
    <w:p w14:paraId="7907C1BA">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10.2乙方如未能在上述约定的时间内提交履约担保的，视为自动放弃中标资格，甲方有权取消乙方中标资格并解除</w:t>
      </w:r>
      <w:r>
        <w:rPr>
          <w:rFonts w:hint="eastAsia" w:ascii="宋体" w:hAnsi="宋体" w:eastAsia="宋体" w:cs="宋体"/>
          <w:color w:val="auto"/>
          <w:spacing w:val="4"/>
          <w:kern w:val="0"/>
          <w:sz w:val="24"/>
          <w:szCs w:val="24"/>
          <w:highlight w:val="none"/>
          <w:u w:val="single"/>
          <w:lang w:eastAsia="zh-CN"/>
        </w:rPr>
        <w:t>穗云水厂常规工艺增容工程</w:t>
      </w:r>
      <w:r>
        <w:rPr>
          <w:rFonts w:hint="eastAsia" w:ascii="宋体" w:hAnsi="宋体" w:eastAsia="宋体" w:cs="宋体"/>
          <w:color w:val="auto"/>
          <w:spacing w:val="4"/>
          <w:kern w:val="0"/>
          <w:sz w:val="24"/>
          <w:szCs w:val="24"/>
          <w:highlight w:val="none"/>
          <w:u w:val="single"/>
        </w:rPr>
        <w:t>造价咨询服务</w:t>
      </w:r>
      <w:r>
        <w:rPr>
          <w:rFonts w:hint="eastAsia" w:ascii="宋体" w:hAnsi="宋体" w:eastAsia="宋体" w:cs="宋体"/>
          <w:color w:val="auto"/>
          <w:spacing w:val="4"/>
          <w:kern w:val="0"/>
          <w:sz w:val="24"/>
          <w:szCs w:val="24"/>
          <w:highlight w:val="none"/>
        </w:rPr>
        <w:t>合同，给甲方造成损失的，甲方有权要求乙方承担赔偿责任。</w:t>
      </w:r>
    </w:p>
    <w:p w14:paraId="5997F56C">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10.3乙方提交的履约担保是对</w:t>
      </w:r>
      <w:r>
        <w:rPr>
          <w:rFonts w:hint="eastAsia" w:ascii="宋体" w:hAnsi="宋体" w:eastAsia="宋体" w:cs="宋体"/>
          <w:color w:val="auto"/>
          <w:spacing w:val="4"/>
          <w:kern w:val="0"/>
          <w:sz w:val="24"/>
          <w:szCs w:val="24"/>
          <w:highlight w:val="none"/>
          <w:u w:val="single"/>
          <w:lang w:eastAsia="zh-CN"/>
        </w:rPr>
        <w:t>穗云水厂常规工艺增容工程</w:t>
      </w:r>
      <w:r>
        <w:rPr>
          <w:rFonts w:hint="eastAsia" w:ascii="宋体" w:hAnsi="宋体" w:eastAsia="宋体" w:cs="宋体"/>
          <w:color w:val="auto"/>
          <w:spacing w:val="4"/>
          <w:kern w:val="0"/>
          <w:sz w:val="24"/>
          <w:szCs w:val="24"/>
          <w:highlight w:val="none"/>
          <w:u w:val="single"/>
        </w:rPr>
        <w:t>造价咨询服务</w:t>
      </w:r>
      <w:r>
        <w:rPr>
          <w:rFonts w:hint="eastAsia" w:ascii="宋体" w:hAnsi="宋体" w:eastAsia="宋体" w:cs="宋体"/>
          <w:color w:val="auto"/>
          <w:spacing w:val="4"/>
          <w:kern w:val="0"/>
          <w:sz w:val="24"/>
          <w:szCs w:val="24"/>
          <w:highlight w:val="none"/>
        </w:rPr>
        <w:t>合同约定的乙方的全部义务（包括但不限于乙方违约后应支付的违约金和赔偿金）的担保，乙方的任何一次不履行或不完全履行合同义务的行为，甲方均有权将索赔意向书面通知本合同约定的保证人，向保证人提出索赔。</w:t>
      </w:r>
    </w:p>
    <w:p w14:paraId="3834FCC8">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10.3.1甲方向保证人发出书面索赔意向七天内，乙方依然没有用实际行动纠正自己的违约行为或者纠正行为不能使甲方满意或者纠正行为无法弥补甲方的损失，则甲方直接向保证人发出正式书面索赔通知。</w:t>
      </w:r>
    </w:p>
    <w:p w14:paraId="6C139F4D">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10.3.2如果通过向保证人索赔的方式依然不能完全弥补甲方的损失，则甲方有权在应支付给乙方的造价咨询服务报酬中直接扣取。同时甲方有权要求乙方在规定时间内按本合同的约定向甲方补充提交履约担保。</w:t>
      </w:r>
    </w:p>
    <w:p w14:paraId="2A569B65">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10.3.3 如果通过向保证人索赔以及直接扣取造价咨询服务报酬等方式依然不能完全弥补甲方损失的，乙方必须在甲方规定的时间内以现金形式支付剩余索赔额。否则，甲方将按本合同条款第8.2条“乙方违约责任”的约定处理。</w:t>
      </w:r>
    </w:p>
    <w:p w14:paraId="106B6F4F">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10.4乙方不履行或不完全履行合同义务的行为导致甲方依据履约担保向保证人索赔履约担保金额的一部分或者全部的，乙方必须在甲方规定的时间内补充提交履约担保，使得本合同履行期间有效的履约担保金额等于乙方按本合同约定第一次提交的履约担保金额。</w:t>
      </w:r>
    </w:p>
    <w:p w14:paraId="1D99944D">
      <w:pPr>
        <w:adjustRightInd w:val="0"/>
        <w:snapToGrid w:val="0"/>
        <w:spacing w:line="360" w:lineRule="auto"/>
        <w:ind w:firstLine="496" w:firstLineChars="200"/>
        <w:rPr>
          <w:rFonts w:hint="eastAsia" w:ascii="宋体" w:hAnsi="宋体" w:eastAsia="宋体" w:cs="宋体"/>
          <w:strike/>
          <w:color w:val="auto"/>
          <w:spacing w:val="4"/>
          <w:kern w:val="0"/>
          <w:sz w:val="24"/>
          <w:szCs w:val="24"/>
          <w:highlight w:val="none"/>
        </w:rPr>
      </w:pPr>
      <w:r>
        <w:rPr>
          <w:rFonts w:hint="eastAsia" w:ascii="宋体" w:hAnsi="宋体" w:eastAsia="宋体" w:cs="宋体"/>
          <w:color w:val="auto"/>
          <w:spacing w:val="4"/>
          <w:kern w:val="0"/>
          <w:sz w:val="24"/>
          <w:szCs w:val="24"/>
          <w:highlight w:val="none"/>
        </w:rPr>
        <w:t>10.4.1乙方需保证履约担保在本合同整个履行期间的有效性；若因工程延期或因其他原因导致担保期限未涵盖本合同整个有效期的，乙方应在担保有效期届满前45天办理履约担保的续期手续，并于原担保有效期届满前10天向甲方提交同样格式且更新日期后的有效履约担保，以替代原履约担保。更新后的履约担保金额应与原履约担保金额一致。</w:t>
      </w:r>
    </w:p>
    <w:p w14:paraId="1B7DF60C">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10.4.2若乙方未按合同约定更新履约担保的，应按以下约定承担违约责任，且甲方有权以不超过担保金额为限暂停支付余下的合同价款直至乙方提交新履约担保。</w:t>
      </w:r>
    </w:p>
    <w:p w14:paraId="69B2F512">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（1）自原担保期限届满之日起5日内未提交新履约担保的，给予书面警告并限期整改。</w:t>
      </w:r>
    </w:p>
    <w:p w14:paraId="2A730FC3">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（2）若原担保过期达10天（含）仍未提交新履约担保的，则乙方承担一般违约责任；若原担保过期达30天（含）仍未提交新履约担保的，则乙方须再承担严重违约责任。</w:t>
      </w:r>
    </w:p>
    <w:p w14:paraId="3BBF897E">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（3）若原担保过期达20天（含）仍未提交新履约担保的，则乙方除按上述约定承担违约责任外，自原担保届满第20天起，乙方应向甲方支付违约金（3000元/天），直至乙方提交新履约担保。</w:t>
      </w:r>
    </w:p>
    <w:p w14:paraId="1227EDAC">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10.5如果乙方不按甲方的要求及时补充提交履约担保，则甲方有权单方面部分解除或解除本合同，并按合同条款第八条的有关约定执行。</w:t>
      </w:r>
    </w:p>
    <w:p w14:paraId="7074F954">
      <w:pPr>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10.6</w:t>
      </w:r>
      <w:r>
        <w:rPr>
          <w:rFonts w:hint="eastAsia" w:ascii="宋体" w:hAnsi="宋体" w:eastAsia="宋体" w:cs="宋体"/>
          <w:color w:val="auto"/>
          <w:spacing w:val="4"/>
          <w:kern w:val="0"/>
          <w:sz w:val="24"/>
          <w:szCs w:val="24"/>
          <w:highlight w:val="none"/>
          <w:u w:val="single"/>
          <w:lang w:eastAsia="zh-CN"/>
        </w:rPr>
        <w:t>穗云水厂常规工艺增容工程</w:t>
      </w:r>
      <w:r>
        <w:rPr>
          <w:rFonts w:hint="eastAsia" w:ascii="宋体" w:hAnsi="宋体" w:eastAsia="宋体" w:cs="宋体"/>
          <w:color w:val="auto"/>
          <w:spacing w:val="4"/>
          <w:kern w:val="0"/>
          <w:sz w:val="24"/>
          <w:szCs w:val="24"/>
          <w:highlight w:val="none"/>
          <w:u w:val="single"/>
        </w:rPr>
        <w:t>造价咨询服务</w:t>
      </w:r>
      <w:r>
        <w:rPr>
          <w:rFonts w:hint="eastAsia" w:ascii="宋体" w:hAnsi="宋体" w:eastAsia="宋体" w:cs="宋体"/>
          <w:color w:val="auto"/>
          <w:spacing w:val="4"/>
          <w:kern w:val="0"/>
          <w:sz w:val="24"/>
          <w:szCs w:val="24"/>
          <w:highlight w:val="none"/>
        </w:rPr>
        <w:t>合同约定项目结算</w:t>
      </w:r>
      <w:r>
        <w:rPr>
          <w:rFonts w:hint="eastAsia" w:ascii="宋体" w:hAnsi="宋体" w:eastAsia="宋体" w:cs="宋体"/>
          <w:color w:val="auto"/>
          <w:spacing w:val="4"/>
          <w:kern w:val="0"/>
          <w:sz w:val="24"/>
          <w:szCs w:val="24"/>
          <w:highlight w:val="none"/>
          <w:lang w:val="en-US" w:eastAsia="zh-CN"/>
        </w:rPr>
        <w:t>经有权终审单位审定</w:t>
      </w:r>
      <w:r>
        <w:rPr>
          <w:rFonts w:hint="eastAsia" w:ascii="宋体" w:hAnsi="宋体" w:eastAsia="宋体" w:cs="宋体"/>
          <w:color w:val="auto"/>
          <w:spacing w:val="4"/>
          <w:kern w:val="0"/>
          <w:sz w:val="24"/>
          <w:szCs w:val="24"/>
          <w:highlight w:val="none"/>
        </w:rPr>
        <w:t>后，乙方可以向甲方申请退还履约担保。</w:t>
      </w:r>
    </w:p>
    <w:p w14:paraId="6405D7E0">
      <w:pPr>
        <w:widowControl w:val="0"/>
        <w:adjustRightInd w:val="0"/>
        <w:snapToGrid w:val="0"/>
        <w:spacing w:line="360" w:lineRule="auto"/>
        <w:ind w:firstLine="482" w:firstLineChars="200"/>
        <w:jc w:val="both"/>
        <w:outlineLvl w:val="0"/>
        <w:rPr>
          <w:rFonts w:hint="eastAsia" w:ascii="宋体" w:hAnsi="宋体" w:eastAsia="宋体" w:cs="宋体"/>
          <w:color w:val="auto"/>
          <w:sz w:val="24"/>
          <w:szCs w:val="24"/>
          <w:highlight w:val="none"/>
        </w:rPr>
      </w:pPr>
      <w:bookmarkStart w:id="245" w:name="_Toc25801"/>
      <w:bookmarkStart w:id="246" w:name="_Toc5221"/>
      <w:bookmarkStart w:id="247" w:name="_Toc16206"/>
      <w:bookmarkStart w:id="248" w:name="_Toc4215"/>
      <w:bookmarkStart w:id="249" w:name="_Toc15085"/>
      <w:bookmarkStart w:id="250" w:name="_Toc19880"/>
      <w:bookmarkStart w:id="251" w:name="_Toc14168"/>
      <w:bookmarkStart w:id="252" w:name="_Toc6115"/>
      <w:bookmarkStart w:id="253" w:name="_Toc6799"/>
      <w:bookmarkStart w:id="254" w:name="_Toc32198"/>
      <w:bookmarkStart w:id="255" w:name="_Toc14562"/>
      <w:r>
        <w:rPr>
          <w:rFonts w:hint="eastAsia" w:ascii="宋体" w:hAnsi="宋体" w:eastAsia="宋体" w:cs="宋体"/>
          <w:b/>
          <w:color w:val="auto"/>
          <w:sz w:val="24"/>
          <w:szCs w:val="24"/>
          <w:highlight w:val="none"/>
        </w:rPr>
        <w:t>十一、合同争议的解决</w:t>
      </w:r>
      <w:bookmarkEnd w:id="245"/>
      <w:bookmarkEnd w:id="246"/>
      <w:bookmarkEnd w:id="247"/>
      <w:bookmarkEnd w:id="248"/>
      <w:bookmarkEnd w:id="249"/>
      <w:bookmarkEnd w:id="250"/>
      <w:bookmarkEnd w:id="251"/>
      <w:bookmarkEnd w:id="252"/>
      <w:bookmarkEnd w:id="253"/>
      <w:bookmarkEnd w:id="254"/>
      <w:bookmarkEnd w:id="255"/>
    </w:p>
    <w:p w14:paraId="48A06BD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11.1凡因履行本合同而引起的一切争议或与本合同有关的争议，应由甲乙双方通过友好协商解决。协商不成时，任何一方均有权向甲方住所地人民法院提起诉讼。</w:t>
      </w:r>
    </w:p>
    <w:p w14:paraId="1EA6F6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11.2乙方承诺：在争议解决期间，仍将尽职尽责继续完成甲方所委托的工作，否则甲方有权先行单方面解除本合同；如甲方决定先行单方面解除本合同的，乙方立即无条件服从并将有关资料无偿移交甲方。</w:t>
      </w:r>
    </w:p>
    <w:p w14:paraId="1D7D710D">
      <w:pPr>
        <w:widowControl w:val="0"/>
        <w:adjustRightInd w:val="0"/>
        <w:snapToGrid w:val="0"/>
        <w:spacing w:line="360" w:lineRule="auto"/>
        <w:ind w:firstLine="482" w:firstLineChars="200"/>
        <w:jc w:val="both"/>
        <w:outlineLvl w:val="0"/>
        <w:rPr>
          <w:rFonts w:hint="eastAsia" w:ascii="宋体" w:hAnsi="宋体" w:eastAsia="宋体" w:cs="宋体"/>
          <w:b/>
          <w:color w:val="auto"/>
          <w:sz w:val="24"/>
          <w:szCs w:val="24"/>
          <w:highlight w:val="none"/>
        </w:rPr>
      </w:pPr>
      <w:bookmarkStart w:id="256" w:name="_Toc13569"/>
      <w:bookmarkStart w:id="257" w:name="_Toc26914"/>
      <w:bookmarkStart w:id="258" w:name="_Toc799"/>
      <w:bookmarkStart w:id="259" w:name="_Toc5897"/>
      <w:bookmarkStart w:id="260" w:name="_Toc20330"/>
      <w:bookmarkStart w:id="261" w:name="_Toc7137"/>
      <w:bookmarkStart w:id="262" w:name="_Toc11128"/>
      <w:bookmarkStart w:id="263" w:name="_Toc13315"/>
      <w:bookmarkStart w:id="264" w:name="_Toc18095"/>
      <w:bookmarkStart w:id="265" w:name="_Toc1400"/>
      <w:bookmarkStart w:id="266" w:name="_Toc29765"/>
      <w:r>
        <w:rPr>
          <w:rFonts w:hint="eastAsia" w:ascii="宋体" w:hAnsi="宋体" w:eastAsia="宋体" w:cs="宋体"/>
          <w:b/>
          <w:color w:val="auto"/>
          <w:sz w:val="24"/>
          <w:szCs w:val="24"/>
          <w:highlight w:val="none"/>
        </w:rPr>
        <w:t>十二、其它</w:t>
      </w:r>
      <w:bookmarkEnd w:id="256"/>
      <w:bookmarkEnd w:id="257"/>
      <w:bookmarkEnd w:id="258"/>
      <w:bookmarkEnd w:id="259"/>
      <w:bookmarkEnd w:id="260"/>
      <w:bookmarkEnd w:id="261"/>
      <w:bookmarkEnd w:id="262"/>
      <w:bookmarkEnd w:id="263"/>
      <w:bookmarkEnd w:id="264"/>
      <w:bookmarkEnd w:id="265"/>
      <w:bookmarkEnd w:id="266"/>
    </w:p>
    <w:p w14:paraId="32944F0E">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12.1补充条款</w:t>
      </w:r>
    </w:p>
    <w:p w14:paraId="499335C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乙方承诺严格按照合同约定履行义务，并同意甲方将其履行合同、招投标文件义务的履约情况和不诚信行为（包括但不限于甲方组织的</w:t>
      </w:r>
      <w:r>
        <w:rPr>
          <w:rFonts w:hint="eastAsia" w:ascii="宋体" w:hAnsi="宋体" w:eastAsia="宋体" w:cs="宋体"/>
          <w:color w:val="auto"/>
          <w:sz w:val="24"/>
          <w:szCs w:val="24"/>
          <w:highlight w:val="none"/>
          <w:lang w:val="en-US" w:eastAsia="zh-CN"/>
        </w:rPr>
        <w:t>服务质量评分、</w:t>
      </w:r>
      <w:r>
        <w:rPr>
          <w:rFonts w:hint="eastAsia" w:ascii="宋体" w:hAnsi="宋体" w:eastAsia="宋体" w:cs="宋体"/>
          <w:color w:val="auto"/>
          <w:sz w:val="24"/>
          <w:szCs w:val="24"/>
          <w:highlight w:val="none"/>
        </w:rPr>
        <w:t>考核、考评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通报、</w:t>
      </w:r>
      <w:r>
        <w:rPr>
          <w:rFonts w:hint="eastAsia" w:ascii="宋体" w:hAnsi="宋体" w:eastAsia="宋体" w:cs="宋体"/>
          <w:color w:val="auto"/>
          <w:sz w:val="24"/>
          <w:szCs w:val="24"/>
          <w:highlight w:val="none"/>
        </w:rPr>
        <w:t>作出违约责任处理决定等）</w:t>
      </w:r>
      <w:r>
        <w:rPr>
          <w:rFonts w:hint="eastAsia" w:ascii="宋体" w:hAnsi="宋体" w:eastAsia="宋体" w:cs="宋体"/>
          <w:color w:val="auto"/>
          <w:sz w:val="24"/>
          <w:szCs w:val="24"/>
          <w:highlight w:val="none"/>
          <w:lang w:val="en-US" w:eastAsia="zh-CN"/>
        </w:rPr>
        <w:t>向外界媒体</w:t>
      </w:r>
      <w:r>
        <w:rPr>
          <w:rFonts w:hint="eastAsia" w:ascii="宋体" w:hAnsi="宋体" w:eastAsia="宋体" w:cs="宋体"/>
          <w:color w:val="auto"/>
          <w:sz w:val="24"/>
          <w:szCs w:val="24"/>
          <w:highlight w:val="none"/>
        </w:rPr>
        <w:t>公开披露，由此造成的一切损失和不利后果均由乙方自行承担。</w:t>
      </w:r>
    </w:p>
    <w:p w14:paraId="65CCEBFE">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12.2知识产权</w:t>
      </w:r>
    </w:p>
    <w:p w14:paraId="6DF3290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乙方应保证在造价咨询服务中所编制的文件不侵犯他人合法权益。乙方为本合同约定项目提供造价咨询服务编制的所有文件的知识产权应属甲方专有。</w:t>
      </w:r>
    </w:p>
    <w:p w14:paraId="318C4BAA">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12.3回避</w:t>
      </w:r>
    </w:p>
    <w:p w14:paraId="3D27715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乙方不得再接受除甲方外的其他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对本项目的服务委托，即不能就本项目既接受甲方的委托，又接受项目投标供应商、施工承包单位等相对利益关系人的委托，否则甲方有权解除本合同并按合同条款第8.2款的约定追究乙方的违约责任。</w:t>
      </w:r>
    </w:p>
    <w:p w14:paraId="193B5635">
      <w:pPr>
        <w:pStyle w:val="22"/>
        <w:adjustRightInd w:val="0"/>
        <w:snapToGrid w:val="0"/>
        <w:spacing w:line="360" w:lineRule="auto"/>
        <w:ind w:firstLine="480" w:firstLineChars="200"/>
        <w:rPr>
          <w:rFonts w:hint="eastAsia" w:ascii="宋体" w:hAnsi="宋体" w:eastAsia="宋体" w:cs="宋体"/>
          <w:color w:val="auto"/>
          <w:sz w:val="24"/>
          <w:szCs w:val="24"/>
          <w:highlight w:val="none"/>
        </w:rPr>
      </w:pPr>
    </w:p>
    <w:p w14:paraId="0F5F148E">
      <w:pPr>
        <w:widowControl/>
        <w:spacing w:line="360" w:lineRule="auto"/>
        <w:contextualSpacing/>
        <w:jc w:val="left"/>
        <w:outlineLvl w:val="9"/>
        <w:rPr>
          <w:rFonts w:hint="eastAsia" w:ascii="宋体" w:hAnsi="宋体" w:eastAsia="宋体" w:cs="宋体"/>
          <w:color w:val="auto"/>
          <w:sz w:val="24"/>
          <w:szCs w:val="24"/>
          <w:highlight w:val="none"/>
        </w:rPr>
      </w:pPr>
      <w:bookmarkStart w:id="267" w:name="_Toc18225"/>
      <w:bookmarkStart w:id="268" w:name="_Toc7644"/>
      <w:r>
        <w:rPr>
          <w:rFonts w:hint="eastAsia" w:ascii="宋体" w:hAnsi="宋体" w:eastAsia="宋体" w:cs="宋体"/>
          <w:color w:val="auto"/>
          <w:sz w:val="24"/>
          <w:szCs w:val="24"/>
          <w:highlight w:val="none"/>
        </w:rPr>
        <w:t>（本页以下无正文）</w:t>
      </w:r>
    </w:p>
    <w:p w14:paraId="2FF5C66E">
      <w:pPr>
        <w:widowControl/>
        <w:spacing w:line="360" w:lineRule="auto"/>
        <w:contextualSpacing/>
        <w:jc w:val="left"/>
        <w:outlineLvl w:val="9"/>
        <w:rPr>
          <w:rFonts w:hint="eastAsia" w:ascii="宋体" w:hAnsi="宋体" w:eastAsia="宋体" w:cs="宋体"/>
          <w:color w:val="auto"/>
          <w:sz w:val="24"/>
          <w:szCs w:val="24"/>
          <w:highlight w:val="none"/>
        </w:rPr>
      </w:pPr>
    </w:p>
    <w:p w14:paraId="26731169">
      <w:pPr>
        <w:widowControl/>
        <w:spacing w:line="360" w:lineRule="auto"/>
        <w:contextualSpacing/>
        <w:jc w:val="left"/>
        <w:outlineLvl w:val="9"/>
        <w:rPr>
          <w:rFonts w:hint="eastAsia" w:ascii="宋体" w:hAnsi="宋体" w:eastAsia="宋体" w:cs="宋体"/>
          <w:color w:val="auto"/>
          <w:sz w:val="24"/>
          <w:szCs w:val="24"/>
          <w:highlight w:val="none"/>
        </w:rPr>
        <w:sectPr>
          <w:footerReference r:id="rId4" w:type="default"/>
          <w:pgSz w:w="11906" w:h="16838"/>
          <w:pgMar w:top="1417" w:right="1800" w:bottom="1417" w:left="1800" w:header="851" w:footer="992" w:gutter="0"/>
          <w:pgNumType w:fmt="decimal" w:start="1"/>
          <w:cols w:space="425" w:num="1"/>
          <w:docGrid w:type="lines" w:linePitch="312" w:charSpace="0"/>
        </w:sectPr>
      </w:pPr>
    </w:p>
    <w:p w14:paraId="61DE2C2A">
      <w:pPr>
        <w:adjustRightInd w:val="0"/>
        <w:snapToGrid w:val="0"/>
        <w:spacing w:line="360" w:lineRule="auto"/>
        <w:ind w:firstLine="0" w:firstLineChars="0"/>
        <w:jc w:val="center"/>
        <w:outlineLvl w:val="0"/>
        <w:rPr>
          <w:rFonts w:hint="eastAsia" w:ascii="宋体" w:hAnsi="宋体" w:eastAsia="宋体" w:cs="宋体"/>
          <w:b/>
          <w:color w:val="auto"/>
          <w:kern w:val="44"/>
          <w:sz w:val="32"/>
          <w:szCs w:val="32"/>
          <w:highlight w:val="none"/>
          <w:lang w:val="en-US"/>
        </w:rPr>
      </w:pPr>
      <w:bookmarkStart w:id="269" w:name="_Toc29790"/>
      <w:bookmarkStart w:id="270" w:name="_Toc6621"/>
      <w:bookmarkStart w:id="271" w:name="_Toc10233"/>
      <w:bookmarkStart w:id="272" w:name="_Toc843"/>
      <w:bookmarkStart w:id="273" w:name="_Toc3443"/>
      <w:bookmarkStart w:id="274" w:name="_Toc31434"/>
      <w:bookmarkStart w:id="275" w:name="_Toc24649"/>
      <w:bookmarkStart w:id="276" w:name="_Toc28251"/>
      <w:bookmarkStart w:id="277" w:name="_Toc2466"/>
      <w:bookmarkStart w:id="278" w:name="_Toc32672"/>
      <w:bookmarkStart w:id="279" w:name="_Toc26578"/>
      <w:bookmarkStart w:id="280" w:name="_Toc30973"/>
      <w:bookmarkStart w:id="281" w:name="_Toc3414"/>
      <w:bookmarkStart w:id="282" w:name="_Toc17996"/>
      <w:r>
        <w:rPr>
          <w:rFonts w:hint="eastAsia" w:ascii="宋体" w:hAnsi="宋体" w:eastAsia="宋体" w:cs="宋体"/>
          <w:b/>
          <w:color w:val="auto"/>
          <w:kern w:val="44"/>
          <w:sz w:val="32"/>
          <w:szCs w:val="32"/>
          <w:highlight w:val="none"/>
          <w:lang w:val="en-US" w:eastAsia="zh-CN" w:bidi="ar-SA"/>
        </w:rPr>
        <w:t>第三篇　合同附件</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E76973A">
      <w:pPr>
        <w:tabs>
          <w:tab w:val="center" w:pos="4792"/>
          <w:tab w:val="right" w:pos="9045"/>
        </w:tabs>
        <w:spacing w:line="360" w:lineRule="auto"/>
        <w:ind w:firstLine="482" w:firstLineChars="200"/>
        <w:jc w:val="left"/>
        <w:outlineLvl w:val="9"/>
        <w:rPr>
          <w:rFonts w:hint="eastAsia" w:ascii="宋体" w:hAnsi="宋体" w:eastAsia="宋体" w:cs="宋体"/>
          <w:b/>
          <w:color w:val="auto"/>
          <w:kern w:val="0"/>
          <w:sz w:val="24"/>
          <w:szCs w:val="24"/>
          <w:highlight w:val="none"/>
        </w:rPr>
      </w:pPr>
    </w:p>
    <w:p w14:paraId="5596C3A0">
      <w:pPr>
        <w:widowControl/>
        <w:spacing w:line="360" w:lineRule="auto"/>
        <w:ind w:firstLine="480" w:firstLineChars="200"/>
        <w:contextualSpacing/>
        <w:jc w:val="left"/>
        <w:outlineLvl w:val="9"/>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附件1：廉洁责任书</w:t>
      </w:r>
    </w:p>
    <w:p w14:paraId="6B8C8E3D">
      <w:pPr>
        <w:widowControl/>
        <w:spacing w:line="360" w:lineRule="auto"/>
        <w:ind w:firstLine="480" w:firstLineChars="200"/>
        <w:contextualSpacing/>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附件2：保密协议</w:t>
      </w:r>
    </w:p>
    <w:p w14:paraId="30F8A69D">
      <w:pPr>
        <w:widowControl/>
        <w:spacing w:line="360" w:lineRule="auto"/>
        <w:ind w:firstLine="480" w:firstLineChars="200"/>
        <w:contextualSpacing/>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附件3：中标通知书</w:t>
      </w:r>
    </w:p>
    <w:p w14:paraId="678A21D0">
      <w:pPr>
        <w:widowControl/>
        <w:spacing w:line="360" w:lineRule="auto"/>
        <w:ind w:firstLine="480" w:firstLineChars="200"/>
        <w:contextualSpacing/>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附件4：履约担保及承诺书</w:t>
      </w:r>
    </w:p>
    <w:p w14:paraId="14216D33">
      <w:pPr>
        <w:widowControl/>
        <w:spacing w:line="360" w:lineRule="auto"/>
        <w:ind w:firstLine="480" w:firstLineChars="200"/>
        <w:contextualSpacing/>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附件5：拟投入本项目造价人员一览表</w:t>
      </w:r>
    </w:p>
    <w:p w14:paraId="52840C55">
      <w:pPr>
        <w:widowControl/>
        <w:spacing w:line="360" w:lineRule="auto"/>
        <w:ind w:firstLine="480" w:firstLineChars="200"/>
        <w:contextualSpacing/>
        <w:jc w:val="left"/>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附件6：投标函及投标函附录</w:t>
      </w:r>
    </w:p>
    <w:p w14:paraId="6E046BCA">
      <w:pPr>
        <w:widowControl/>
        <w:spacing w:line="360" w:lineRule="auto"/>
        <w:ind w:firstLine="480" w:firstLineChars="200"/>
        <w:contextualSpacing/>
        <w:jc w:val="left"/>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附件7：乙方营业执照</w:t>
      </w:r>
    </w:p>
    <w:p w14:paraId="12D96877">
      <w:pPr>
        <w:widowControl/>
        <w:spacing w:line="360" w:lineRule="auto"/>
        <w:contextualSpacing/>
        <w:jc w:val="left"/>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283" w:name="_Toc28385"/>
      <w:bookmarkStart w:id="284" w:name="_Toc2266"/>
      <w:bookmarkStart w:id="285" w:name="_Toc17341"/>
      <w:bookmarkStart w:id="286" w:name="_Toc1477"/>
      <w:bookmarkStart w:id="287" w:name="_Toc125"/>
      <w:bookmarkStart w:id="288" w:name="_Toc21953"/>
      <w:bookmarkStart w:id="289" w:name="_Toc220"/>
      <w:r>
        <w:rPr>
          <w:rFonts w:hint="eastAsia" w:ascii="宋体" w:hAnsi="宋体" w:eastAsia="宋体" w:cs="宋体"/>
          <w:b/>
          <w:bCs/>
          <w:color w:val="auto"/>
          <w:sz w:val="24"/>
          <w:szCs w:val="24"/>
          <w:highlight w:val="none"/>
        </w:rPr>
        <w:t>附件1：</w:t>
      </w:r>
      <w:bookmarkEnd w:id="267"/>
      <w:bookmarkEnd w:id="268"/>
      <w:bookmarkEnd w:id="283"/>
      <w:bookmarkEnd w:id="284"/>
      <w:bookmarkEnd w:id="285"/>
      <w:bookmarkEnd w:id="286"/>
      <w:bookmarkEnd w:id="287"/>
      <w:bookmarkEnd w:id="288"/>
      <w:bookmarkEnd w:id="289"/>
      <w:r>
        <w:rPr>
          <w:rFonts w:hint="eastAsia" w:ascii="宋体" w:hAnsi="宋体" w:eastAsia="宋体" w:cs="宋体"/>
          <w:b/>
          <w:bCs/>
          <w:color w:val="auto"/>
          <w:sz w:val="24"/>
          <w:szCs w:val="24"/>
          <w:highlight w:val="none"/>
          <w:lang w:val="en-US" w:eastAsia="zh-CN"/>
        </w:rPr>
        <w:t>廉洁责任书</w:t>
      </w:r>
    </w:p>
    <w:p w14:paraId="55247538">
      <w:pPr>
        <w:jc w:val="center"/>
        <w:rPr>
          <w:rFonts w:ascii="宋体" w:hAnsi="宋体" w:cs="宋体"/>
          <w:color w:val="auto"/>
          <w:sz w:val="24"/>
          <w:szCs w:val="24"/>
          <w:highlight w:val="none"/>
        </w:rPr>
      </w:pPr>
      <w:r>
        <w:rPr>
          <w:rFonts w:hint="eastAsia" w:ascii="宋体" w:hAnsi="宋体" w:cs="宋体"/>
          <w:b/>
          <w:color w:val="auto"/>
          <w:sz w:val="28"/>
          <w:szCs w:val="28"/>
          <w:highlight w:val="none"/>
        </w:rPr>
        <w:t>廉洁责任书</w:t>
      </w:r>
    </w:p>
    <w:p w14:paraId="139D71D3">
      <w:pPr>
        <w:jc w:val="center"/>
        <w:rPr>
          <w:rFonts w:ascii="宋体" w:hAnsi="宋体" w:cs="宋体"/>
          <w:color w:val="auto"/>
          <w:sz w:val="24"/>
          <w:szCs w:val="24"/>
          <w:highlight w:val="none"/>
        </w:rPr>
      </w:pPr>
    </w:p>
    <w:p w14:paraId="7E94271F">
      <w:pPr>
        <w:rPr>
          <w:rFonts w:ascii="宋体" w:hAnsi="宋体" w:cs="宋体"/>
          <w:color w:val="auto"/>
          <w:sz w:val="24"/>
          <w:szCs w:val="24"/>
          <w:highlight w:val="none"/>
        </w:rPr>
      </w:pPr>
      <w:r>
        <w:rPr>
          <w:rFonts w:hint="eastAsia" w:ascii="宋体" w:hAnsi="宋体" w:cs="宋体"/>
          <w:color w:val="auto"/>
          <w:sz w:val="24"/>
          <w:szCs w:val="24"/>
          <w:highlight w:val="none"/>
        </w:rPr>
        <w:t xml:space="preserve">发包人（甲方）：广州市穗云自来水有限公司                                               </w:t>
      </w:r>
    </w:p>
    <w:p w14:paraId="6AA889A8">
      <w:pPr>
        <w:ind w:left="5640" w:hanging="5640" w:hangingChars="2350"/>
        <w:rPr>
          <w:rFonts w:ascii="宋体" w:hAnsi="宋体" w:cs="宋体"/>
          <w:color w:val="auto"/>
          <w:sz w:val="24"/>
          <w:szCs w:val="24"/>
          <w:highlight w:val="none"/>
        </w:rPr>
      </w:pPr>
      <w:r>
        <w:rPr>
          <w:rFonts w:hint="eastAsia" w:ascii="宋体" w:hAnsi="宋体" w:cs="宋体"/>
          <w:color w:val="auto"/>
          <w:sz w:val="24"/>
          <w:szCs w:val="24"/>
          <w:highlight w:val="none"/>
        </w:rPr>
        <w:t xml:space="preserve">承包人（乙方）：                                              </w:t>
      </w:r>
    </w:p>
    <w:p w14:paraId="31482E9B">
      <w:pPr>
        <w:tabs>
          <w:tab w:val="left" w:pos="709"/>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为加强廉洁建设，防止主合同履约过程中发生各种谋取不正当利益的违法违纪行为，甲、乙双方经共同协商，在双方签订的</w:t>
      </w:r>
      <w:r>
        <w:rPr>
          <w:rFonts w:hint="eastAsia"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（以下简称“本项目”）合同（合同编号：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，以下简称“主合同”）约定条款的基础上，根据国家有关法律法规和廉政建设的有关规定，特订立本廉洁责任书，以资共同遵守。</w:t>
      </w:r>
    </w:p>
    <w:p w14:paraId="4E0FA231">
      <w:pPr>
        <w:spacing w:before="72" w:beforeLines="30"/>
        <w:ind w:firstLine="477" w:firstLineChars="199"/>
        <w:rPr>
          <w:rFonts w:ascii="宋体" w:hAnsi="宋体" w:cs="宋体"/>
          <w:color w:val="auto"/>
          <w:sz w:val="24"/>
          <w:szCs w:val="24"/>
          <w:highlight w:val="none"/>
        </w:rPr>
      </w:pPr>
      <w:r>
        <w:rPr>
          <w:rFonts w:hint="eastAsia" w:ascii="宋体" w:hAnsi="宋体" w:cs="宋体"/>
          <w:color w:val="auto"/>
          <w:sz w:val="24"/>
          <w:szCs w:val="24"/>
          <w:highlight w:val="none"/>
        </w:rPr>
        <w:t>一、双方的责任</w:t>
      </w:r>
    </w:p>
    <w:p w14:paraId="79E4612C">
      <w:pPr>
        <w:ind w:firstLine="352" w:firstLineChars="147"/>
        <w:rPr>
          <w:rFonts w:ascii="宋体" w:hAnsi="宋体" w:cs="宋体"/>
          <w:color w:val="auto"/>
          <w:sz w:val="24"/>
          <w:szCs w:val="24"/>
          <w:highlight w:val="none"/>
        </w:rPr>
      </w:pPr>
      <w:r>
        <w:rPr>
          <w:rFonts w:hint="eastAsia" w:ascii="宋体" w:hAnsi="宋体" w:cs="宋体"/>
          <w:color w:val="auto"/>
          <w:sz w:val="24"/>
          <w:szCs w:val="24"/>
          <w:highlight w:val="none"/>
        </w:rPr>
        <w:t>（一）严格遵守国家关于</w:t>
      </w:r>
      <w:r>
        <w:rPr>
          <w:rFonts w:hint="eastAsia" w:ascii="宋体" w:hAnsi="宋体" w:cs="宋体"/>
          <w:color w:val="auto"/>
          <w:szCs w:val="21"/>
          <w:highlight w:val="none"/>
        </w:rPr>
        <w:sym w:font="Wingdings 2" w:char="0052"/>
      </w:r>
      <w:r>
        <w:rPr>
          <w:rFonts w:hint="eastAsia" w:ascii="宋体" w:hAnsi="宋体" w:cs="宋体"/>
          <w:color w:val="auto"/>
          <w:spacing w:val="1"/>
          <w:kern w:val="0"/>
          <w:sz w:val="24"/>
          <w:szCs w:val="24"/>
          <w:highlight w:val="none"/>
        </w:rPr>
        <w:t>建设工程、</w:t>
      </w:r>
      <w:r>
        <w:rPr>
          <w:rFonts w:hint="eastAsia" w:ascii="宋体" w:hAnsi="宋体" w:cs="宋体"/>
          <w:color w:val="auto"/>
          <w:szCs w:val="21"/>
          <w:highlight w:val="none"/>
        </w:rPr>
        <w:sym w:font="Wingdings 2" w:char="0051"/>
      </w:r>
      <w:r>
        <w:rPr>
          <w:rFonts w:hint="eastAsia" w:ascii="宋体" w:hAnsi="宋体" w:cs="宋体"/>
          <w:color w:val="auto"/>
          <w:spacing w:val="1"/>
          <w:kern w:val="0"/>
          <w:sz w:val="24"/>
          <w:szCs w:val="24"/>
          <w:highlight w:val="none"/>
        </w:rPr>
        <w:t>物资采购、</w:t>
      </w:r>
      <w:r>
        <w:rPr>
          <w:rFonts w:hint="eastAsia" w:ascii="宋体" w:hAnsi="宋体" w:cs="宋体"/>
          <w:color w:val="auto"/>
          <w:szCs w:val="21"/>
          <w:highlight w:val="none"/>
        </w:rPr>
        <w:sym w:font="Wingdings 2" w:char="0051"/>
      </w:r>
      <w:r>
        <w:rPr>
          <w:rFonts w:hint="eastAsia" w:ascii="宋体" w:hAnsi="宋体" w:cs="宋体"/>
          <w:color w:val="auto"/>
          <w:spacing w:val="1"/>
          <w:kern w:val="0"/>
          <w:sz w:val="24"/>
          <w:szCs w:val="24"/>
          <w:highlight w:val="none"/>
        </w:rPr>
        <w:t>营运类服务等有关法律法规、相关政策以及廉政建设的各项规定</w:t>
      </w:r>
      <w:r>
        <w:rPr>
          <w:rFonts w:hint="eastAsia" w:ascii="宋体" w:hAnsi="宋体" w:cs="宋体"/>
          <w:color w:val="auto"/>
          <w:sz w:val="24"/>
          <w:szCs w:val="24"/>
          <w:highlight w:val="none"/>
        </w:rPr>
        <w:t>。</w:t>
      </w:r>
    </w:p>
    <w:p w14:paraId="468792FB">
      <w:pPr>
        <w:ind w:firstLine="352" w:firstLineChars="147"/>
        <w:rPr>
          <w:rFonts w:ascii="宋体" w:hAnsi="宋体" w:cs="宋体"/>
          <w:color w:val="auto"/>
          <w:sz w:val="24"/>
          <w:szCs w:val="24"/>
          <w:highlight w:val="none"/>
        </w:rPr>
      </w:pPr>
      <w:r>
        <w:rPr>
          <w:rFonts w:hint="eastAsia" w:ascii="宋体" w:hAnsi="宋体" w:cs="宋体"/>
          <w:color w:val="auto"/>
          <w:sz w:val="24"/>
          <w:szCs w:val="24"/>
          <w:highlight w:val="none"/>
        </w:rPr>
        <w:t>（二）严格执行主合同条款，自觉按合同办事。</w:t>
      </w:r>
    </w:p>
    <w:p w14:paraId="298FF9BA">
      <w:pPr>
        <w:ind w:firstLine="352" w:firstLineChars="147"/>
        <w:rPr>
          <w:rFonts w:ascii="宋体" w:hAnsi="宋体" w:cs="宋体"/>
          <w:color w:val="auto"/>
          <w:sz w:val="24"/>
          <w:szCs w:val="24"/>
          <w:highlight w:val="none"/>
        </w:rPr>
      </w:pPr>
      <w:r>
        <w:rPr>
          <w:rFonts w:hint="eastAsia" w:ascii="宋体" w:hAnsi="宋体" w:cs="宋体"/>
          <w:color w:val="auto"/>
          <w:sz w:val="24"/>
          <w:szCs w:val="24"/>
          <w:highlight w:val="none"/>
        </w:rPr>
        <w:t>（三）业务活动必须坚持公开、公平、公正、诚信的原则，不得为获取不正当利益，损害国家、集体和对方利益，不得违反</w:t>
      </w:r>
      <w:r>
        <w:rPr>
          <w:rFonts w:hint="eastAsia" w:ascii="宋体" w:hAnsi="宋体" w:cs="宋体"/>
          <w:color w:val="auto"/>
          <w:szCs w:val="21"/>
          <w:highlight w:val="none"/>
        </w:rPr>
        <w:sym w:font="Wingdings 2" w:char="0052"/>
      </w:r>
      <w:r>
        <w:rPr>
          <w:rFonts w:hint="eastAsia" w:ascii="宋体" w:hAnsi="宋体" w:cs="宋体"/>
          <w:color w:val="auto"/>
          <w:spacing w:val="1"/>
          <w:kern w:val="0"/>
          <w:sz w:val="24"/>
          <w:szCs w:val="24"/>
          <w:highlight w:val="none"/>
        </w:rPr>
        <w:t>建设工程、</w:t>
      </w:r>
      <w:r>
        <w:rPr>
          <w:rFonts w:hint="eastAsia" w:ascii="宋体" w:hAnsi="宋体" w:cs="宋体"/>
          <w:color w:val="auto"/>
          <w:szCs w:val="21"/>
          <w:highlight w:val="none"/>
        </w:rPr>
        <w:sym w:font="Wingdings 2" w:char="0051"/>
      </w:r>
      <w:r>
        <w:rPr>
          <w:rFonts w:hint="eastAsia" w:ascii="宋体" w:hAnsi="宋体" w:cs="宋体"/>
          <w:color w:val="auto"/>
          <w:spacing w:val="1"/>
          <w:kern w:val="0"/>
          <w:sz w:val="24"/>
          <w:szCs w:val="24"/>
          <w:highlight w:val="none"/>
        </w:rPr>
        <w:t>物资采购、</w:t>
      </w:r>
      <w:r>
        <w:rPr>
          <w:rFonts w:hint="eastAsia" w:ascii="宋体" w:hAnsi="宋体" w:cs="宋体"/>
          <w:color w:val="auto"/>
          <w:szCs w:val="21"/>
          <w:highlight w:val="none"/>
        </w:rPr>
        <w:sym w:font="Wingdings 2" w:char="0051"/>
      </w:r>
      <w:r>
        <w:rPr>
          <w:rFonts w:hint="eastAsia" w:ascii="宋体" w:hAnsi="宋体" w:cs="宋体"/>
          <w:color w:val="auto"/>
          <w:spacing w:val="1"/>
          <w:kern w:val="0"/>
          <w:sz w:val="24"/>
          <w:szCs w:val="24"/>
          <w:highlight w:val="none"/>
        </w:rPr>
        <w:t>营运类服务管理的规章制度</w:t>
      </w:r>
      <w:r>
        <w:rPr>
          <w:rFonts w:hint="eastAsia" w:ascii="宋体" w:hAnsi="宋体" w:cs="宋体"/>
          <w:color w:val="auto"/>
          <w:sz w:val="24"/>
          <w:szCs w:val="24"/>
          <w:highlight w:val="none"/>
        </w:rPr>
        <w:t>。</w:t>
      </w:r>
    </w:p>
    <w:p w14:paraId="1685195C">
      <w:pPr>
        <w:tabs>
          <w:tab w:val="left" w:pos="709"/>
        </w:tabs>
        <w:ind w:firstLine="352" w:firstLineChars="147"/>
        <w:rPr>
          <w:rFonts w:ascii="宋体" w:hAnsi="宋体" w:cs="宋体"/>
          <w:color w:val="auto"/>
          <w:sz w:val="24"/>
          <w:szCs w:val="24"/>
          <w:highlight w:val="none"/>
        </w:rPr>
      </w:pPr>
      <w:r>
        <w:rPr>
          <w:rFonts w:hint="eastAsia" w:ascii="宋体" w:hAnsi="宋体" w:cs="宋体"/>
          <w:color w:val="auto"/>
          <w:sz w:val="24"/>
          <w:szCs w:val="24"/>
          <w:highlight w:val="none"/>
        </w:rPr>
        <w:t>（四）在业务活动中任何一方如发现单位或人员有违规、违纪、违法行为的，均有义务向其上级主管部门或纪检监察、司法等机关举报。</w:t>
      </w:r>
    </w:p>
    <w:p w14:paraId="59F15F2F">
      <w:pPr>
        <w:spacing w:before="72" w:beforeLines="30"/>
        <w:ind w:firstLine="477" w:firstLineChars="199"/>
        <w:rPr>
          <w:rFonts w:ascii="宋体" w:hAnsi="宋体" w:cs="宋体"/>
          <w:color w:val="auto"/>
          <w:sz w:val="24"/>
          <w:szCs w:val="24"/>
          <w:highlight w:val="none"/>
        </w:rPr>
      </w:pPr>
      <w:r>
        <w:rPr>
          <w:rFonts w:hint="eastAsia" w:ascii="宋体" w:hAnsi="宋体" w:cs="宋体"/>
          <w:color w:val="auto"/>
          <w:sz w:val="24"/>
          <w:szCs w:val="24"/>
          <w:highlight w:val="none"/>
        </w:rPr>
        <w:t xml:space="preserve">二、甲方责任 </w:t>
      </w:r>
    </w:p>
    <w:p w14:paraId="17B1B80E">
      <w:pPr>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（一）甲方须向乙方介绍本单位有关廉政建设的各项制度和规定，并有权监督乙方履行主合同的廉洁情况。</w:t>
      </w:r>
    </w:p>
    <w:p w14:paraId="740A60F5">
      <w:pPr>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（二）甲方须对本单位工作人员开展廉洁</w:t>
      </w:r>
      <w:r>
        <w:rPr>
          <w:color w:val="auto"/>
          <w:highlight w:val="none"/>
        </w:rPr>
        <w:fldChar w:fldCharType="begin"/>
      </w:r>
      <w:r>
        <w:rPr>
          <w:color w:val="auto"/>
          <w:highlight w:val="none"/>
        </w:rPr>
        <w:instrText xml:space="preserve"> HYPERLINK "http://www.jianshe99.com/web/wangxiao/" \t "_blank" \o "教育" </w:instrText>
      </w:r>
      <w:r>
        <w:rPr>
          <w:color w:val="auto"/>
          <w:highlight w:val="none"/>
        </w:rPr>
        <w:fldChar w:fldCharType="separate"/>
      </w:r>
      <w:r>
        <w:rPr>
          <w:rFonts w:hint="eastAsia" w:ascii="宋体" w:hAnsi="宋体" w:cs="宋体"/>
          <w:color w:val="auto"/>
          <w:sz w:val="24"/>
          <w:szCs w:val="24"/>
          <w:highlight w:val="none"/>
        </w:rPr>
        <w:t>教育</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,督促本单位从业人员遵守以下规定：</w:t>
      </w:r>
    </w:p>
    <w:p w14:paraId="18C53EB6">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1.不得向乙方索要或接受回扣、礼金、有价证券、贵重物品等，难以拒收的，必须按有关规定登记上交。</w:t>
      </w:r>
    </w:p>
    <w:p w14:paraId="63F3F2E2">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2.不得要求乙方报销任何应由甲方或其工作人员支付的费用。</w:t>
      </w:r>
    </w:p>
    <w:p w14:paraId="4C949044">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3.不得要求、暗示或接受乙方为甲方工作人员的住房装修、婚丧嫁娶、配偶子女工作安排以及出国（境）、旅游等事项提供方便。</w:t>
      </w:r>
    </w:p>
    <w:p w14:paraId="089F0CE8">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4.不得参加有可能影响公正履行岗位职责的乙方安排的宴请、健身、娱乐等活动。</w:t>
      </w:r>
    </w:p>
    <w:p w14:paraId="0C7504C7">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5.不得向乙方推荐与主合同有关的劳务分包单位。</w:t>
      </w:r>
    </w:p>
    <w:p w14:paraId="2B140FFC">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6.不得向乙方推荐甲方工作人员的配偶、子女、亲属参与主合同的设备材料、劳务分包等经济活动。</w:t>
      </w:r>
    </w:p>
    <w:p w14:paraId="1ADB1494">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7.不得有其他可能影响公正履行岗位职责的行为。</w:t>
      </w:r>
    </w:p>
    <w:p w14:paraId="5D618AE1">
      <w:pPr>
        <w:spacing w:before="72" w:beforeLines="30"/>
        <w:ind w:firstLine="477" w:firstLineChars="199"/>
        <w:rPr>
          <w:rFonts w:ascii="宋体" w:hAnsi="宋体" w:cs="宋体"/>
          <w:color w:val="auto"/>
          <w:sz w:val="24"/>
          <w:szCs w:val="24"/>
          <w:highlight w:val="none"/>
        </w:rPr>
      </w:pPr>
      <w:r>
        <w:rPr>
          <w:rFonts w:hint="eastAsia" w:ascii="宋体" w:hAnsi="宋体" w:cs="宋体"/>
          <w:color w:val="auto"/>
          <w:sz w:val="24"/>
          <w:szCs w:val="24"/>
          <w:highlight w:val="none"/>
        </w:rPr>
        <w:t>三、乙方责任</w:t>
      </w:r>
    </w:p>
    <w:p w14:paraId="4AA51A7C">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（一）乙方应了解并支持执行甲方有关廉政建设的各项制度和规定。</w:t>
      </w:r>
    </w:p>
    <w:p w14:paraId="00FCE630">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（二）乙方应对本单位工作人员开展廉洁教育（包括甲方制定的有关廉政建设方面的各项制度和规定），按时出席甲方召集的有关会议。</w:t>
      </w:r>
    </w:p>
    <w:p w14:paraId="67A5F1D9">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（三）乙方应与甲方保持正常的业务交往，按照有关法律法规和程序开展业务工作，严格执行有关政策规定，并遵守以下规定：</w:t>
      </w:r>
    </w:p>
    <w:p w14:paraId="66013D53">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1.不得向甲方及其工作人员赠送回扣、礼金、有价证券、贵重物品等。</w:t>
      </w:r>
    </w:p>
    <w:p w14:paraId="1354CEC0">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2.不得为甲方报销应由甲方或其工作人员支付的费用。</w:t>
      </w:r>
    </w:p>
    <w:p w14:paraId="1F96DCBF">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3.不得接受为甲方工作人员的住房装修、婚丧嫁娶、配偶子女工作安排以及出国（境）、旅游等事项提供方便。</w:t>
      </w:r>
    </w:p>
    <w:p w14:paraId="14C771FE">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4.不得为甲方及其工作人员安排、组织有可能影响公正履行岗位职责的宴请、健身、娱乐等活动。</w:t>
      </w:r>
    </w:p>
    <w:p w14:paraId="6EBAE7A3">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5.不得接受甲方推荐的与主合同有关的劳务分包单位。</w:t>
      </w:r>
    </w:p>
    <w:p w14:paraId="7D45483F">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6.不得接受甲方工作人员推荐其配偶、子女、亲属参与主合同的设备材料、劳务分包等经济活动。</w:t>
      </w:r>
    </w:p>
    <w:p w14:paraId="6A830D9E">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7.不得有其他可能影响甲方工作人员公正履行岗位职责的行为。</w:t>
      </w:r>
    </w:p>
    <w:p w14:paraId="61EF851A">
      <w:pPr>
        <w:spacing w:before="72" w:beforeLines="30"/>
        <w:ind w:firstLine="477" w:firstLineChars="199"/>
        <w:rPr>
          <w:rFonts w:ascii="宋体" w:hAnsi="宋体" w:cs="宋体"/>
          <w:color w:val="auto"/>
          <w:sz w:val="24"/>
          <w:szCs w:val="24"/>
          <w:highlight w:val="none"/>
        </w:rPr>
      </w:pPr>
      <w:r>
        <w:rPr>
          <w:rFonts w:hint="eastAsia" w:ascii="宋体" w:hAnsi="宋体" w:cs="宋体"/>
          <w:color w:val="auto"/>
          <w:sz w:val="24"/>
          <w:szCs w:val="24"/>
          <w:highlight w:val="none"/>
        </w:rPr>
        <w:t>四、违约责任及处理</w:t>
      </w:r>
    </w:p>
    <w:p w14:paraId="17BDBB93">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（一）甲方工作人员有违反本责任书“一”“二”款约定的，视情节轻重，依据有关法律法规和甲方相关制度规定给予组织处理、党纪政纪处分；涉嫌犯罪的，移交司法机关追究刑事责任；</w:t>
      </w:r>
    </w:p>
    <w:p w14:paraId="69CDF740">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（二）乙方工作人员有违反本责任书“一”、“三”款约定的，甲方有权向乙方单位上级纪检监察部门、有关行政管理部门等提出对乙方进行责任追究和处罚；涉嫌犯罪的，移送司法机关追究刑事责任；</w:t>
      </w:r>
    </w:p>
    <w:p w14:paraId="593E1B70">
      <w:pPr>
        <w:tabs>
          <w:tab w:val="left" w:pos="709"/>
        </w:tabs>
        <w:ind w:firstLine="577" w:firstLineChars="148"/>
        <w:rPr>
          <w:rFonts w:ascii="宋体" w:hAnsi="宋体" w:cs="宋体"/>
          <w:b/>
          <w:bCs/>
          <w:color w:val="auto"/>
          <w:sz w:val="24"/>
          <w:szCs w:val="24"/>
          <w:highlight w:val="none"/>
        </w:rPr>
      </w:pPr>
      <w:r>
        <w:rPr>
          <w:rFonts w:hint="eastAsia" w:ascii="宋体" w:hAnsi="宋体" w:cs="宋体"/>
          <w:color w:val="auto"/>
          <w:spacing w:val="75"/>
          <w:kern w:val="0"/>
          <w:sz w:val="24"/>
          <w:szCs w:val="24"/>
          <w:highlight w:val="none"/>
        </w:rPr>
        <w:sym w:font="Wingdings 2" w:char="0052"/>
      </w:r>
      <w:r>
        <w:rPr>
          <w:rFonts w:hint="eastAsia" w:ascii="宋体" w:hAnsi="宋体" w:cs="宋体"/>
          <w:b/>
          <w:bCs/>
          <w:color w:val="auto"/>
          <w:sz w:val="24"/>
          <w:szCs w:val="24"/>
          <w:highlight w:val="none"/>
        </w:rPr>
        <w:t>工程建设项目选择此项</w:t>
      </w:r>
    </w:p>
    <w:p w14:paraId="62C86B13">
      <w:pPr>
        <w:tabs>
          <w:tab w:val="left" w:pos="709"/>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乙方应严格执行有关勘察设计、建筑施工安装的强制性标准和规范，以及监理法规，根据广州市及甲方关于水务工程勘察设计、施工和监理企业诚信评价的有关规定，如乙方存在被纪检监察部门认定有行贿行为、被法院判决犯有行贿罪记录等违反廉政规定的，甲方书面提请水务行政主管部门处理。</w:t>
      </w:r>
    </w:p>
    <w:p w14:paraId="41A51DAA">
      <w:pPr>
        <w:tabs>
          <w:tab w:val="left" w:pos="7513"/>
        </w:tabs>
        <w:spacing w:before="72" w:beforeLines="30"/>
        <w:ind w:firstLine="477" w:firstLineChars="199"/>
        <w:rPr>
          <w:rFonts w:ascii="宋体" w:hAnsi="宋体" w:cs="宋体"/>
          <w:color w:val="auto"/>
          <w:sz w:val="24"/>
          <w:szCs w:val="24"/>
          <w:highlight w:val="none"/>
        </w:rPr>
      </w:pPr>
      <w:r>
        <w:rPr>
          <w:rFonts w:hint="eastAsia" w:ascii="宋体" w:hAnsi="宋体" w:cs="宋体"/>
          <w:color w:val="auto"/>
          <w:sz w:val="24"/>
          <w:szCs w:val="24"/>
          <w:highlight w:val="none"/>
        </w:rPr>
        <w:t>五、责任书有效期</w:t>
      </w:r>
    </w:p>
    <w:p w14:paraId="6B6847EC">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（一）本责任书作为主合同组成部分，与主合同具有同等法律效力。经双方签署后立即生效。</w:t>
      </w:r>
    </w:p>
    <w:p w14:paraId="60421A1C">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（二）本责任书的有效期为合同生效之日起至主合同履约结束时止。</w:t>
      </w:r>
    </w:p>
    <w:p w14:paraId="0A5366EE">
      <w:pPr>
        <w:rPr>
          <w:rFonts w:ascii="宋体" w:hAnsi="宋体" w:cs="宋体"/>
          <w:color w:val="auto"/>
          <w:sz w:val="24"/>
          <w:szCs w:val="24"/>
          <w:highlight w:val="none"/>
        </w:rPr>
      </w:pPr>
    </w:p>
    <w:p w14:paraId="241F0CC2">
      <w:pPr>
        <w:rPr>
          <w:rFonts w:ascii="宋体" w:hAnsi="宋体" w:cs="宋体"/>
          <w:color w:val="auto"/>
          <w:sz w:val="24"/>
          <w:szCs w:val="24"/>
          <w:highlight w:val="none"/>
        </w:rPr>
      </w:pPr>
    </w:p>
    <w:p w14:paraId="64F589B2">
      <w:pPr>
        <w:rPr>
          <w:rFonts w:ascii="宋体" w:hAnsi="宋体" w:cs="宋体"/>
          <w:color w:val="auto"/>
          <w:sz w:val="24"/>
          <w:szCs w:val="24"/>
          <w:highlight w:val="none"/>
        </w:rPr>
      </w:pPr>
      <w:r>
        <w:rPr>
          <w:rFonts w:hint="eastAsia" w:ascii="宋体" w:hAnsi="宋体" w:cs="宋体"/>
          <w:color w:val="auto"/>
          <w:sz w:val="24"/>
          <w:szCs w:val="24"/>
          <w:highlight w:val="none"/>
        </w:rPr>
        <w:t xml:space="preserve">甲方单位：（盖章）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乙方单位：（盖章）</w:t>
      </w:r>
    </w:p>
    <w:p w14:paraId="54E2740F">
      <w:pPr>
        <w:tabs>
          <w:tab w:val="left" w:pos="525"/>
          <w:tab w:val="left" w:pos="1155"/>
        </w:tabs>
        <w:snapToGrid w:val="0"/>
        <w:spacing w:line="360" w:lineRule="auto"/>
        <w:ind w:firstLine="0" w:firstLineChars="0"/>
        <w:rPr>
          <w:rFonts w:hint="eastAsia" w:ascii="宋体" w:hAnsi="宋体" w:eastAsia="宋体" w:cs="宋体"/>
          <w:color w:val="auto"/>
          <w:kern w:val="0"/>
          <w:sz w:val="24"/>
          <w:szCs w:val="24"/>
          <w:highlight w:val="none"/>
        </w:rPr>
      </w:pPr>
      <w:bookmarkStart w:id="353" w:name="_GoBack"/>
      <w:r>
        <w:rPr>
          <w:rFonts w:hint="eastAsia" w:ascii="宋体" w:hAnsi="宋体" w:cs="宋体"/>
          <w:color w:val="auto"/>
          <w:sz w:val="24"/>
          <w:szCs w:val="24"/>
          <w:highlight w:val="none"/>
        </w:rPr>
        <w:t>甲方监督</w:t>
      </w:r>
      <w:r>
        <w:rPr>
          <w:rFonts w:hint="eastAsia" w:ascii="宋体" w:hAnsi="宋体" w:eastAsia="宋体" w:cs="宋体"/>
          <w:color w:val="auto"/>
          <w:sz w:val="24"/>
          <w:szCs w:val="24"/>
          <w:highlight w:val="none"/>
          <w:lang w:eastAsia="zh-CN"/>
        </w:rPr>
        <w:t>邮箱</w:t>
      </w:r>
      <w:r>
        <w:rPr>
          <w:rFonts w:hint="eastAsia" w:ascii="宋体" w:hAnsi="宋体" w:cs="宋体"/>
          <w:color w:val="auto"/>
          <w:sz w:val="24"/>
          <w:szCs w:val="24"/>
          <w:highlight w:val="none"/>
        </w:rPr>
        <w:t>：baiyunzilaishui@126.com    乙方监督电话：</w:t>
      </w:r>
    </w:p>
    <w:bookmarkEnd w:id="353"/>
    <w:p w14:paraId="132364B8">
      <w:pPr>
        <w:widowControl/>
        <w:spacing w:line="360" w:lineRule="auto"/>
        <w:contextualSpacing/>
        <w:jc w:val="left"/>
        <w:rPr>
          <w:rFonts w:hint="eastAsia" w:ascii="宋体" w:hAnsi="宋体" w:eastAsia="宋体" w:cs="宋体"/>
          <w:color w:val="auto"/>
          <w:sz w:val="24"/>
          <w:szCs w:val="24"/>
          <w:highlight w:val="none"/>
        </w:rPr>
      </w:pPr>
    </w:p>
    <w:p w14:paraId="6336C095">
      <w:pPr>
        <w:widowControl/>
        <w:spacing w:line="360" w:lineRule="auto"/>
        <w:contextualSpacing/>
        <w:jc w:val="left"/>
        <w:rPr>
          <w:rFonts w:hint="eastAsia" w:ascii="宋体" w:hAnsi="宋体" w:eastAsia="宋体" w:cs="宋体"/>
          <w:color w:val="auto"/>
          <w:sz w:val="24"/>
          <w:szCs w:val="24"/>
          <w:highlight w:val="none"/>
        </w:rPr>
      </w:pPr>
    </w:p>
    <w:p w14:paraId="19A8D7FA">
      <w:pPr>
        <w:widowControl w:val="0"/>
        <w:adjustRightInd w:val="0"/>
        <w:snapToGrid w:val="0"/>
        <w:spacing w:line="360" w:lineRule="auto"/>
        <w:ind w:firstLine="0" w:firstLineChars="0"/>
        <w:contextualSpacing/>
        <w:jc w:val="both"/>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290" w:name="_Toc6988"/>
      <w:bookmarkStart w:id="291" w:name="_Toc2131"/>
      <w:bookmarkStart w:id="292" w:name="_Toc8513"/>
      <w:bookmarkStart w:id="293" w:name="_Toc25207"/>
      <w:bookmarkStart w:id="294" w:name="_Toc25548"/>
      <w:bookmarkStart w:id="295" w:name="_Toc31353"/>
      <w:bookmarkStart w:id="296" w:name="_Toc20975"/>
      <w:bookmarkStart w:id="297" w:name="_Toc24941"/>
      <w:bookmarkStart w:id="298" w:name="_Toc29012"/>
      <w:r>
        <w:rPr>
          <w:rFonts w:hint="eastAsia" w:ascii="宋体" w:hAnsi="宋体" w:eastAsia="宋体" w:cs="宋体"/>
          <w:b/>
          <w:bCs/>
          <w:color w:val="auto"/>
          <w:sz w:val="24"/>
          <w:szCs w:val="24"/>
          <w:highlight w:val="none"/>
        </w:rPr>
        <w:t>附件2：</w:t>
      </w:r>
      <w:bookmarkEnd w:id="290"/>
      <w:r>
        <w:rPr>
          <w:rFonts w:hint="eastAsia" w:ascii="宋体" w:hAnsi="宋体" w:eastAsia="宋体" w:cs="宋体"/>
          <w:b/>
          <w:bCs/>
          <w:color w:val="auto"/>
          <w:sz w:val="24"/>
          <w:szCs w:val="24"/>
          <w:highlight w:val="none"/>
          <w:lang w:val="en-US" w:eastAsia="zh-CN"/>
        </w:rPr>
        <w:t>保密协议</w:t>
      </w:r>
      <w:bookmarkEnd w:id="291"/>
      <w:bookmarkEnd w:id="292"/>
      <w:bookmarkEnd w:id="293"/>
      <w:bookmarkEnd w:id="294"/>
      <w:bookmarkEnd w:id="295"/>
      <w:bookmarkEnd w:id="296"/>
      <w:bookmarkEnd w:id="297"/>
      <w:bookmarkEnd w:id="298"/>
    </w:p>
    <w:p w14:paraId="33CBFA03">
      <w:pPr>
        <w:snapToGrid w:val="0"/>
        <w:spacing w:line="312" w:lineRule="auto"/>
        <w:ind w:firstLine="602" w:firstLineChars="20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保密协议</w:t>
      </w:r>
    </w:p>
    <w:p w14:paraId="650B56BC">
      <w:pPr>
        <w:snapToGrid w:val="0"/>
        <w:spacing w:line="312" w:lineRule="auto"/>
        <w:ind w:firstLine="482" w:firstLineChars="200"/>
        <w:rPr>
          <w:rFonts w:hint="eastAsia" w:ascii="宋体" w:hAnsi="宋体" w:eastAsia="宋体" w:cs="宋体"/>
          <w:b/>
          <w:color w:val="auto"/>
          <w:kern w:val="0"/>
          <w:sz w:val="24"/>
          <w:szCs w:val="24"/>
          <w:highlight w:val="none"/>
        </w:rPr>
      </w:pPr>
    </w:p>
    <w:p w14:paraId="43A8DA45">
      <w:pPr>
        <w:snapToGrid w:val="0"/>
        <w:spacing w:line="312" w:lineRule="auto"/>
        <w:ind w:firstLine="480" w:firstLineChars="200"/>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甲方：（全称）</w:t>
      </w:r>
      <w:r>
        <w:rPr>
          <w:rFonts w:hint="eastAsia" w:ascii="宋体" w:hAnsi="宋体" w:eastAsia="宋体" w:cs="宋体"/>
          <w:color w:val="auto"/>
          <w:kern w:val="0"/>
          <w:sz w:val="24"/>
          <w:szCs w:val="24"/>
          <w:highlight w:val="none"/>
          <w:u w:val="single"/>
          <w:lang w:val="en-US" w:eastAsia="zh-CN" w:bidi="ar-SA"/>
        </w:rPr>
        <w:t>广州市穗云自来水有限公司</w:t>
      </w:r>
    </w:p>
    <w:p w14:paraId="7C65B7A2">
      <w:pPr>
        <w:snapToGrid w:val="0"/>
        <w:spacing w:line="312" w:lineRule="auto"/>
        <w:ind w:firstLine="480" w:firstLineChars="200"/>
        <w:rPr>
          <w:rFonts w:hint="default"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乙方：（全称）</w:t>
      </w:r>
      <w:r>
        <w:rPr>
          <w:rFonts w:hint="eastAsia" w:ascii="宋体" w:hAnsi="宋体" w:eastAsia="宋体" w:cs="宋体"/>
          <w:color w:val="auto"/>
          <w:kern w:val="0"/>
          <w:sz w:val="24"/>
          <w:szCs w:val="24"/>
          <w:highlight w:val="none"/>
          <w:u w:val="single"/>
          <w:lang w:val="en-US" w:eastAsia="zh-CN"/>
        </w:rPr>
        <w:t xml:space="preserve">                             </w:t>
      </w:r>
    </w:p>
    <w:p w14:paraId="132BC2BA">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rPr>
      </w:pPr>
    </w:p>
    <w:p w14:paraId="13B5F3AF">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乙方作为甲方服务单位，乙方同意遵守甲方下列保密条款：</w:t>
      </w:r>
    </w:p>
    <w:p w14:paraId="75451107">
      <w:pPr>
        <w:autoSpaceDE w:val="0"/>
        <w:autoSpaceDN w:val="0"/>
        <w:snapToGrid w:val="0"/>
        <w:spacing w:line="312" w:lineRule="auto"/>
        <w:ind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一、保密信息的范围</w:t>
      </w:r>
    </w:p>
    <w:p w14:paraId="08EEAC66">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“保密信息”在本保密协议中是指乙方在为甲方提供服务工作的过程中所获取的重要工作信息。</w:t>
      </w:r>
      <w:r>
        <w:rPr>
          <w:rFonts w:hint="eastAsia" w:ascii="宋体" w:hAnsi="宋体" w:eastAsia="宋体" w:cs="宋体"/>
          <w:color w:val="auto"/>
          <w:kern w:val="0"/>
          <w:sz w:val="24"/>
          <w:szCs w:val="24"/>
          <w:highlight w:val="none"/>
          <w:lang w:val="zh-CN"/>
        </w:rPr>
        <w:t>该保密信息包括但不限于投资计划、项目规模、项目计划、项目相关数据和图纸、招标文件资料及信息、合同、价格、成本、研究报告、会议资料和文件。</w:t>
      </w:r>
    </w:p>
    <w:p w14:paraId="182DACF4">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不论以何种形式或载于何种载体，无论在披露时是否以口头、图像或以书面方式表明其具有保密性，都视为甲方的保密信息。</w:t>
      </w:r>
    </w:p>
    <w:p w14:paraId="0C3786A4">
      <w:pPr>
        <w:autoSpaceDE w:val="0"/>
        <w:autoSpaceDN w:val="0"/>
        <w:snapToGrid w:val="0"/>
        <w:spacing w:line="312" w:lineRule="auto"/>
        <w:ind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二、乙方的保密义务</w:t>
      </w:r>
    </w:p>
    <w:p w14:paraId="1AC85719">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乙方对已知悉的甲方保密信息，在此同意：</w:t>
      </w:r>
    </w:p>
    <w:p w14:paraId="5FC99427">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（一）未经甲方事前书面批准，不论服务期间或以后，乙方及其工作人员不得以任何方式泄漏甲方的保密信息。</w:t>
      </w:r>
    </w:p>
    <w:p w14:paraId="201EE603">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（二）一旦服务工作终止，乙方及其工作人员将退还保存的属于甲方的所有保密信息及资料，如方案、制度、报告、合同等。</w:t>
      </w:r>
    </w:p>
    <w:p w14:paraId="68E0E37F">
      <w:pPr>
        <w:autoSpaceDE w:val="0"/>
        <w:autoSpaceDN w:val="0"/>
        <w:snapToGrid w:val="0"/>
        <w:spacing w:line="312" w:lineRule="auto"/>
        <w:ind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三、保密期限</w:t>
      </w:r>
    </w:p>
    <w:p w14:paraId="7DEAC19D">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保密期限包括但不限于：从获知甲方保密信息时起，至保密信息已由甲方通过合法途径让普通公众知悉时止。</w:t>
      </w:r>
    </w:p>
    <w:p w14:paraId="23923B7A">
      <w:pPr>
        <w:autoSpaceDE w:val="0"/>
        <w:autoSpaceDN w:val="0"/>
        <w:snapToGrid w:val="0"/>
        <w:spacing w:line="312" w:lineRule="auto"/>
        <w:ind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四、违约责任</w:t>
      </w:r>
    </w:p>
    <w:p w14:paraId="516A779E">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乙方违反本保密协议约定，要承担违约责任，甲方有权通过任何合理方式追究乙方的责任并终止服务合同。造成损失的，甲方有权要求乙方进行赔偿并追究乙方其他的法律责任。</w:t>
      </w:r>
    </w:p>
    <w:p w14:paraId="338875EF">
      <w:pPr>
        <w:autoSpaceDE w:val="0"/>
        <w:autoSpaceDN w:val="0"/>
        <w:snapToGrid w:val="0"/>
        <w:spacing w:line="312" w:lineRule="auto"/>
        <w:ind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五、其他约定</w:t>
      </w:r>
    </w:p>
    <w:p w14:paraId="09DCC2FD">
      <w:pPr>
        <w:autoSpaceDE w:val="0"/>
        <w:autoSpaceDN w:val="0"/>
        <w:snapToGrid w:val="0"/>
        <w:spacing w:line="312"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本保密协议一式</w:t>
      </w:r>
      <w:r>
        <w:rPr>
          <w:rFonts w:hint="eastAsia" w:ascii="宋体" w:hAnsi="宋体" w:eastAsia="宋体" w:cs="宋体"/>
          <w:color w:val="auto"/>
          <w:kern w:val="0"/>
          <w:sz w:val="24"/>
          <w:szCs w:val="24"/>
          <w:highlight w:val="none"/>
          <w:u w:val="single"/>
        </w:rPr>
        <w:t>陆</w:t>
      </w:r>
      <w:r>
        <w:rPr>
          <w:rFonts w:hint="eastAsia" w:ascii="宋体" w:hAnsi="宋体" w:eastAsia="宋体" w:cs="宋体"/>
          <w:color w:val="auto"/>
          <w:kern w:val="0"/>
          <w:sz w:val="24"/>
          <w:szCs w:val="24"/>
          <w:highlight w:val="none"/>
        </w:rPr>
        <w:t>份，甲、乙双方各执</w:t>
      </w:r>
      <w:r>
        <w:rPr>
          <w:rFonts w:hint="eastAsia" w:ascii="宋体" w:hAnsi="宋体" w:eastAsia="宋体" w:cs="宋体"/>
          <w:color w:val="auto"/>
          <w:kern w:val="0"/>
          <w:sz w:val="24"/>
          <w:szCs w:val="24"/>
          <w:highlight w:val="none"/>
          <w:u w:val="single"/>
        </w:rPr>
        <w:t>叁</w:t>
      </w:r>
      <w:r>
        <w:rPr>
          <w:rFonts w:hint="eastAsia" w:ascii="宋体" w:hAnsi="宋体" w:eastAsia="宋体" w:cs="宋体"/>
          <w:color w:val="auto"/>
          <w:kern w:val="0"/>
          <w:sz w:val="24"/>
          <w:szCs w:val="24"/>
          <w:highlight w:val="none"/>
        </w:rPr>
        <w:t>份，具同等法律效力。本保密协议经甲、乙双方签字盖章后生效。</w:t>
      </w:r>
    </w:p>
    <w:p w14:paraId="6A9583AF">
      <w:pPr>
        <w:autoSpaceDE w:val="0"/>
        <w:autoSpaceDN w:val="0"/>
        <w:snapToGrid w:val="0"/>
        <w:spacing w:line="312" w:lineRule="auto"/>
        <w:ind w:firstLine="0" w:firstLineChars="0"/>
        <w:rPr>
          <w:rFonts w:hint="eastAsia" w:ascii="宋体" w:hAnsi="宋体" w:eastAsia="宋体" w:cs="宋体"/>
          <w:color w:val="auto"/>
          <w:kern w:val="0"/>
          <w:sz w:val="24"/>
          <w:szCs w:val="24"/>
          <w:highlight w:val="none"/>
        </w:rPr>
      </w:pPr>
    </w:p>
    <w:p w14:paraId="4054D7CF">
      <w:pPr>
        <w:snapToGrid w:val="0"/>
        <w:spacing w:line="312"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14:paraId="2C7DE730">
      <w:pPr>
        <w:tabs>
          <w:tab w:val="left" w:pos="525"/>
          <w:tab w:val="left" w:pos="1155"/>
        </w:tabs>
        <w:snapToGrid w:val="0"/>
        <w:spacing w:line="312" w:lineRule="auto"/>
        <w:ind w:firstLine="0" w:firstLineChars="0"/>
        <w:rPr>
          <w:rFonts w:hint="eastAsia" w:ascii="宋体" w:hAnsi="宋体" w:eastAsia="宋体" w:cs="宋体"/>
          <w:color w:val="auto"/>
          <w:kern w:val="0"/>
          <w:sz w:val="24"/>
          <w:szCs w:val="24"/>
          <w:highlight w:val="none"/>
        </w:rPr>
      </w:pPr>
    </w:p>
    <w:p w14:paraId="26988C84">
      <w:pPr>
        <w:widowControl/>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t>签订日期：年  月  日</w:t>
      </w:r>
    </w:p>
    <w:p w14:paraId="28B8F740">
      <w:pPr>
        <w:widowControl/>
        <w:spacing w:line="360" w:lineRule="auto"/>
        <w:contextualSpacing/>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D6BB203">
      <w:pPr>
        <w:widowControl/>
        <w:spacing w:line="360" w:lineRule="auto"/>
        <w:contextualSpacing/>
        <w:jc w:val="left"/>
        <w:outlineLvl w:val="0"/>
        <w:rPr>
          <w:rFonts w:hint="eastAsia" w:ascii="宋体" w:hAnsi="宋体" w:eastAsia="宋体" w:cs="宋体"/>
          <w:b/>
          <w:bCs/>
          <w:color w:val="auto"/>
          <w:sz w:val="24"/>
          <w:szCs w:val="24"/>
          <w:highlight w:val="none"/>
          <w:lang w:val="en-US" w:eastAsia="zh-CN"/>
        </w:rPr>
      </w:pPr>
      <w:bookmarkStart w:id="299" w:name="_Toc9692"/>
      <w:bookmarkStart w:id="300" w:name="_Toc3686"/>
      <w:bookmarkStart w:id="301" w:name="_Toc22816"/>
      <w:bookmarkStart w:id="302" w:name="_Toc9240"/>
      <w:bookmarkStart w:id="303" w:name="_Toc11705"/>
      <w:bookmarkStart w:id="304" w:name="_Toc15399"/>
      <w:bookmarkStart w:id="305" w:name="_Toc25414"/>
      <w:bookmarkStart w:id="306" w:name="_Toc4132"/>
      <w:bookmarkStart w:id="307" w:name="_Toc6775"/>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bookmarkEnd w:id="299"/>
      <w:r>
        <w:rPr>
          <w:rFonts w:hint="eastAsia" w:ascii="宋体" w:hAnsi="宋体" w:eastAsia="宋体" w:cs="宋体"/>
          <w:b/>
          <w:bCs/>
          <w:color w:val="auto"/>
          <w:sz w:val="24"/>
          <w:szCs w:val="24"/>
          <w:highlight w:val="none"/>
          <w:lang w:val="en-US" w:eastAsia="zh-CN"/>
        </w:rPr>
        <w:t>中标通知书</w:t>
      </w:r>
      <w:bookmarkEnd w:id="300"/>
      <w:bookmarkEnd w:id="301"/>
      <w:bookmarkEnd w:id="302"/>
      <w:bookmarkEnd w:id="303"/>
      <w:bookmarkEnd w:id="304"/>
      <w:bookmarkEnd w:id="305"/>
      <w:bookmarkEnd w:id="306"/>
      <w:bookmarkEnd w:id="307"/>
    </w:p>
    <w:p w14:paraId="174E250D">
      <w:pPr>
        <w:widowControl/>
        <w:adjustRightInd w:val="0"/>
        <w:snapToGrid w:val="0"/>
        <w:spacing w:line="360" w:lineRule="auto"/>
        <w:jc w:val="center"/>
        <w:outlineLvl w:val="9"/>
        <w:rPr>
          <w:rFonts w:hint="eastAsia" w:ascii="宋体" w:hAnsi="宋体" w:eastAsia="宋体" w:cs="宋体"/>
          <w:b/>
          <w:color w:val="auto"/>
          <w:kern w:val="0"/>
          <w:sz w:val="32"/>
          <w:szCs w:val="32"/>
          <w:highlight w:val="none"/>
        </w:rPr>
      </w:pPr>
      <w:bookmarkStart w:id="308" w:name="_Toc7869"/>
    </w:p>
    <w:p w14:paraId="489EAA98">
      <w:pPr>
        <w:widowControl/>
        <w:adjustRightInd w:val="0"/>
        <w:snapToGri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中标通知书</w:t>
      </w:r>
      <w:bookmarkEnd w:id="308"/>
    </w:p>
    <w:p w14:paraId="301ED5FE">
      <w:pPr>
        <w:widowControl/>
        <w:spacing w:line="360" w:lineRule="auto"/>
        <w:contextualSpacing/>
        <w:jc w:val="both"/>
        <w:outlineLvl w:val="9"/>
        <w:rPr>
          <w:rFonts w:hint="eastAsia" w:ascii="宋体" w:hAnsi="宋体" w:eastAsia="宋体" w:cs="宋体"/>
          <w:color w:val="auto"/>
          <w:sz w:val="24"/>
          <w:szCs w:val="24"/>
          <w:highlight w:val="none"/>
          <w:lang w:eastAsia="zh-CN"/>
        </w:rPr>
      </w:pPr>
    </w:p>
    <w:p w14:paraId="472C11F0">
      <w:pPr>
        <w:pStyle w:val="10"/>
        <w:rPr>
          <w:rFonts w:hint="eastAsia"/>
          <w:color w:val="auto"/>
          <w:highlight w:val="none"/>
        </w:rPr>
        <w:sectPr>
          <w:pgSz w:w="11906" w:h="16838"/>
          <w:pgMar w:top="1417" w:right="1800" w:bottom="1417" w:left="1800" w:header="851" w:footer="992" w:gutter="0"/>
          <w:pgNumType w:fmt="decimal"/>
          <w:cols w:space="425" w:num="1"/>
          <w:docGrid w:type="lines" w:linePitch="312" w:charSpace="0"/>
        </w:sectPr>
      </w:pPr>
    </w:p>
    <w:p w14:paraId="7B2BDE81">
      <w:pPr>
        <w:widowControl/>
        <w:adjustRightInd w:val="0"/>
        <w:snapToGrid w:val="0"/>
        <w:spacing w:line="360" w:lineRule="auto"/>
        <w:contextualSpacing/>
        <w:jc w:val="left"/>
        <w:outlineLvl w:val="0"/>
        <w:rPr>
          <w:rFonts w:hint="eastAsia" w:ascii="宋体" w:hAnsi="宋体" w:eastAsia="宋体" w:cs="宋体"/>
          <w:color w:val="auto"/>
          <w:sz w:val="24"/>
          <w:szCs w:val="24"/>
          <w:highlight w:val="none"/>
        </w:rPr>
      </w:pPr>
      <w:bookmarkStart w:id="309" w:name="_Toc12887"/>
      <w:bookmarkStart w:id="310" w:name="_Toc14092"/>
      <w:bookmarkStart w:id="311" w:name="_Toc14581"/>
      <w:bookmarkStart w:id="312" w:name="_Toc21141"/>
      <w:bookmarkStart w:id="313" w:name="_Toc1661"/>
      <w:bookmarkStart w:id="314" w:name="_Toc31550"/>
      <w:bookmarkStart w:id="315" w:name="_Toc7965"/>
      <w:bookmarkStart w:id="316" w:name="_Toc28204"/>
      <w:bookmarkStart w:id="317" w:name="_Toc12257"/>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bookmarkEnd w:id="309"/>
      <w:r>
        <w:rPr>
          <w:rFonts w:hint="eastAsia" w:ascii="宋体" w:hAnsi="宋体" w:eastAsia="宋体" w:cs="宋体"/>
          <w:b/>
          <w:bCs/>
          <w:color w:val="auto"/>
          <w:sz w:val="24"/>
          <w:szCs w:val="24"/>
          <w:highlight w:val="none"/>
          <w:lang w:val="en-US" w:eastAsia="zh-CN"/>
        </w:rPr>
        <w:t>履约担保及承诺书</w:t>
      </w:r>
      <w:bookmarkEnd w:id="310"/>
      <w:bookmarkEnd w:id="311"/>
      <w:bookmarkEnd w:id="312"/>
      <w:bookmarkEnd w:id="313"/>
      <w:bookmarkEnd w:id="314"/>
      <w:bookmarkEnd w:id="315"/>
      <w:bookmarkEnd w:id="316"/>
      <w:bookmarkEnd w:id="317"/>
    </w:p>
    <w:p w14:paraId="2A9CF35B">
      <w:pPr>
        <w:widowControl/>
        <w:adjustRightInd w:val="0"/>
        <w:snapToGrid w:val="0"/>
        <w:spacing w:line="312"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履约担保（格式）</w:t>
      </w:r>
    </w:p>
    <w:p w14:paraId="753F316E">
      <w:pPr>
        <w:widowControl/>
        <w:adjustRightInd w:val="0"/>
        <w:snapToGrid w:val="0"/>
        <w:spacing w:line="312" w:lineRule="auto"/>
        <w:jc w:val="left"/>
        <w:rPr>
          <w:rFonts w:hint="eastAsia" w:ascii="宋体" w:hAnsi="宋体" w:eastAsia="宋体" w:cs="宋体"/>
          <w:b/>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SA"/>
        </w:rPr>
        <w:t>广州市穗云自来水有限公司</w:t>
      </w:r>
      <w:r>
        <w:rPr>
          <w:rFonts w:hint="eastAsia" w:ascii="宋体" w:hAnsi="宋体" w:eastAsia="宋体" w:cs="宋体"/>
          <w:b/>
          <w:color w:val="auto"/>
          <w:kern w:val="0"/>
          <w:sz w:val="24"/>
          <w:szCs w:val="24"/>
          <w:highlight w:val="none"/>
          <w:u w:val="single"/>
        </w:rPr>
        <w:t>：</w:t>
      </w:r>
    </w:p>
    <w:p w14:paraId="681CB32A">
      <w:pPr>
        <w:widowControl/>
        <w:spacing w:line="312" w:lineRule="auto"/>
        <w:ind w:firstLine="48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24"/>
          <w:szCs w:val="24"/>
          <w:highlight w:val="none"/>
        </w:rPr>
        <w:t>鉴于</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（以下称咨询人）已</w:t>
      </w:r>
      <w:r>
        <w:rPr>
          <w:rFonts w:hint="eastAsia" w:ascii="宋体" w:hAnsi="宋体" w:eastAsia="宋体" w:cs="宋体"/>
          <w:color w:val="auto"/>
          <w:sz w:val="24"/>
          <w:szCs w:val="24"/>
          <w:highlight w:val="none"/>
          <w:lang w:val="en-US" w:eastAsia="zh-CN" w:bidi="ar"/>
        </w:rPr>
        <w:t>于</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年</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月</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日</w:t>
      </w:r>
      <w:r>
        <w:rPr>
          <w:rFonts w:hint="eastAsia" w:ascii="宋体" w:hAnsi="宋体" w:eastAsia="宋体" w:cs="宋体"/>
          <w:color w:val="auto"/>
          <w:kern w:val="0"/>
          <w:sz w:val="24"/>
          <w:szCs w:val="24"/>
          <w:highlight w:val="none"/>
        </w:rPr>
        <w:t>与贵</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kern w:val="0"/>
          <w:sz w:val="24"/>
          <w:szCs w:val="24"/>
          <w:highlight w:val="none"/>
        </w:rPr>
        <w:t>订立《</w:t>
      </w:r>
      <w:r>
        <w:rPr>
          <w:rFonts w:hint="eastAsia" w:ascii="宋体" w:hAnsi="宋体" w:eastAsia="宋体" w:cs="宋体"/>
          <w:color w:val="auto"/>
          <w:kern w:val="0"/>
          <w:sz w:val="24"/>
          <w:szCs w:val="24"/>
          <w:highlight w:val="none"/>
          <w:lang w:eastAsia="zh-CN"/>
        </w:rPr>
        <w:t>穗云水厂常规工艺增容工程</w:t>
      </w:r>
      <w:r>
        <w:rPr>
          <w:rFonts w:hint="eastAsia" w:ascii="宋体" w:hAnsi="宋体" w:eastAsia="宋体" w:cs="宋体"/>
          <w:color w:val="auto"/>
          <w:kern w:val="0"/>
          <w:sz w:val="24"/>
          <w:szCs w:val="24"/>
          <w:highlight w:val="none"/>
        </w:rPr>
        <w:t>造价咨询服务合同》（合同编号：</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，以下简称为合同）。我方同意为咨询人出具担保，以担保金额为人民币</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）向贵</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kern w:val="0"/>
          <w:sz w:val="24"/>
          <w:szCs w:val="24"/>
          <w:highlight w:val="none"/>
        </w:rPr>
        <w:t>提供不可撤销的连带责任保证，担保的范围为：咨询人按合同约定应向贵</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kern w:val="0"/>
          <w:sz w:val="24"/>
          <w:szCs w:val="24"/>
          <w:highlight w:val="none"/>
        </w:rPr>
        <w:t>履行的全部义务，包括但不限于合同约定的义务，应向贵</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kern w:val="0"/>
          <w:sz w:val="24"/>
          <w:szCs w:val="24"/>
          <w:highlight w:val="none"/>
        </w:rPr>
        <w:t xml:space="preserve">支付的利息，在人力资源、办公设备、服务质量及服务期限等方面的违约金，损害赔偿金，实现债权的费用。 </w:t>
      </w:r>
    </w:p>
    <w:p w14:paraId="544D2DD4">
      <w:pPr>
        <w:widowControl/>
        <w:autoSpaceDE/>
        <w:autoSpaceDN/>
        <w:adjustRightInd w:val="0"/>
        <w:snapToGrid w:val="0"/>
        <w:spacing w:line="312"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我方承诺如下：</w:t>
      </w:r>
    </w:p>
    <w:p w14:paraId="000939AE">
      <w:pPr>
        <w:widowControl/>
        <w:autoSpaceDE/>
        <w:autoSpaceDN/>
        <w:adjustRightInd w:val="0"/>
        <w:snapToGrid w:val="0"/>
        <w:spacing w:line="312"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1．咨询人在履行合同中，由于资金、技术、质量或非不可抗力及违约等原因需向贵</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kern w:val="0"/>
          <w:sz w:val="24"/>
          <w:szCs w:val="24"/>
          <w:highlight w:val="none"/>
        </w:rPr>
        <w:t>支付违约金或赔偿金时，在贵</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sz w:val="24"/>
          <w:szCs w:val="24"/>
          <w:highlight w:val="none"/>
        </w:rPr>
        <w:t>以书面索赔通知纸质原件形式提出要求得到上述金额内的任何付款时（需提供本担保正本原件供我方核对），我方在7个工作日内予以支付累计不超过上述担保金额的款项</w:t>
      </w:r>
      <w:r>
        <w:rPr>
          <w:rFonts w:hint="eastAsia" w:ascii="宋体" w:hAnsi="宋体" w:eastAsia="宋体" w:cs="宋体"/>
          <w:color w:val="auto"/>
          <w:kern w:val="0"/>
          <w:sz w:val="24"/>
          <w:szCs w:val="24"/>
          <w:highlight w:val="none"/>
        </w:rPr>
        <w:t>，不挑剔、不争辩，也不要求贵</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kern w:val="0"/>
          <w:sz w:val="24"/>
          <w:szCs w:val="24"/>
          <w:highlight w:val="none"/>
        </w:rPr>
        <w:t>出具证明或说明背景、理由。</w:t>
      </w:r>
    </w:p>
    <w:p w14:paraId="6CBB0FA4">
      <w:pPr>
        <w:widowControl/>
        <w:autoSpaceDE/>
        <w:autoSpaceDN/>
        <w:adjustRightInd w:val="0"/>
        <w:snapToGrid w:val="0"/>
        <w:spacing w:line="312"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2．我方放弃贵</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kern w:val="0"/>
          <w:sz w:val="24"/>
          <w:szCs w:val="24"/>
          <w:highlight w:val="none"/>
        </w:rPr>
        <w:t>应先向咨询人要求赔偿上述金额然后再向我方提出要求的权利。</w:t>
      </w:r>
    </w:p>
    <w:p w14:paraId="4BF1DDF8">
      <w:pPr>
        <w:widowControl/>
        <w:autoSpaceDE/>
        <w:autoSpaceDN/>
        <w:adjustRightInd w:val="0"/>
        <w:snapToGrid w:val="0"/>
        <w:spacing w:line="312"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3．我方进一步同意，在贵</w:t>
      </w:r>
      <w:r>
        <w:rPr>
          <w:rFonts w:hint="eastAsia" w:ascii="宋体" w:hAnsi="宋体" w:eastAsia="宋体" w:cs="宋体"/>
          <w:color w:val="auto"/>
          <w:kern w:val="0"/>
          <w:sz w:val="24"/>
          <w:szCs w:val="24"/>
          <w:highlight w:val="none"/>
          <w:lang w:val="en-US" w:eastAsia="zh-CN"/>
        </w:rPr>
        <w:t>公司</w:t>
      </w:r>
      <w:r>
        <w:rPr>
          <w:rFonts w:hint="eastAsia" w:ascii="宋体" w:hAnsi="宋体" w:eastAsia="宋体" w:cs="宋体"/>
          <w:color w:val="auto"/>
          <w:kern w:val="0"/>
          <w:sz w:val="24"/>
          <w:szCs w:val="24"/>
          <w:highlight w:val="none"/>
        </w:rPr>
        <w:t>和咨询人之间的合同条件、合同项下的服务或合同发生变化、补充或修改，</w:t>
      </w:r>
      <w:r>
        <w:rPr>
          <w:rFonts w:hint="eastAsia" w:ascii="宋体" w:hAnsi="宋体" w:eastAsia="宋体" w:cs="宋体"/>
          <w:color w:val="auto"/>
          <w:sz w:val="24"/>
          <w:szCs w:val="24"/>
          <w:highlight w:val="none"/>
        </w:rPr>
        <w:t>在不加重我方担保责任的情况下，</w:t>
      </w:r>
      <w:r>
        <w:rPr>
          <w:rFonts w:hint="eastAsia" w:ascii="宋体" w:hAnsi="宋体" w:eastAsia="宋体" w:cs="宋体"/>
          <w:color w:val="auto"/>
          <w:kern w:val="0"/>
          <w:sz w:val="24"/>
          <w:szCs w:val="24"/>
          <w:highlight w:val="none"/>
        </w:rPr>
        <w:t>我方承担本担保的责任也不改变。有关上述变化、补充和修改也无须通知我方。</w:t>
      </w:r>
    </w:p>
    <w:p w14:paraId="6BA3FF98">
      <w:pPr>
        <w:widowControl/>
        <w:autoSpaceDE/>
        <w:autoSpaceDN/>
        <w:adjustRightInd w:val="0"/>
        <w:snapToGrid w:val="0"/>
        <w:spacing w:line="312" w:lineRule="auto"/>
        <w:ind w:firstLine="480"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kern w:val="0"/>
          <w:sz w:val="24"/>
          <w:szCs w:val="24"/>
          <w:highlight w:val="none"/>
        </w:rPr>
        <w:t>4．本担保</w:t>
      </w:r>
      <w:r>
        <w:rPr>
          <w:rFonts w:hint="eastAsia" w:ascii="宋体" w:hAnsi="宋体" w:eastAsia="宋体" w:cs="宋体"/>
          <w:color w:val="auto"/>
          <w:spacing w:val="-4"/>
          <w:kern w:val="0"/>
          <w:sz w:val="24"/>
          <w:szCs w:val="24"/>
          <w:highlight w:val="none"/>
        </w:rPr>
        <w:t>有效期间为：自本担保签署之</w:t>
      </w:r>
      <w:r>
        <w:rPr>
          <w:rFonts w:hint="eastAsia" w:ascii="宋体" w:hAnsi="宋体" w:eastAsia="宋体" w:cs="宋体"/>
          <w:color w:val="auto"/>
          <w:kern w:val="0"/>
          <w:sz w:val="24"/>
          <w:szCs w:val="24"/>
          <w:highlight w:val="none"/>
        </w:rPr>
        <w:t>日起至合同约定项目结算定审之日止，但最迟不超过</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日。</w:t>
      </w:r>
    </w:p>
    <w:p w14:paraId="6745173B">
      <w:pPr>
        <w:widowControl/>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本担保适用中华人民共和国法律，任何与本担保有关的争议均需提交贵</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所在地人民法院提起诉讼。</w:t>
      </w:r>
    </w:p>
    <w:p w14:paraId="00008D65">
      <w:pPr>
        <w:widowControl/>
        <w:spacing w:line="312"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本担保自我方负责人（或委托代理人）签字并加盖公章之日起生效。</w:t>
      </w:r>
    </w:p>
    <w:p w14:paraId="350D611B">
      <w:pPr>
        <w:widowControl/>
        <w:autoSpaceDE/>
        <w:autoSpaceDN/>
        <w:adjustRightInd w:val="0"/>
        <w:snapToGrid w:val="0"/>
        <w:spacing w:line="312" w:lineRule="auto"/>
        <w:jc w:val="left"/>
        <w:rPr>
          <w:rFonts w:hint="eastAsia" w:ascii="宋体" w:hAnsi="宋体" w:eastAsia="宋体" w:cs="宋体"/>
          <w:color w:val="auto"/>
          <w:kern w:val="0"/>
          <w:sz w:val="24"/>
          <w:szCs w:val="24"/>
          <w:highlight w:val="none"/>
        </w:rPr>
      </w:pPr>
    </w:p>
    <w:p w14:paraId="09A6106D">
      <w:pPr>
        <w:widowControl/>
        <w:autoSpaceDE/>
        <w:autoSpaceDN/>
        <w:adjustRightInd w:val="0"/>
        <w:snapToGrid w:val="0"/>
        <w:spacing w:line="312" w:lineRule="auto"/>
        <w:ind w:firstLine="4418" w:firstLineChars="184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保证人：（盖章）</w:t>
      </w:r>
    </w:p>
    <w:p w14:paraId="0E98B02D">
      <w:pPr>
        <w:widowControl/>
        <w:autoSpaceDE/>
        <w:autoSpaceDN/>
        <w:adjustRightInd w:val="0"/>
        <w:snapToGrid w:val="0"/>
        <w:spacing w:line="312" w:lineRule="auto"/>
        <w:ind w:firstLine="4271" w:firstLineChars="1841"/>
        <w:jc w:val="left"/>
        <w:rPr>
          <w:rFonts w:hint="eastAsia" w:ascii="宋体" w:hAnsi="宋体" w:eastAsia="宋体" w:cs="宋体"/>
          <w:color w:val="auto"/>
          <w:kern w:val="0"/>
          <w:sz w:val="24"/>
          <w:szCs w:val="24"/>
          <w:highlight w:val="none"/>
        </w:rPr>
      </w:pPr>
      <w:r>
        <w:rPr>
          <w:rFonts w:hint="eastAsia" w:ascii="宋体" w:hAnsi="宋体" w:eastAsia="宋体" w:cs="宋体"/>
          <w:color w:val="auto"/>
          <w:spacing w:val="-4"/>
          <w:kern w:val="0"/>
          <w:sz w:val="24"/>
          <w:szCs w:val="24"/>
          <w:highlight w:val="none"/>
        </w:rPr>
        <w:t>负责人</w:t>
      </w:r>
      <w:r>
        <w:rPr>
          <w:rFonts w:hint="eastAsia" w:ascii="宋体" w:hAnsi="宋体" w:eastAsia="宋体" w:cs="宋体"/>
          <w:color w:val="auto"/>
          <w:kern w:val="0"/>
          <w:sz w:val="24"/>
          <w:szCs w:val="24"/>
          <w:highlight w:val="none"/>
        </w:rPr>
        <w:t>（或委托代理人）：</w:t>
      </w:r>
    </w:p>
    <w:p w14:paraId="6F79BB02">
      <w:pPr>
        <w:widowControl/>
        <w:autoSpaceDE/>
        <w:autoSpaceDN/>
        <w:adjustRightInd w:val="0"/>
        <w:snapToGrid w:val="0"/>
        <w:spacing w:line="312" w:lineRule="auto"/>
        <w:ind w:firstLine="4418" w:firstLineChars="184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7FBFC5EC">
      <w:pPr>
        <w:widowControl/>
        <w:autoSpaceDE/>
        <w:autoSpaceDN/>
        <w:adjustRightInd w:val="0"/>
        <w:snapToGrid w:val="0"/>
        <w:spacing w:line="312" w:lineRule="auto"/>
        <w:ind w:firstLine="4418" w:firstLineChars="184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p w14:paraId="48266232">
      <w:pPr>
        <w:widowControl/>
        <w:autoSpaceDE/>
        <w:autoSpaceDN/>
        <w:adjustRightInd w:val="0"/>
        <w:snapToGrid w:val="0"/>
        <w:spacing w:line="312" w:lineRule="auto"/>
        <w:ind w:firstLine="4418" w:firstLineChars="184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p w14:paraId="3FE067F4">
      <w:pPr>
        <w:widowControl/>
        <w:autoSpaceDE/>
        <w:autoSpaceDN/>
        <w:adjustRightInd w:val="0"/>
        <w:snapToGrid w:val="0"/>
        <w:spacing w:line="312" w:lineRule="auto"/>
        <w:ind w:firstLine="4418" w:firstLineChars="184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rPr>
        <w:t>日</w:t>
      </w:r>
    </w:p>
    <w:p w14:paraId="528F4B93">
      <w:pPr>
        <w:adjustRightInd w:val="0"/>
        <w:snapToGri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color w:val="auto"/>
          <w:sz w:val="30"/>
          <w:szCs w:val="30"/>
          <w:highlight w:val="none"/>
        </w:rPr>
        <w:t>承诺书</w:t>
      </w:r>
    </w:p>
    <w:p w14:paraId="3C8DEFE4">
      <w:pPr>
        <w:autoSpaceDE/>
        <w:autoSpaceDN/>
        <w:adjustRightInd w:val="0"/>
        <w:snapToGrid w:val="0"/>
        <w:spacing w:line="360" w:lineRule="auto"/>
        <w:ind w:left="0" w:leftChars="0" w:firstLine="0" w:firstLineChars="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bidi="ar-SA"/>
        </w:rPr>
        <w:t>广州市穗云自来水有限公司</w:t>
      </w:r>
      <w:r>
        <w:rPr>
          <w:rFonts w:hint="eastAsia" w:ascii="宋体" w:hAnsi="宋体" w:eastAsia="宋体" w:cs="宋体"/>
          <w:color w:val="auto"/>
          <w:sz w:val="24"/>
          <w:szCs w:val="24"/>
          <w:highlight w:val="none"/>
          <w:u w:val="single"/>
          <w:lang w:val="en-US" w:eastAsia="zh-CN"/>
        </w:rPr>
        <w:t>：</w:t>
      </w:r>
    </w:p>
    <w:p w14:paraId="4CC388B9">
      <w:pPr>
        <w:autoSpaceDE/>
        <w:autoSpaceDN/>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我司已于20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日向贵</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提交了</w:t>
      </w:r>
      <w:r>
        <w:rPr>
          <w:rFonts w:hint="eastAsia" w:ascii="宋体" w:hAnsi="宋体" w:eastAsia="宋体" w:cs="宋体"/>
          <w:color w:val="auto"/>
          <w:spacing w:val="4"/>
          <w:kern w:val="0"/>
          <w:sz w:val="24"/>
          <w:szCs w:val="24"/>
          <w:highlight w:val="none"/>
          <w:u w:val="single"/>
          <w:lang w:eastAsia="zh-CN"/>
        </w:rPr>
        <w:t>穗云水厂常规工艺增容工程</w:t>
      </w:r>
      <w:r>
        <w:rPr>
          <w:rFonts w:hint="eastAsia" w:ascii="宋体" w:hAnsi="宋体" w:eastAsia="宋体" w:cs="宋体"/>
          <w:color w:val="auto"/>
          <w:spacing w:val="4"/>
          <w:kern w:val="0"/>
          <w:sz w:val="24"/>
          <w:szCs w:val="24"/>
          <w:highlight w:val="none"/>
          <w:u w:val="single"/>
        </w:rPr>
        <w:t>造价咨询服务</w:t>
      </w:r>
      <w:r>
        <w:rPr>
          <w:rFonts w:hint="eastAsia" w:ascii="宋体" w:hAnsi="宋体" w:eastAsia="宋体" w:cs="宋体"/>
          <w:color w:val="auto"/>
          <w:sz w:val="24"/>
          <w:szCs w:val="24"/>
          <w:highlight w:val="none"/>
        </w:rPr>
        <w:t>项目的履约担保，履约担保最长有效期至20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7178C93E">
      <w:pPr>
        <w:autoSpaceDE/>
        <w:autoSpaceDN/>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如在履约担保最长有效期届满时</w:t>
      </w:r>
      <w:r>
        <w:rPr>
          <w:rFonts w:hint="eastAsia" w:ascii="宋体" w:hAnsi="宋体" w:eastAsia="宋体" w:cs="宋体"/>
          <w:color w:val="auto"/>
          <w:spacing w:val="4"/>
          <w:kern w:val="0"/>
          <w:sz w:val="24"/>
          <w:szCs w:val="24"/>
          <w:highlight w:val="none"/>
          <w:u w:val="single"/>
          <w:lang w:eastAsia="zh-CN"/>
        </w:rPr>
        <w:t>穗云水厂常规工艺增容工程</w:t>
      </w:r>
      <w:r>
        <w:rPr>
          <w:rFonts w:hint="eastAsia" w:ascii="宋体" w:hAnsi="宋体" w:eastAsia="宋体" w:cs="宋体"/>
          <w:color w:val="auto"/>
          <w:spacing w:val="4"/>
          <w:kern w:val="0"/>
          <w:sz w:val="24"/>
          <w:szCs w:val="24"/>
          <w:highlight w:val="none"/>
          <w:u w:val="single"/>
        </w:rPr>
        <w:t>造价咨询服务</w:t>
      </w:r>
      <w:r>
        <w:rPr>
          <w:rFonts w:hint="eastAsia" w:ascii="宋体" w:hAnsi="宋体" w:eastAsia="宋体" w:cs="宋体"/>
          <w:color w:val="auto"/>
          <w:sz w:val="24"/>
          <w:szCs w:val="24"/>
          <w:highlight w:val="none"/>
        </w:rPr>
        <w:t>合同约定项目</w:t>
      </w:r>
      <w:r>
        <w:rPr>
          <w:rFonts w:hint="eastAsia" w:ascii="宋体" w:hAnsi="宋体" w:eastAsia="宋体" w:cs="宋体"/>
          <w:color w:val="auto"/>
          <w:spacing w:val="4"/>
          <w:sz w:val="24"/>
          <w:szCs w:val="24"/>
          <w:highlight w:val="none"/>
        </w:rPr>
        <w:t>未完成</w:t>
      </w:r>
      <w:r>
        <w:rPr>
          <w:rFonts w:hint="eastAsia" w:ascii="宋体" w:hAnsi="宋体" w:eastAsia="宋体" w:cs="宋体"/>
          <w:color w:val="auto"/>
          <w:kern w:val="0"/>
          <w:sz w:val="24"/>
          <w:szCs w:val="24"/>
          <w:highlight w:val="none"/>
        </w:rPr>
        <w:t>结算定审</w:t>
      </w:r>
      <w:r>
        <w:rPr>
          <w:rFonts w:hint="eastAsia" w:ascii="宋体" w:hAnsi="宋体" w:eastAsia="宋体" w:cs="宋体"/>
          <w:color w:val="auto"/>
          <w:spacing w:val="4"/>
          <w:sz w:val="24"/>
          <w:szCs w:val="24"/>
          <w:highlight w:val="none"/>
        </w:rPr>
        <w:t>的</w:t>
      </w:r>
      <w:r>
        <w:rPr>
          <w:rFonts w:hint="eastAsia" w:ascii="宋体" w:hAnsi="宋体" w:eastAsia="宋体" w:cs="宋体"/>
          <w:color w:val="auto"/>
          <w:sz w:val="24"/>
          <w:szCs w:val="24"/>
          <w:highlight w:val="none"/>
        </w:rPr>
        <w:t>，我司将在履约担保最长有效期届满十天前按原履约担保格式提交新的履约担保，否则，贵</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有权暂停支付余下的合同价款，直至我司提交新的履约担保或完成</w:t>
      </w:r>
      <w:r>
        <w:rPr>
          <w:rFonts w:hint="eastAsia" w:ascii="宋体" w:hAnsi="宋体" w:eastAsia="宋体" w:cs="宋体"/>
          <w:color w:val="auto"/>
          <w:spacing w:val="4"/>
          <w:kern w:val="0"/>
          <w:sz w:val="24"/>
          <w:szCs w:val="24"/>
          <w:highlight w:val="none"/>
          <w:u w:val="single"/>
          <w:lang w:eastAsia="zh-CN"/>
        </w:rPr>
        <w:t>穗云水厂常规工艺增容工程</w:t>
      </w:r>
      <w:r>
        <w:rPr>
          <w:rFonts w:hint="eastAsia" w:ascii="宋体" w:hAnsi="宋体" w:eastAsia="宋体" w:cs="宋体"/>
          <w:color w:val="auto"/>
          <w:spacing w:val="4"/>
          <w:kern w:val="0"/>
          <w:sz w:val="24"/>
          <w:szCs w:val="24"/>
          <w:highlight w:val="none"/>
          <w:u w:val="single"/>
        </w:rPr>
        <w:t>造价咨询服务</w:t>
      </w:r>
      <w:r>
        <w:rPr>
          <w:rFonts w:hint="eastAsia" w:ascii="宋体" w:hAnsi="宋体" w:eastAsia="宋体" w:cs="宋体"/>
          <w:color w:val="auto"/>
          <w:sz w:val="24"/>
          <w:szCs w:val="24"/>
          <w:highlight w:val="none"/>
        </w:rPr>
        <w:t>合同约定项目</w:t>
      </w:r>
      <w:r>
        <w:rPr>
          <w:rFonts w:hint="eastAsia" w:ascii="宋体" w:hAnsi="宋体" w:eastAsia="宋体" w:cs="宋体"/>
          <w:color w:val="auto"/>
          <w:kern w:val="0"/>
          <w:sz w:val="24"/>
          <w:szCs w:val="24"/>
          <w:highlight w:val="none"/>
        </w:rPr>
        <w:t>结算定审</w:t>
      </w:r>
      <w:r>
        <w:rPr>
          <w:rFonts w:hint="eastAsia" w:ascii="宋体" w:hAnsi="宋体" w:eastAsia="宋体" w:cs="宋体"/>
          <w:color w:val="auto"/>
          <w:sz w:val="24"/>
          <w:szCs w:val="24"/>
          <w:highlight w:val="none"/>
        </w:rPr>
        <w:t>。</w:t>
      </w:r>
    </w:p>
    <w:p w14:paraId="6E9720B7">
      <w:pPr>
        <w:autoSpaceDE/>
        <w:autoSpaceDN/>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1EAE449">
      <w:pPr>
        <w:autoSpaceDE/>
        <w:autoSpaceDN/>
        <w:adjustRightInd w:val="0"/>
        <w:snapToGrid w:val="0"/>
        <w:spacing w:line="360" w:lineRule="auto"/>
        <w:ind w:firstLine="480" w:firstLineChars="200"/>
        <w:rPr>
          <w:rFonts w:hint="eastAsia" w:ascii="宋体" w:hAnsi="宋体" w:eastAsia="宋体" w:cs="宋体"/>
          <w:color w:val="auto"/>
          <w:sz w:val="24"/>
          <w:szCs w:val="24"/>
          <w:highlight w:val="none"/>
        </w:rPr>
      </w:pPr>
    </w:p>
    <w:p w14:paraId="147D05E3">
      <w:pPr>
        <w:wordWrap w:val="0"/>
        <w:autoSpaceDE/>
        <w:autoSpaceDN/>
        <w:adjustRightInd w:val="0"/>
        <w:snapToGrid w:val="0"/>
        <w:spacing w:line="360" w:lineRule="auto"/>
        <w:ind w:firstLine="482" w:firstLineChars="200"/>
        <w:jc w:val="both"/>
        <w:outlineLvl w:val="9"/>
        <w:rPr>
          <w:rFonts w:hint="eastAsia" w:ascii="宋体" w:hAnsi="宋体" w:eastAsia="宋体" w:cs="宋体"/>
          <w:b/>
          <w:color w:val="auto"/>
          <w:sz w:val="24"/>
          <w:szCs w:val="24"/>
          <w:highlight w:val="none"/>
        </w:rPr>
      </w:pPr>
    </w:p>
    <w:p w14:paraId="37D2A708">
      <w:pPr>
        <w:autoSpaceDE/>
        <w:autoSpaceDN/>
        <w:adjustRightInd w:val="0"/>
        <w:snapToGrid w:val="0"/>
        <w:spacing w:line="360" w:lineRule="auto"/>
        <w:ind w:right="480" w:firstLine="5301" w:firstLineChars="2200"/>
        <w:outlineLvl w:val="9"/>
        <w:rPr>
          <w:rFonts w:hint="eastAsia" w:ascii="宋体" w:hAnsi="宋体" w:eastAsia="宋体" w:cs="宋体"/>
          <w:b/>
          <w:color w:val="auto"/>
          <w:sz w:val="24"/>
          <w:szCs w:val="24"/>
          <w:highlight w:val="none"/>
        </w:rPr>
      </w:pPr>
      <w:bookmarkStart w:id="318" w:name="_Toc3065"/>
      <w:r>
        <w:rPr>
          <w:rFonts w:hint="eastAsia" w:ascii="宋体" w:hAnsi="宋体" w:eastAsia="宋体" w:cs="宋体"/>
          <w:b/>
          <w:color w:val="auto"/>
          <w:sz w:val="24"/>
          <w:szCs w:val="24"/>
          <w:highlight w:val="none"/>
        </w:rPr>
        <w:t>承诺人：</w:t>
      </w:r>
      <w:bookmarkEnd w:id="318"/>
      <w:r>
        <w:rPr>
          <w:rFonts w:hint="eastAsia" w:ascii="宋体" w:hAnsi="宋体" w:eastAsia="宋体" w:cs="宋体"/>
          <w:b/>
          <w:color w:val="auto"/>
          <w:sz w:val="24"/>
          <w:szCs w:val="24"/>
          <w:highlight w:val="none"/>
        </w:rPr>
        <w:t xml:space="preserve"> </w:t>
      </w:r>
    </w:p>
    <w:p w14:paraId="56A16E1F">
      <w:pPr>
        <w:autoSpaceDE/>
        <w:autoSpaceDN/>
        <w:adjustRightInd w:val="0"/>
        <w:snapToGrid w:val="0"/>
        <w:spacing w:line="360" w:lineRule="auto"/>
        <w:ind w:left="0" w:leftChars="0" w:right="480" w:firstLine="6720" w:firstLineChars="2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14:paraId="2AB3A070">
      <w:pPr>
        <w:autoSpaceDE/>
        <w:autoSpaceDN/>
        <w:adjustRightInd w:val="0"/>
        <w:snapToGrid w:val="0"/>
        <w:spacing w:line="360" w:lineRule="auto"/>
        <w:ind w:right="480" w:firstLine="5301" w:firstLineChars="2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p>
    <w:p w14:paraId="721AC482">
      <w:pPr>
        <w:pStyle w:val="16"/>
        <w:widowControl w:val="0"/>
        <w:adjustRightInd w:val="0"/>
        <w:snapToGrid w:val="0"/>
        <w:spacing w:beforeAutospacing="0" w:afterAutospacing="0" w:line="360" w:lineRule="auto"/>
        <w:ind w:firstLine="480" w:firstLineChars="200"/>
        <w:jc w:val="both"/>
        <w:rPr>
          <w:rFonts w:hint="eastAsia" w:cs="宋体"/>
          <w:color w:val="auto"/>
          <w:kern w:val="2"/>
          <w:sz w:val="24"/>
          <w:szCs w:val="24"/>
          <w:highlight w:val="none"/>
        </w:rPr>
      </w:pPr>
    </w:p>
    <w:p w14:paraId="07E01ACA">
      <w:pPr>
        <w:autoSpaceDE/>
        <w:autoSpaceDN/>
        <w:adjustRightInd w:val="0"/>
        <w:snapToGrid w:val="0"/>
        <w:spacing w:line="360" w:lineRule="auto"/>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rPr>
        <w:t>日</w:t>
      </w:r>
    </w:p>
    <w:p w14:paraId="1C117CAC">
      <w:pPr>
        <w:widowControl/>
        <w:autoSpaceDE w:val="0"/>
        <w:autoSpaceDN w:val="0"/>
        <w:adjustRightInd w:val="0"/>
        <w:snapToGrid w:val="0"/>
        <w:spacing w:line="360" w:lineRule="exact"/>
        <w:jc w:val="left"/>
        <w:rPr>
          <w:rFonts w:hint="eastAsia" w:ascii="宋体" w:hAnsi="宋体" w:eastAsia="宋体" w:cs="宋体"/>
          <w:color w:val="auto"/>
          <w:szCs w:val="21"/>
          <w:highlight w:val="none"/>
        </w:rPr>
      </w:pPr>
    </w:p>
    <w:p w14:paraId="4382F543">
      <w:pPr>
        <w:widowControl/>
        <w:spacing w:line="360" w:lineRule="auto"/>
        <w:contextualSpacing/>
        <w:jc w:val="left"/>
        <w:outlineLvl w:val="0"/>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rPr>
        <w:br w:type="page"/>
      </w:r>
      <w:bookmarkStart w:id="319" w:name="_Toc979"/>
      <w:bookmarkStart w:id="320" w:name="_Toc12945"/>
      <w:bookmarkStart w:id="321" w:name="_Toc19627"/>
      <w:bookmarkStart w:id="322" w:name="_Toc26835"/>
      <w:bookmarkStart w:id="323" w:name="_Toc14466"/>
      <w:bookmarkStart w:id="324" w:name="_Toc11527"/>
      <w:bookmarkStart w:id="325" w:name="_Toc15388"/>
      <w:bookmarkStart w:id="326" w:name="_Toc1074"/>
      <w:bookmarkStart w:id="327" w:name="_Toc7518"/>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bookmarkEnd w:id="319"/>
      <w:r>
        <w:rPr>
          <w:rFonts w:hint="eastAsia" w:ascii="宋体" w:hAnsi="宋体" w:eastAsia="宋体" w:cs="宋体"/>
          <w:b/>
          <w:bCs/>
          <w:color w:val="auto"/>
          <w:sz w:val="24"/>
          <w:szCs w:val="24"/>
          <w:highlight w:val="none"/>
          <w:lang w:val="en-US" w:eastAsia="zh-CN"/>
        </w:rPr>
        <w:t>拟投入本项目造价人员一览表</w:t>
      </w:r>
      <w:bookmarkEnd w:id="320"/>
      <w:bookmarkEnd w:id="321"/>
      <w:bookmarkEnd w:id="322"/>
      <w:bookmarkEnd w:id="323"/>
      <w:bookmarkEnd w:id="324"/>
      <w:bookmarkEnd w:id="325"/>
      <w:bookmarkEnd w:id="326"/>
      <w:bookmarkEnd w:id="327"/>
    </w:p>
    <w:p w14:paraId="440E9117">
      <w:pPr>
        <w:widowControl/>
        <w:adjustRightInd w:val="0"/>
        <w:snapToGrid w:val="0"/>
        <w:spacing w:line="360" w:lineRule="auto"/>
        <w:jc w:val="both"/>
        <w:rPr>
          <w:rFonts w:hint="eastAsia" w:ascii="宋体" w:hAnsi="宋体" w:eastAsia="宋体" w:cs="宋体"/>
          <w:b/>
          <w:color w:val="auto"/>
          <w:kern w:val="0"/>
          <w:sz w:val="32"/>
          <w:szCs w:val="32"/>
          <w:highlight w:val="none"/>
          <w:lang w:eastAsia="zh-CN"/>
        </w:rPr>
      </w:pPr>
    </w:p>
    <w:p w14:paraId="75E97F6F">
      <w:pPr>
        <w:pStyle w:val="2"/>
        <w:ind w:left="0" w:leftChars="0" w:firstLine="0" w:firstLineChars="0"/>
        <w:rPr>
          <w:rFonts w:hint="eastAsia" w:ascii="宋体" w:hAnsi="宋体" w:eastAsia="宋体" w:cs="宋体"/>
          <w:color w:val="auto"/>
          <w:kern w:val="0"/>
          <w:sz w:val="24"/>
          <w:szCs w:val="24"/>
          <w:highlight w:val="none"/>
          <w:lang w:eastAsia="zh-CN"/>
        </w:rPr>
      </w:pPr>
    </w:p>
    <w:p w14:paraId="79C6ADDB">
      <w:pPr>
        <w:pStyle w:val="2"/>
        <w:rPr>
          <w:rFonts w:hint="eastAsia" w:ascii="宋体" w:hAnsi="宋体" w:eastAsia="宋体" w:cs="宋体"/>
          <w:color w:val="auto"/>
          <w:kern w:val="0"/>
          <w:sz w:val="24"/>
          <w:szCs w:val="24"/>
          <w:highlight w:val="none"/>
        </w:rPr>
      </w:pPr>
    </w:p>
    <w:p w14:paraId="43323D93">
      <w:pPr>
        <w:pStyle w:val="2"/>
        <w:ind w:left="0" w:leftChars="0" w:firstLine="0" w:firstLineChars="0"/>
        <w:jc w:val="both"/>
        <w:rPr>
          <w:rFonts w:hint="eastAsia" w:ascii="宋体" w:hAnsi="宋体" w:eastAsia="宋体" w:cs="宋体"/>
          <w:color w:val="auto"/>
          <w:kern w:val="0"/>
          <w:sz w:val="24"/>
          <w:szCs w:val="24"/>
          <w:highlight w:val="none"/>
          <w:lang w:eastAsia="zh-CN"/>
        </w:rPr>
      </w:pPr>
    </w:p>
    <w:p w14:paraId="5462B333">
      <w:pPr>
        <w:pStyle w:val="2"/>
        <w:ind w:left="0" w:leftChars="0" w:firstLine="0" w:firstLineChars="0"/>
        <w:jc w:val="both"/>
        <w:rPr>
          <w:rFonts w:hint="eastAsia" w:ascii="宋体" w:hAnsi="宋体" w:eastAsia="宋体" w:cs="宋体"/>
          <w:color w:val="auto"/>
          <w:kern w:val="0"/>
          <w:sz w:val="24"/>
          <w:szCs w:val="24"/>
          <w:highlight w:val="none"/>
          <w:lang w:eastAsia="zh-CN"/>
        </w:rPr>
      </w:pPr>
    </w:p>
    <w:p w14:paraId="595320F1">
      <w:pPr>
        <w:pStyle w:val="2"/>
        <w:rPr>
          <w:rFonts w:hint="eastAsia" w:ascii="宋体" w:hAnsi="宋体" w:eastAsia="宋体" w:cs="宋体"/>
          <w:color w:val="auto"/>
          <w:kern w:val="0"/>
          <w:sz w:val="24"/>
          <w:szCs w:val="24"/>
          <w:highlight w:val="none"/>
          <w:lang w:eastAsia="zh-CN"/>
        </w:rPr>
      </w:pPr>
    </w:p>
    <w:p w14:paraId="31B7C4EC">
      <w:pPr>
        <w:outlineLvl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br w:type="page"/>
      </w:r>
      <w:bookmarkStart w:id="328" w:name="_Toc24566"/>
      <w:bookmarkStart w:id="329" w:name="_Toc15441"/>
      <w:bookmarkStart w:id="330" w:name="_Toc10633"/>
      <w:bookmarkStart w:id="331" w:name="_Toc10767"/>
      <w:bookmarkStart w:id="332" w:name="_Toc4334"/>
      <w:bookmarkStart w:id="333" w:name="_Toc17471"/>
      <w:bookmarkStart w:id="334" w:name="_Toc27621"/>
      <w:bookmarkStart w:id="335" w:name="_Toc31002"/>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：投标函及投标函附录</w:t>
      </w:r>
      <w:bookmarkEnd w:id="328"/>
      <w:bookmarkEnd w:id="329"/>
      <w:bookmarkEnd w:id="330"/>
      <w:bookmarkEnd w:id="331"/>
      <w:bookmarkEnd w:id="332"/>
      <w:bookmarkEnd w:id="333"/>
      <w:bookmarkEnd w:id="334"/>
      <w:bookmarkEnd w:id="335"/>
    </w:p>
    <w:p w14:paraId="03A08AAD">
      <w:pPr>
        <w:widowControl/>
        <w:spacing w:line="360" w:lineRule="auto"/>
        <w:contextualSpacing/>
        <w:jc w:val="left"/>
        <w:rPr>
          <w:rFonts w:hint="eastAsia" w:ascii="宋体" w:hAnsi="宋体" w:eastAsia="宋体" w:cs="宋体"/>
          <w:color w:val="auto"/>
          <w:kern w:val="0"/>
          <w:sz w:val="24"/>
          <w:szCs w:val="24"/>
          <w:highlight w:val="none"/>
          <w:lang w:eastAsia="zh-CN"/>
        </w:rPr>
      </w:pPr>
    </w:p>
    <w:p w14:paraId="1D20F765">
      <w:pPr>
        <w:pStyle w:val="10"/>
        <w:rPr>
          <w:rFonts w:hint="eastAsia" w:ascii="宋体" w:hAnsi="宋体" w:eastAsia="宋体" w:cs="宋体"/>
          <w:color w:val="auto"/>
          <w:kern w:val="0"/>
          <w:sz w:val="24"/>
          <w:szCs w:val="24"/>
          <w:highlight w:val="none"/>
          <w:lang w:eastAsia="zh-CN"/>
        </w:rPr>
      </w:pPr>
    </w:p>
    <w:p w14:paraId="3411A184">
      <w:pPr>
        <w:rPr>
          <w:rFonts w:hint="eastAsia" w:ascii="宋体" w:hAnsi="宋体" w:eastAsia="宋体" w:cs="宋体"/>
          <w:color w:val="auto"/>
          <w:kern w:val="0"/>
          <w:sz w:val="24"/>
          <w:szCs w:val="24"/>
          <w:highlight w:val="none"/>
          <w:lang w:eastAsia="zh-CN"/>
        </w:rPr>
      </w:pPr>
    </w:p>
    <w:p w14:paraId="728B6B49">
      <w:pPr>
        <w:pStyle w:val="10"/>
        <w:rPr>
          <w:rFonts w:hint="eastAsia" w:ascii="宋体" w:hAnsi="宋体" w:eastAsia="宋体" w:cs="宋体"/>
          <w:color w:val="auto"/>
          <w:kern w:val="0"/>
          <w:sz w:val="24"/>
          <w:szCs w:val="24"/>
          <w:highlight w:val="none"/>
          <w:lang w:eastAsia="zh-CN"/>
        </w:rPr>
      </w:pPr>
    </w:p>
    <w:p w14:paraId="0F7F6C90">
      <w:pPr>
        <w:rPr>
          <w:rFonts w:hint="eastAsia" w:ascii="宋体" w:hAnsi="宋体" w:eastAsia="宋体" w:cs="宋体"/>
          <w:color w:val="auto"/>
          <w:kern w:val="0"/>
          <w:sz w:val="24"/>
          <w:szCs w:val="24"/>
          <w:highlight w:val="none"/>
          <w:lang w:eastAsia="zh-CN"/>
        </w:rPr>
      </w:pPr>
    </w:p>
    <w:p w14:paraId="35DD3AF9">
      <w:pPr>
        <w:pStyle w:val="10"/>
        <w:rPr>
          <w:rFonts w:hint="eastAsia" w:ascii="宋体" w:hAnsi="宋体" w:eastAsia="宋体" w:cs="宋体"/>
          <w:color w:val="auto"/>
          <w:kern w:val="0"/>
          <w:sz w:val="24"/>
          <w:szCs w:val="24"/>
          <w:highlight w:val="none"/>
          <w:lang w:eastAsia="zh-CN"/>
        </w:rPr>
      </w:pPr>
    </w:p>
    <w:p w14:paraId="6A1A3AEF">
      <w:pPr>
        <w:rPr>
          <w:rFonts w:hint="eastAsia" w:ascii="宋体" w:hAnsi="宋体" w:eastAsia="宋体" w:cs="宋体"/>
          <w:color w:val="auto"/>
          <w:kern w:val="0"/>
          <w:sz w:val="24"/>
          <w:szCs w:val="24"/>
          <w:highlight w:val="none"/>
          <w:lang w:eastAsia="zh-CN"/>
        </w:rPr>
      </w:pPr>
    </w:p>
    <w:p w14:paraId="5C4D2A2E">
      <w:pPr>
        <w:pStyle w:val="10"/>
        <w:rPr>
          <w:rFonts w:hint="eastAsia" w:ascii="宋体" w:hAnsi="宋体" w:eastAsia="宋体" w:cs="宋体"/>
          <w:color w:val="auto"/>
          <w:kern w:val="0"/>
          <w:sz w:val="24"/>
          <w:szCs w:val="24"/>
          <w:highlight w:val="none"/>
          <w:lang w:eastAsia="zh-CN"/>
        </w:rPr>
      </w:pPr>
    </w:p>
    <w:p w14:paraId="4DC41FEC">
      <w:pPr>
        <w:jc w:val="both"/>
        <w:rPr>
          <w:rFonts w:hint="eastAsia"/>
          <w:color w:val="auto"/>
          <w:highlight w:val="none"/>
          <w:lang w:eastAsia="zh-CN"/>
        </w:rPr>
      </w:pPr>
    </w:p>
    <w:p w14:paraId="25373059">
      <w:pPr>
        <w:widowControl/>
        <w:spacing w:line="360" w:lineRule="auto"/>
        <w:contextualSpacing/>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336" w:name="_Toc19055"/>
      <w:bookmarkStart w:id="337" w:name="_Toc16062"/>
      <w:bookmarkStart w:id="338" w:name="_Toc6424"/>
      <w:bookmarkStart w:id="339" w:name="_Toc16791"/>
      <w:bookmarkStart w:id="340" w:name="_Toc11969"/>
      <w:bookmarkStart w:id="341" w:name="_Toc24707"/>
      <w:bookmarkStart w:id="342" w:name="_Toc5492"/>
      <w:bookmarkStart w:id="343" w:name="_Toc2543"/>
      <w:bookmarkStart w:id="344" w:name="_Toc1646"/>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bookmarkEnd w:id="336"/>
      <w:bookmarkEnd w:id="337"/>
      <w:bookmarkEnd w:id="338"/>
      <w:bookmarkEnd w:id="339"/>
      <w:bookmarkEnd w:id="340"/>
      <w:bookmarkEnd w:id="341"/>
      <w:bookmarkEnd w:id="342"/>
      <w:bookmarkEnd w:id="343"/>
      <w:bookmarkEnd w:id="344"/>
      <w:bookmarkStart w:id="345" w:name="_Toc3214"/>
      <w:bookmarkStart w:id="346" w:name="_Toc30433"/>
      <w:bookmarkStart w:id="347" w:name="_Toc13300"/>
      <w:bookmarkStart w:id="348" w:name="_Toc3598"/>
      <w:bookmarkStart w:id="349" w:name="_Toc26473"/>
      <w:bookmarkStart w:id="350" w:name="_Toc16069"/>
      <w:bookmarkStart w:id="351" w:name="_Toc30197"/>
      <w:bookmarkStart w:id="352" w:name="_Toc21242"/>
      <w:r>
        <w:rPr>
          <w:rFonts w:hint="eastAsia" w:ascii="宋体" w:hAnsi="宋体" w:eastAsia="宋体" w:cs="宋体"/>
          <w:b/>
          <w:bCs/>
          <w:color w:val="auto"/>
          <w:sz w:val="24"/>
          <w:szCs w:val="24"/>
          <w:highlight w:val="none"/>
        </w:rPr>
        <w:t>乙方营业执照</w:t>
      </w:r>
      <w:bookmarkEnd w:id="345"/>
      <w:bookmarkEnd w:id="346"/>
      <w:bookmarkEnd w:id="347"/>
      <w:bookmarkEnd w:id="348"/>
      <w:bookmarkEnd w:id="349"/>
      <w:bookmarkEnd w:id="350"/>
      <w:bookmarkEnd w:id="351"/>
      <w:bookmarkEnd w:id="352"/>
    </w:p>
    <w:p w14:paraId="79593D81">
      <w:pPr>
        <w:pStyle w:val="22"/>
        <w:rPr>
          <w:rFonts w:hint="eastAsia" w:ascii="宋体" w:hAnsi="宋体" w:eastAsia="宋体" w:cs="宋体"/>
          <w:color w:val="auto"/>
          <w:sz w:val="24"/>
          <w:szCs w:val="24"/>
          <w:highlight w:val="none"/>
        </w:rPr>
      </w:pPr>
    </w:p>
    <w:p w14:paraId="677FA8BC">
      <w:pPr>
        <w:rPr>
          <w:rFonts w:hint="eastAsia" w:ascii="宋体" w:hAnsi="宋体" w:eastAsia="宋体" w:cs="宋体"/>
          <w:color w:val="auto"/>
          <w:highlight w:val="none"/>
        </w:rPr>
      </w:pPr>
    </w:p>
    <w:sectPr>
      <w:pgSz w:w="11906" w:h="16838"/>
      <w:pgMar w:top="1417" w:right="1800" w:bottom="141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DB8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34C30D">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B34C30D">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0A7B">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2E76B1">
                          <w:pPr>
                            <w:pStyle w:val="11"/>
                            <w:rPr>
                              <w:rFonts w:hint="default" w:eastAsiaTheme="minorEastAsia"/>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62E76B1">
                    <w:pPr>
                      <w:pStyle w:val="11"/>
                      <w:rPr>
                        <w:rFonts w:hint="default" w:eastAsiaTheme="minorEastAsia"/>
                        <w:lang w:val="en-US" w:eastAsia="zh-CN"/>
                      </w:rPr>
                    </w:pP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22983"/>
    <w:multiLevelType w:val="multilevel"/>
    <w:tmpl w:val="98122983"/>
    <w:lvl w:ilvl="0" w:tentative="0">
      <w:start w:val="1"/>
      <w:numFmt w:val="decimal"/>
      <w:suff w:val="nothing"/>
      <w:lvlText w:val="（%1）"/>
      <w:lvlJc w:val="left"/>
      <w:pPr>
        <w:ind w:left="510" w:leftChars="0" w:hanging="51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9EF4478"/>
    <w:multiLevelType w:val="multilevel"/>
    <w:tmpl w:val="D9EF4478"/>
    <w:lvl w:ilvl="0" w:tentative="0">
      <w:start w:val="1"/>
      <w:numFmt w:val="decimal"/>
      <w:suff w:val="nothing"/>
      <w:lvlText w:val="（%1）"/>
      <w:lvlJc w:val="left"/>
      <w:pPr>
        <w:ind w:left="510" w:leftChars="0" w:hanging="51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9374009"/>
    <w:multiLevelType w:val="multilevel"/>
    <w:tmpl w:val="E9374009"/>
    <w:lvl w:ilvl="0" w:tentative="0">
      <w:start w:val="1"/>
      <w:numFmt w:val="decimal"/>
      <w:suff w:val="nothing"/>
      <w:lvlText w:val="（%1）"/>
      <w:lvlJc w:val="left"/>
      <w:pPr>
        <w:ind w:left="510" w:leftChars="0" w:hanging="51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B73757"/>
    <w:multiLevelType w:val="singleLevel"/>
    <w:tmpl w:val="11B73757"/>
    <w:lvl w:ilvl="0" w:tentative="0">
      <w:start w:val="1"/>
      <w:numFmt w:val="decimal"/>
      <w:suff w:val="nothing"/>
      <w:lvlText w:val="（%1）"/>
      <w:lvlJc w:val="left"/>
      <w:pPr>
        <w:ind w:left="510" w:leftChars="0" w:hanging="510" w:firstLineChars="0"/>
      </w:pPr>
    </w:lvl>
  </w:abstractNum>
  <w:abstractNum w:abstractNumId="4">
    <w:nsid w:val="18D0239A"/>
    <w:multiLevelType w:val="multilevel"/>
    <w:tmpl w:val="18D0239A"/>
    <w:lvl w:ilvl="0" w:tentative="0">
      <w:start w:val="1"/>
      <w:numFmt w:val="decimal"/>
      <w:suff w:val="nothing"/>
      <w:lvlText w:val="（%1）"/>
      <w:lvlJc w:val="left"/>
      <w:pPr>
        <w:ind w:left="510" w:leftChars="0" w:hanging="51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C4EB3FF"/>
    <w:multiLevelType w:val="singleLevel"/>
    <w:tmpl w:val="1C4EB3FF"/>
    <w:lvl w:ilvl="0" w:tentative="0">
      <w:start w:val="1"/>
      <w:numFmt w:val="decimal"/>
      <w:suff w:val="nothing"/>
      <w:lvlText w:val="（%1）"/>
      <w:lvlJc w:val="left"/>
      <w:pPr>
        <w:ind w:left="510" w:leftChars="0" w:hanging="510" w:firstLineChars="0"/>
      </w:pPr>
    </w:lvl>
  </w:abstractNum>
  <w:abstractNum w:abstractNumId="6">
    <w:nsid w:val="47A56316"/>
    <w:multiLevelType w:val="multilevel"/>
    <w:tmpl w:val="47A56316"/>
    <w:lvl w:ilvl="0" w:tentative="0">
      <w:start w:val="1"/>
      <w:numFmt w:val="decimal"/>
      <w:suff w:val="nothing"/>
      <w:lvlText w:val="（%1）"/>
      <w:lvlJc w:val="left"/>
      <w:pPr>
        <w:ind w:left="510" w:leftChars="0" w:hanging="510" w:firstLineChars="0"/>
      </w:pPr>
      <w:rPr>
        <w:rFonts w:hint="default"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704" w:hanging="420"/>
      </w:pPr>
      <w:rPr>
        <w:rFonts w:hint="eastAsia" w:ascii="仿宋_GB2312" w:eastAsia="仿宋_GB2312"/>
        <w:b w:val="0"/>
        <w:i w:val="0"/>
        <w:sz w:val="24"/>
        <w:lang w:val="en-US"/>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5"/>
  </w:num>
  <w:num w:numId="2">
    <w:abstractNumId w:val="2"/>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NTFhNzBlMjUzOWY4NjcwYzc5YTllZWJiZThhZmUifQ=="/>
  </w:docVars>
  <w:rsids>
    <w:rsidRoot w:val="50AF2B7F"/>
    <w:rsid w:val="018E4670"/>
    <w:rsid w:val="052C74E4"/>
    <w:rsid w:val="05990531"/>
    <w:rsid w:val="08976462"/>
    <w:rsid w:val="092503E1"/>
    <w:rsid w:val="09C439BA"/>
    <w:rsid w:val="0BA876C4"/>
    <w:rsid w:val="0D3279F0"/>
    <w:rsid w:val="0DF56526"/>
    <w:rsid w:val="0F587B8C"/>
    <w:rsid w:val="10A0319D"/>
    <w:rsid w:val="116149E9"/>
    <w:rsid w:val="12336EB5"/>
    <w:rsid w:val="130E28A4"/>
    <w:rsid w:val="13685340"/>
    <w:rsid w:val="13796F9F"/>
    <w:rsid w:val="160B4B28"/>
    <w:rsid w:val="18494B6D"/>
    <w:rsid w:val="18753EA0"/>
    <w:rsid w:val="1876696A"/>
    <w:rsid w:val="199E6130"/>
    <w:rsid w:val="1A4F5CA7"/>
    <w:rsid w:val="1AAB775C"/>
    <w:rsid w:val="1AF45F20"/>
    <w:rsid w:val="1C2210DB"/>
    <w:rsid w:val="1E242326"/>
    <w:rsid w:val="1FED6A24"/>
    <w:rsid w:val="20E20286"/>
    <w:rsid w:val="20ED78A1"/>
    <w:rsid w:val="2234570D"/>
    <w:rsid w:val="22896DB2"/>
    <w:rsid w:val="22E822D1"/>
    <w:rsid w:val="23C169D0"/>
    <w:rsid w:val="24354D1F"/>
    <w:rsid w:val="25624329"/>
    <w:rsid w:val="25681EB5"/>
    <w:rsid w:val="25716489"/>
    <w:rsid w:val="25D37FC6"/>
    <w:rsid w:val="26BB32EB"/>
    <w:rsid w:val="26EA4592"/>
    <w:rsid w:val="2A2E4796"/>
    <w:rsid w:val="2A8A6B4F"/>
    <w:rsid w:val="2C125B8F"/>
    <w:rsid w:val="2C161E9A"/>
    <w:rsid w:val="2D0F191F"/>
    <w:rsid w:val="2E237E24"/>
    <w:rsid w:val="2E5208B3"/>
    <w:rsid w:val="30A32036"/>
    <w:rsid w:val="314461A7"/>
    <w:rsid w:val="34AA4282"/>
    <w:rsid w:val="358160C2"/>
    <w:rsid w:val="35F21DD1"/>
    <w:rsid w:val="35FB6949"/>
    <w:rsid w:val="3643563B"/>
    <w:rsid w:val="36AC507B"/>
    <w:rsid w:val="371D0584"/>
    <w:rsid w:val="37335AE2"/>
    <w:rsid w:val="37E46849"/>
    <w:rsid w:val="38976BDE"/>
    <w:rsid w:val="38DD7408"/>
    <w:rsid w:val="3981244A"/>
    <w:rsid w:val="39AD14FF"/>
    <w:rsid w:val="3A220ED9"/>
    <w:rsid w:val="3D9A1FDB"/>
    <w:rsid w:val="3F4F1536"/>
    <w:rsid w:val="3FD66680"/>
    <w:rsid w:val="404E5813"/>
    <w:rsid w:val="4111156D"/>
    <w:rsid w:val="443B0C0F"/>
    <w:rsid w:val="44941FB6"/>
    <w:rsid w:val="450059B8"/>
    <w:rsid w:val="452C734A"/>
    <w:rsid w:val="463D5E25"/>
    <w:rsid w:val="46807B1C"/>
    <w:rsid w:val="46BA58D8"/>
    <w:rsid w:val="4A0E0FF2"/>
    <w:rsid w:val="4AE66C9B"/>
    <w:rsid w:val="4E2339A4"/>
    <w:rsid w:val="50AF2B7F"/>
    <w:rsid w:val="525142AB"/>
    <w:rsid w:val="529575FC"/>
    <w:rsid w:val="530A6089"/>
    <w:rsid w:val="53D029CB"/>
    <w:rsid w:val="541E0907"/>
    <w:rsid w:val="57693A7A"/>
    <w:rsid w:val="5B1E26FE"/>
    <w:rsid w:val="5BFD2097"/>
    <w:rsid w:val="5CAC0394"/>
    <w:rsid w:val="5D4246F3"/>
    <w:rsid w:val="5E926EB6"/>
    <w:rsid w:val="5FF852DD"/>
    <w:rsid w:val="602D5892"/>
    <w:rsid w:val="63946C00"/>
    <w:rsid w:val="662D520A"/>
    <w:rsid w:val="66FF4134"/>
    <w:rsid w:val="672406DF"/>
    <w:rsid w:val="68B166E3"/>
    <w:rsid w:val="6B924E56"/>
    <w:rsid w:val="6D9358BB"/>
    <w:rsid w:val="6E6829CA"/>
    <w:rsid w:val="712C4B86"/>
    <w:rsid w:val="718F0F0F"/>
    <w:rsid w:val="71B40AF9"/>
    <w:rsid w:val="73085AC2"/>
    <w:rsid w:val="73647358"/>
    <w:rsid w:val="73FC65D0"/>
    <w:rsid w:val="748C1B26"/>
    <w:rsid w:val="75C6345E"/>
    <w:rsid w:val="77F2210F"/>
    <w:rsid w:val="790A7709"/>
    <w:rsid w:val="79ED2FF6"/>
    <w:rsid w:val="7D963EBC"/>
    <w:rsid w:val="7DD575A2"/>
    <w:rsid w:val="7E4F532B"/>
    <w:rsid w:val="7E671248"/>
    <w:rsid w:val="7FBB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after="120" w:line="360" w:lineRule="auto"/>
      <w:outlineLvl w:val="0"/>
    </w:pPr>
    <w:rPr>
      <w:bCs/>
      <w:kern w:val="44"/>
      <w:sz w:val="36"/>
      <w:szCs w:val="36"/>
    </w:rPr>
  </w:style>
  <w:style w:type="paragraph" w:styleId="6">
    <w:name w:val="heading 2"/>
    <w:basedOn w:val="1"/>
    <w:next w:val="1"/>
    <w:semiHidden/>
    <w:unhideWhenUsed/>
    <w:qFormat/>
    <w:uiPriority w:val="9"/>
    <w:pPr>
      <w:keepNext/>
      <w:keepLines/>
      <w:spacing w:before="260" w:after="260" w:line="410" w:lineRule="auto"/>
      <w:outlineLvl w:val="1"/>
    </w:pPr>
    <w:rPr>
      <w:rFonts w:ascii="Arial" w:hAnsi="Arial" w:eastAsia="黑体" w:cs="Times New Roman"/>
      <w:b/>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szCs w:val="22"/>
    </w:rPr>
  </w:style>
  <w:style w:type="paragraph" w:styleId="3">
    <w:name w:val="Body Text Indent"/>
    <w:basedOn w:val="1"/>
    <w:next w:val="4"/>
    <w:semiHidden/>
    <w:unhideWhenUsed/>
    <w:qFormat/>
    <w:uiPriority w:val="99"/>
    <w:pPr>
      <w:spacing w:after="120"/>
      <w:ind w:left="420" w:leftChars="200"/>
    </w:pPr>
    <w:rPr>
      <w:rFonts w:ascii="Times New Roman" w:hAnsi="Times New Roman" w:eastAsia="等线" w:cs="Times New Roman"/>
      <w:kern w:val="0"/>
      <w:sz w:val="20"/>
      <w:szCs w:val="20"/>
    </w:rPr>
  </w:style>
  <w:style w:type="paragraph" w:styleId="4">
    <w:name w:val="envelope return"/>
    <w:basedOn w:val="1"/>
    <w:qFormat/>
    <w:uiPriority w:val="0"/>
    <w:pPr>
      <w:snapToGrid w:val="0"/>
    </w:pPr>
    <w:rPr>
      <w:rFonts w:ascii="Arial" w:hAnsi="Arial"/>
    </w:rPr>
  </w:style>
  <w:style w:type="paragraph" w:styleId="7">
    <w:name w:val="annotation text"/>
    <w:basedOn w:val="1"/>
    <w:qFormat/>
    <w:uiPriority w:val="0"/>
    <w:pPr>
      <w:jc w:val="left"/>
    </w:pPr>
  </w:style>
  <w:style w:type="paragraph" w:styleId="8">
    <w:name w:val="Body Text"/>
    <w:basedOn w:val="1"/>
    <w:next w:val="9"/>
    <w:qFormat/>
    <w:uiPriority w:val="0"/>
    <w:pPr>
      <w:spacing w:after="120"/>
    </w:pPr>
    <w:rPr>
      <w:rFonts w:eastAsia="宋体"/>
      <w:szCs w:val="24"/>
    </w:rPr>
  </w:style>
  <w:style w:type="paragraph" w:styleId="9">
    <w:name w:val="Date"/>
    <w:basedOn w:val="1"/>
    <w:next w:val="1"/>
    <w:qFormat/>
    <w:uiPriority w:val="99"/>
    <w:pPr>
      <w:ind w:left="100" w:leftChars="2500"/>
    </w:pPr>
    <w:rPr>
      <w:rFonts w:ascii="仿宋_GB2312" w:eastAsia="仿宋_GB2312" w:cs="Times New Roman"/>
      <w:b/>
      <w:bCs/>
      <w:kern w:val="0"/>
      <w:sz w:val="24"/>
      <w:szCs w:val="24"/>
    </w:rPr>
  </w:style>
  <w:style w:type="paragraph" w:styleId="10">
    <w:name w:val="Plain Text"/>
    <w:basedOn w:val="1"/>
    <w:next w:val="1"/>
    <w:qFormat/>
    <w:uiPriority w:val="0"/>
    <w:rPr>
      <w:rFonts w:ascii="宋体" w:hAnsi="Courier New"/>
    </w:r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next w:val="5"/>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paragraph" w:styleId="17">
    <w:name w:val="Body Text First Indent"/>
    <w:basedOn w:val="8"/>
    <w:next w:val="8"/>
    <w:qFormat/>
    <w:uiPriority w:val="0"/>
    <w:pPr>
      <w:ind w:firstLine="420"/>
    </w:pPr>
    <w:rPr>
      <w:rFonts w:ascii="Times New Roman"/>
      <w:szCs w:val="20"/>
    </w:rPr>
  </w:style>
  <w:style w:type="paragraph" w:customStyle="1" w:styleId="20">
    <w:name w:val="Default"/>
    <w:next w:val="14"/>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
    <w:name w:val="BodyText"/>
    <w:basedOn w:val="1"/>
    <w:qFormat/>
    <w:uiPriority w:val="0"/>
    <w:pPr>
      <w:spacing w:after="120"/>
    </w:pPr>
    <w:rPr>
      <w:kern w:val="0"/>
      <w:sz w:val="20"/>
      <w:szCs w:val="20"/>
    </w:rPr>
  </w:style>
  <w:style w:type="paragraph" w:customStyle="1" w:styleId="22">
    <w:name w:val="Plain Text1"/>
    <w:basedOn w:val="1"/>
    <w:qFormat/>
    <w:uiPriority w:val="0"/>
    <w:rPr>
      <w:rFonts w:ascii="Courier New" w:hAnsi="Courier New" w:eastAsia="楷体_GB2312"/>
    </w:rPr>
  </w:style>
  <w:style w:type="paragraph" w:customStyle="1" w:styleId="23">
    <w:name w:val="样式"/>
    <w:basedOn w:val="1"/>
    <w:next w:val="3"/>
    <w:qFormat/>
    <w:uiPriority w:val="0"/>
    <w:pPr>
      <w:jc w:val="center"/>
    </w:pPr>
    <w:rPr>
      <w:rFonts w:hint="eastAsia" w:ascii="宋体" w:hAnsi="宋体" w:eastAsia="宋体" w:cs="Times New Roman"/>
      <w:color w:val="FF0000"/>
      <w:sz w:val="24"/>
      <w:szCs w:val="24"/>
    </w:rPr>
  </w:style>
  <w:style w:type="paragraph" w:customStyle="1" w:styleId="24">
    <w:name w:val="样式 标题 2 +"/>
    <w:basedOn w:val="6"/>
    <w:qFormat/>
    <w:uiPriority w:val="0"/>
    <w:pPr>
      <w:tabs>
        <w:tab w:val="left" w:pos="0"/>
        <w:tab w:val="left" w:pos="567"/>
      </w:tabs>
      <w:spacing w:line="415" w:lineRule="auto"/>
      <w:ind w:left="420" w:hanging="420"/>
    </w:pPr>
    <w:rPr>
      <w:rFonts w:ascii="Arial" w:hAnsi="Arial" w:eastAsia="黑体" w:cs="Times New Roman"/>
      <w:kern w:val="0"/>
    </w:rPr>
  </w:style>
  <w:style w:type="paragraph" w:customStyle="1" w:styleId="25">
    <w:name w:val="附件标题"/>
    <w:basedOn w:val="1"/>
    <w:qFormat/>
    <w:uiPriority w:val="0"/>
    <w:pPr>
      <w:snapToGrid w:val="0"/>
      <w:spacing w:line="360" w:lineRule="auto"/>
      <w:ind w:firstLine="562" w:firstLineChars="200"/>
      <w:jc w:val="center"/>
    </w:pPr>
    <w:rPr>
      <w:rFonts w:hint="eastAsia" w:ascii="宋体" w:hAnsi="宋体" w:eastAsia="宋体" w:cs="仿宋_GB2312"/>
      <w:b/>
      <w:kern w:val="0"/>
      <w:sz w:val="32"/>
      <w:szCs w:val="32"/>
    </w:rPr>
  </w:style>
  <w:style w:type="paragraph" w:customStyle="1" w:styleId="26">
    <w:name w:val="样式 宋体 行距: 1.5 倍行距"/>
    <w:basedOn w:val="1"/>
    <w:qFormat/>
    <w:uiPriority w:val="99"/>
    <w:pPr>
      <w:jc w:val="center"/>
    </w:pPr>
    <w:rPr>
      <w:b/>
      <w:bCs/>
    </w:rPr>
  </w:style>
  <w:style w:type="paragraph" w:customStyle="1" w:styleId="27">
    <w:name w:val="WPSOffice手动目录 1"/>
    <w:qFormat/>
    <w:uiPriority w:val="0"/>
    <w:pPr>
      <w:ind w:leftChars="0"/>
    </w:pPr>
    <w:rPr>
      <w:rFonts w:asciiTheme="minorHAnsi" w:hAnsiTheme="minorHAnsi" w:eastAsiaTheme="minorEastAsia" w:cstheme="minorBidi"/>
      <w:sz w:val="20"/>
      <w:szCs w:val="20"/>
    </w:rPr>
  </w:style>
  <w:style w:type="paragraph" w:customStyle="1" w:styleId="28">
    <w:name w:val="WPSOffice手动目录 2"/>
    <w:qFormat/>
    <w:uiPriority w:val="0"/>
    <w:pPr>
      <w:ind w:leftChars="200"/>
    </w:pPr>
    <w:rPr>
      <w:rFonts w:asciiTheme="minorHAnsi" w:hAnsiTheme="minorHAnsi" w:eastAsiaTheme="minorEastAsia" w:cstheme="minorBidi"/>
      <w:sz w:val="20"/>
      <w:szCs w:val="20"/>
    </w:rPr>
  </w:style>
  <w:style w:type="paragraph" w:customStyle="1" w:styleId="29">
    <w:name w:val="文一"/>
    <w:basedOn w:val="1"/>
    <w:qFormat/>
    <w:uiPriority w:val="0"/>
    <w:pPr>
      <w:topLinePunct/>
      <w:adjustRightInd w:val="0"/>
      <w:snapToGrid w:val="0"/>
      <w:spacing w:line="360" w:lineRule="auto"/>
      <w:ind w:firstLine="200" w:firstLineChars="200"/>
    </w:pPr>
    <w:rPr>
      <w:rFonts w:ascii="Calibri" w:hAnsi="Calibri"/>
      <w:spacing w:val="4"/>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23047</Words>
  <Characters>23811</Characters>
  <Lines>0</Lines>
  <Paragraphs>0</Paragraphs>
  <TotalTime>3</TotalTime>
  <ScaleCrop>false</ScaleCrop>
  <LinksUpToDate>false</LinksUpToDate>
  <CharactersWithSpaces>24668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2024-02-26T05:35:00Z</dcterms:created>
  <dc:creator>–婷儿–</dc:creator>
  <cp:lastModifiedBy>WPS用户</cp:lastModifiedBy>
  <dcterms:modified xsi:type="dcterms:W3CDTF">2025-08-01T06:43:47Z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9A807D811620452F823D40784E1A5E8E_13</vt:lpwstr>
  </property>
  <property fmtid="{D5CDD505-2E9C-101B-9397-08002B2CF9AE}" pid="4" name="KSOTemplateDocerSaveRecord">
    <vt:lpwstr>eyJoZGlkIjoiNzViODMyYzk5NjcxNjAwYTJiZDE1NDQ3MzU1NDFlM2UiLCJ1c2VySWQiOiI1NzA1MDI0MDUifQ==</vt:lpwstr>
  </property>
</Properties>
</file>