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81C41">
      <w:pPr>
        <w:wordWrap w:val="0"/>
        <w:topLinePunct/>
        <w:autoSpaceDE/>
        <w:autoSpaceDN/>
        <w:spacing w:before="240"/>
        <w:ind w:left="0" w:right="0" w:firstLine="0"/>
        <w:jc w:val="center"/>
        <w:rPr>
          <w:rFonts w:hint="eastAsia"/>
          <w:b/>
          <w:sz w:val="28"/>
          <w:highlight w:val="none"/>
          <w:lang w:eastAsia="zh-CN"/>
        </w:rPr>
      </w:pPr>
      <w:r>
        <w:rPr>
          <w:rFonts w:hint="eastAsia"/>
          <w:b/>
          <w:sz w:val="28"/>
          <w:highlight w:val="none"/>
          <w:lang w:eastAsia="zh-CN"/>
        </w:rPr>
        <w:t>广佛大桥系统工程（一期）永久助航标志及永久桥梁智能防撞预警系统施工</w:t>
      </w:r>
    </w:p>
    <w:p w14:paraId="1D91AF72">
      <w:pPr>
        <w:wordWrap w:val="0"/>
        <w:topLinePunct/>
        <w:autoSpaceDE/>
        <w:autoSpaceDN/>
        <w:spacing w:before="240"/>
        <w:ind w:left="0" w:right="0" w:firstLine="0"/>
        <w:jc w:val="center"/>
        <w:rPr>
          <w:b/>
          <w:sz w:val="28"/>
          <w:highlight w:val="none"/>
        </w:rPr>
      </w:pPr>
      <w:bookmarkStart w:id="6" w:name="_GoBack"/>
      <w:bookmarkEnd w:id="6"/>
      <w:r>
        <w:rPr>
          <w:b/>
          <w:sz w:val="28"/>
          <w:highlight w:val="none"/>
        </w:rPr>
        <w:t>招标公告</w:t>
      </w:r>
    </w:p>
    <w:p w14:paraId="186BD2A7">
      <w:pPr>
        <w:numPr>
          <w:ilvl w:val="0"/>
          <w:numId w:val="1"/>
        </w:numPr>
        <w:tabs>
          <w:tab w:val="left" w:pos="1040"/>
        </w:tabs>
        <w:wordWrap w:val="0"/>
        <w:topLinePunct/>
        <w:autoSpaceDE/>
        <w:autoSpaceDN/>
        <w:spacing w:before="186"/>
        <w:ind w:left="1039" w:right="0" w:hanging="243"/>
        <w:jc w:val="left"/>
        <w:rPr>
          <w:b/>
          <w:sz w:val="24"/>
          <w:highlight w:val="none"/>
        </w:rPr>
      </w:pPr>
      <w:bookmarkStart w:id="0" w:name="1.招标条件"/>
      <w:bookmarkEnd w:id="0"/>
      <w:bookmarkStart w:id="1" w:name="1.招标条件"/>
      <w:bookmarkEnd w:id="1"/>
      <w:r>
        <w:rPr>
          <w:b/>
          <w:sz w:val="24"/>
          <w:highlight w:val="none"/>
        </w:rPr>
        <w:t>招标条件</w:t>
      </w:r>
    </w:p>
    <w:p w14:paraId="57CC0C24">
      <w:pPr>
        <w:pStyle w:val="2"/>
        <w:wordWrap w:val="0"/>
        <w:topLinePunct/>
        <w:autoSpaceDE/>
        <w:autoSpaceDN/>
        <w:spacing w:before="158" w:line="360" w:lineRule="auto"/>
        <w:ind w:left="315" w:right="314" w:firstLine="480"/>
        <w:rPr>
          <w:highlight w:val="none"/>
        </w:rPr>
      </w:pPr>
      <w:r>
        <w:rPr>
          <w:highlight w:val="none"/>
        </w:rPr>
        <w:t>本招标项目</w:t>
      </w:r>
      <w:r>
        <w:rPr>
          <w:rFonts w:hint="eastAsia"/>
          <w:highlight w:val="none"/>
          <w:u w:val="single"/>
          <w:lang w:eastAsia="zh-CN"/>
        </w:rPr>
        <w:t>广佛大桥系统工程（一期）永久助航标志及永久桥梁智能防撞预警系统施工</w:t>
      </w:r>
      <w:r>
        <w:rPr>
          <w:highlight w:val="none"/>
        </w:rPr>
        <w:t>已由</w:t>
      </w:r>
      <w:r>
        <w:rPr>
          <w:rFonts w:hint="eastAsia"/>
          <w:highlight w:val="none"/>
          <w:lang w:val="en-US" w:eastAsia="zh-CN"/>
        </w:rPr>
        <w:t>广东</w:t>
      </w:r>
      <w:r>
        <w:rPr>
          <w:rFonts w:hint="eastAsia"/>
          <w:highlight w:val="none"/>
          <w:u w:val="single"/>
          <w:lang w:val="en-US" w:eastAsia="zh-CN"/>
        </w:rPr>
        <w:t>省发展和改革委员会</w:t>
      </w:r>
      <w:r>
        <w:rPr>
          <w:highlight w:val="none"/>
        </w:rPr>
        <w:t>以</w:t>
      </w:r>
      <w:r>
        <w:rPr>
          <w:rFonts w:hint="eastAsia" w:ascii="宋体" w:hAnsi="宋体" w:eastAsia="宋体"/>
          <w:highlight w:val="none"/>
          <w:u w:val="single"/>
          <w:lang w:val="en-US" w:eastAsia="zh-CN"/>
        </w:rPr>
        <w:t>粤发改投审〔2020〕62号</w:t>
      </w:r>
      <w:r>
        <w:rPr>
          <w:highlight w:val="none"/>
        </w:rPr>
        <w:t>批准建设，项目业主为</w:t>
      </w:r>
      <w:r>
        <w:rPr>
          <w:rFonts w:hint="eastAsia"/>
          <w:highlight w:val="none"/>
          <w:u w:val="single"/>
        </w:rPr>
        <w:t>广州市广园市政建设有限公司</w:t>
      </w:r>
      <w:r>
        <w:rPr>
          <w:highlight w:val="none"/>
        </w:rPr>
        <w:t>，建设资金为</w:t>
      </w:r>
      <w:r>
        <w:rPr>
          <w:rFonts w:hint="eastAsia"/>
          <w:highlight w:val="none"/>
          <w:u w:val="single"/>
          <w:lang w:val="en-US" w:eastAsia="zh-CN"/>
        </w:rPr>
        <w:t>市财政资金</w:t>
      </w:r>
      <w:r>
        <w:rPr>
          <w:spacing w:val="-4"/>
          <w:highlight w:val="none"/>
        </w:rPr>
        <w:t>，项目出资比例为</w:t>
      </w:r>
      <w:r>
        <w:rPr>
          <w:rFonts w:hint="eastAsia"/>
          <w:spacing w:val="-4"/>
          <w:highlight w:val="none"/>
          <w:u w:val="single"/>
          <w:lang w:val="en-US" w:eastAsia="zh-CN"/>
        </w:rPr>
        <w:t>100%</w:t>
      </w:r>
      <w:r>
        <w:rPr>
          <w:spacing w:val="-2"/>
          <w:highlight w:val="none"/>
        </w:rPr>
        <w:t>，招标人为</w:t>
      </w:r>
      <w:r>
        <w:rPr>
          <w:rFonts w:hint="eastAsia"/>
          <w:highlight w:val="none"/>
          <w:u w:val="single"/>
        </w:rPr>
        <w:t>广州市广园市政建设有限公司</w:t>
      </w:r>
      <w:r>
        <w:rPr>
          <w:spacing w:val="-6"/>
          <w:highlight w:val="none"/>
        </w:rPr>
        <w:t>，项目已具备</w:t>
      </w:r>
      <w:r>
        <w:rPr>
          <w:highlight w:val="none"/>
        </w:rPr>
        <w:t>招标条件，现对该项目的施工采用资格后审方式进行公开招标。</w:t>
      </w:r>
    </w:p>
    <w:p w14:paraId="55078274">
      <w:pPr>
        <w:numPr>
          <w:ilvl w:val="0"/>
          <w:numId w:val="1"/>
        </w:numPr>
        <w:tabs>
          <w:tab w:val="left" w:pos="1040"/>
        </w:tabs>
        <w:wordWrap w:val="0"/>
        <w:topLinePunct/>
        <w:autoSpaceDE/>
        <w:autoSpaceDN/>
        <w:spacing w:before="0" w:line="305" w:lineRule="exact"/>
        <w:ind w:left="1039" w:right="0" w:hanging="243"/>
        <w:jc w:val="left"/>
        <w:rPr>
          <w:b/>
          <w:sz w:val="24"/>
          <w:highlight w:val="none"/>
        </w:rPr>
      </w:pPr>
      <w:bookmarkStart w:id="2" w:name="2.项目概况与招标范围"/>
      <w:bookmarkEnd w:id="2"/>
      <w:bookmarkStart w:id="3" w:name="2.项目概况与招标范围"/>
      <w:bookmarkEnd w:id="3"/>
      <w:r>
        <w:rPr>
          <w:b/>
          <w:sz w:val="24"/>
          <w:highlight w:val="none"/>
        </w:rPr>
        <w:t>项目概况与招标范围</w:t>
      </w:r>
    </w:p>
    <w:p w14:paraId="0341BB15">
      <w:pPr>
        <w:pStyle w:val="8"/>
        <w:numPr>
          <w:ilvl w:val="1"/>
          <w:numId w:val="1"/>
        </w:numPr>
        <w:tabs>
          <w:tab w:val="left" w:pos="1216"/>
        </w:tabs>
        <w:wordWrap w:val="0"/>
        <w:topLinePunct/>
        <w:autoSpaceDE/>
        <w:autoSpaceDN/>
        <w:spacing w:before="160" w:after="0" w:line="240" w:lineRule="auto"/>
        <w:ind w:left="1216" w:right="0" w:hanging="420"/>
        <w:jc w:val="left"/>
        <w:rPr>
          <w:sz w:val="24"/>
          <w:highlight w:val="none"/>
        </w:rPr>
      </w:pPr>
      <w:r>
        <w:rPr>
          <w:sz w:val="24"/>
          <w:highlight w:val="none"/>
        </w:rPr>
        <w:t>项目概况与招标范围</w:t>
      </w:r>
    </w:p>
    <w:p w14:paraId="36278188">
      <w:pPr>
        <w:pStyle w:val="2"/>
        <w:wordWrap w:val="0"/>
        <w:topLinePunct/>
        <w:autoSpaceDE/>
        <w:autoSpaceDN/>
        <w:spacing w:before="158" w:line="364" w:lineRule="auto"/>
        <w:ind w:left="315" w:right="314" w:firstLine="480"/>
        <w:rPr>
          <w:rFonts w:hint="default" w:eastAsia="宋体"/>
          <w:highlight w:val="none"/>
          <w:lang w:eastAsia="zh-CN"/>
        </w:rPr>
      </w:pPr>
      <w:r>
        <w:rPr>
          <w:highlight w:val="none"/>
          <w:u w:val="single"/>
        </w:rPr>
        <w:t>招标项目名称：</w:t>
      </w:r>
      <w:r>
        <w:rPr>
          <w:rFonts w:hint="default"/>
          <w:highlight w:val="none"/>
          <w:u w:val="single"/>
          <w:lang w:eastAsia="zh-CN"/>
        </w:rPr>
        <w:t>广佛大桥系统工程（一期）永久助航标志及永久桥梁智能防撞预警系统施工</w:t>
      </w:r>
    </w:p>
    <w:p w14:paraId="7C2BD870">
      <w:pPr>
        <w:pStyle w:val="2"/>
        <w:wordWrap w:val="0"/>
        <w:topLinePunct/>
        <w:autoSpaceDE/>
        <w:autoSpaceDN/>
        <w:spacing w:before="161" w:line="364" w:lineRule="auto"/>
        <w:ind w:left="315" w:right="314" w:firstLine="480"/>
        <w:jc w:val="both"/>
        <w:rPr>
          <w:highlight w:val="none"/>
        </w:rPr>
      </w:pPr>
      <w:r>
        <w:rPr>
          <w:spacing w:val="-10"/>
          <w:highlight w:val="none"/>
          <w:u w:val="single"/>
        </w:rPr>
        <w:t>招标项目规模：</w:t>
      </w:r>
      <w:r>
        <w:rPr>
          <w:rFonts w:hint="eastAsia"/>
          <w:spacing w:val="-10"/>
          <w:highlight w:val="none"/>
          <w:u w:val="single"/>
        </w:rPr>
        <w:t>项目西起南海区建设大道，向东跨越白沙河后、终于大坦沙岛，路线全长约1.3公里，采用城市主干道和二级公路技术标准，其中:主线采用双向六车道，设计速度60公里/小时:辅道采用双向四车道，设计速度40公里/小时。泥质河段航道设计水深 3.4m，礁石河段航道设计水深为 3.9m，桥区航道底宽为 130m，航道等级为内河Ⅳ级。</w:t>
      </w:r>
    </w:p>
    <w:p w14:paraId="5C76FD57">
      <w:pPr>
        <w:pStyle w:val="2"/>
        <w:wordWrap w:val="0"/>
        <w:topLinePunct/>
        <w:autoSpaceDE/>
        <w:autoSpaceDN/>
        <w:spacing w:before="161" w:line="364" w:lineRule="auto"/>
        <w:ind w:left="315" w:right="314" w:firstLine="480"/>
        <w:jc w:val="both"/>
        <w:rPr>
          <w:rFonts w:hint="eastAsia" w:ascii="宋体" w:hAnsi="宋体" w:eastAsia="宋体" w:cs="宋体"/>
          <w:spacing w:val="-10"/>
          <w:highlight w:val="none"/>
          <w:u w:val="single"/>
          <w:lang w:val="en-US" w:eastAsia="zh-CN"/>
        </w:rPr>
      </w:pPr>
      <w:r>
        <w:rPr>
          <w:rFonts w:hint="eastAsia" w:ascii="宋体" w:hAnsi="宋体" w:eastAsia="宋体" w:cs="宋体"/>
          <w:spacing w:val="-10"/>
          <w:highlight w:val="none"/>
          <w:u w:val="single"/>
        </w:rPr>
        <w:t>建设地点：位于广佛交界、广佛同城化的中心规划地区</w:t>
      </w:r>
      <w:r>
        <w:rPr>
          <w:rFonts w:hint="eastAsia" w:ascii="宋体" w:hAnsi="宋体" w:eastAsia="宋体" w:cs="宋体"/>
          <w:spacing w:val="-10"/>
          <w:highlight w:val="none"/>
          <w:u w:val="single"/>
          <w:lang w:val="en-US" w:eastAsia="zh-CN"/>
        </w:rPr>
        <w:t>。</w:t>
      </w:r>
    </w:p>
    <w:p w14:paraId="3743456C">
      <w:pPr>
        <w:pStyle w:val="2"/>
        <w:wordWrap w:val="0"/>
        <w:topLinePunct/>
        <w:autoSpaceDE/>
        <w:autoSpaceDN/>
        <w:spacing w:before="161" w:line="364" w:lineRule="auto"/>
        <w:ind w:left="315" w:right="314" w:firstLine="480"/>
        <w:jc w:val="both"/>
        <w:rPr>
          <w:rFonts w:hint="eastAsia"/>
          <w:highlight w:val="none"/>
          <w:u w:val="single"/>
          <w:lang w:val="en-US" w:eastAsia="zh-CN"/>
        </w:rPr>
      </w:pPr>
      <w:r>
        <w:rPr>
          <w:highlight w:val="none"/>
          <w:u w:val="single"/>
        </w:rPr>
        <w:t>计划工期：</w:t>
      </w:r>
      <w:r>
        <w:rPr>
          <w:rFonts w:hint="eastAsia"/>
          <w:highlight w:val="none"/>
          <w:u w:val="single"/>
          <w:lang w:val="en-US" w:eastAsia="zh-CN"/>
        </w:rPr>
        <w:t>455日历天，其中：施工期90日历天，服务期：保修期结束后365日历天（保修期：1年）。</w:t>
      </w:r>
    </w:p>
    <w:p w14:paraId="0DB728E7">
      <w:pPr>
        <w:pStyle w:val="2"/>
        <w:wordWrap w:val="0"/>
        <w:topLinePunct/>
        <w:autoSpaceDE/>
        <w:autoSpaceDN/>
        <w:adjustRightInd w:val="0"/>
        <w:spacing w:before="161" w:line="364" w:lineRule="auto"/>
        <w:ind w:left="315" w:right="314" w:firstLine="440" w:firstLineChars="200"/>
        <w:jc w:val="both"/>
        <w:rPr>
          <w:rFonts w:ascii="宋体" w:hAnsi="宋体" w:eastAsia="宋体" w:cs="宋体"/>
          <w:spacing w:val="-10"/>
          <w:sz w:val="24"/>
          <w:szCs w:val="24"/>
          <w:highlight w:val="none"/>
          <w:u w:val="single"/>
        </w:rPr>
      </w:pPr>
      <w:r>
        <w:rPr>
          <w:rFonts w:ascii="宋体" w:hAnsi="宋体" w:eastAsia="宋体" w:cs="宋体"/>
          <w:spacing w:val="-10"/>
          <w:sz w:val="24"/>
          <w:szCs w:val="24"/>
          <w:highlight w:val="none"/>
          <w:u w:val="single"/>
        </w:rPr>
        <w:t>项目招标范围：</w:t>
      </w:r>
      <w:r>
        <w:rPr>
          <w:rFonts w:hint="default" w:ascii="宋体" w:hAnsi="宋体" w:eastAsia="宋体" w:cs="宋体"/>
          <w:spacing w:val="-10"/>
          <w:sz w:val="24"/>
          <w:szCs w:val="24"/>
          <w:highlight w:val="none"/>
          <w:u w:val="single"/>
          <w:lang w:val="en-US" w:eastAsia="en-US"/>
        </w:rPr>
        <w:t>根据项目实施情况，开展永久助航标志（航标、桥涵标）及永久桥梁智能防撞预警系统施工，</w:t>
      </w:r>
      <w:r>
        <w:rPr>
          <w:rFonts w:hint="default" w:ascii="宋体" w:hAnsi="宋体" w:eastAsia="宋体" w:cs="宋体"/>
          <w:spacing w:val="-10"/>
          <w:sz w:val="24"/>
          <w:szCs w:val="24"/>
          <w:highlight w:val="none"/>
          <w:u w:val="single"/>
          <w:lang w:eastAsia="en-US"/>
        </w:rPr>
        <w:t>（具体内容以</w:t>
      </w:r>
      <w:r>
        <w:rPr>
          <w:rFonts w:hint="default" w:ascii="宋体" w:hAnsi="宋体" w:eastAsia="宋体" w:cs="宋体"/>
          <w:spacing w:val="-10"/>
          <w:sz w:val="24"/>
          <w:szCs w:val="24"/>
          <w:highlight w:val="none"/>
          <w:u w:val="single"/>
          <w:lang w:val="en-US" w:eastAsia="en-US"/>
        </w:rPr>
        <w:t>合同、</w:t>
      </w:r>
      <w:r>
        <w:rPr>
          <w:rFonts w:hint="default" w:ascii="宋体" w:hAnsi="宋体" w:eastAsia="宋体" w:cs="宋体"/>
          <w:spacing w:val="-10"/>
          <w:sz w:val="24"/>
          <w:szCs w:val="24"/>
          <w:highlight w:val="none"/>
          <w:u w:val="single"/>
          <w:lang w:eastAsia="en-US"/>
        </w:rPr>
        <w:t>招标图纸、工程量清单及有关资料为准）</w:t>
      </w:r>
    </w:p>
    <w:p w14:paraId="79F73659">
      <w:pPr>
        <w:pStyle w:val="8"/>
        <w:numPr>
          <w:ilvl w:val="1"/>
          <w:numId w:val="1"/>
        </w:numPr>
        <w:tabs>
          <w:tab w:val="left" w:pos="1157"/>
        </w:tabs>
        <w:wordWrap w:val="0"/>
        <w:topLinePunct/>
        <w:autoSpaceDE/>
        <w:autoSpaceDN/>
        <w:spacing w:before="0" w:after="0" w:line="305" w:lineRule="exact"/>
        <w:ind w:left="1157" w:right="0" w:hanging="361"/>
        <w:jc w:val="left"/>
        <w:rPr>
          <w:sz w:val="24"/>
          <w:highlight w:val="none"/>
        </w:rPr>
      </w:pPr>
      <w:r>
        <w:rPr>
          <w:rFonts w:hint="eastAsia"/>
          <w:sz w:val="24"/>
          <w:highlight w:val="none"/>
          <w:lang w:val="en-US" w:eastAsia="zh-CN"/>
        </w:rPr>
        <w:t xml:space="preserve"> </w:t>
      </w:r>
      <w:r>
        <w:rPr>
          <w:sz w:val="24"/>
          <w:highlight w:val="none"/>
        </w:rPr>
        <w:t>本次招标共分1个标类1个标段。具体见附件 1。</w:t>
      </w:r>
    </w:p>
    <w:p w14:paraId="6A2B9ED0">
      <w:pPr>
        <w:pStyle w:val="2"/>
        <w:wordWrap w:val="0"/>
        <w:topLinePunct/>
        <w:autoSpaceDE/>
        <w:autoSpaceDN/>
        <w:spacing w:before="5"/>
        <w:rPr>
          <w:sz w:val="12"/>
          <w:highlight w:val="none"/>
        </w:rPr>
      </w:pPr>
    </w:p>
    <w:tbl>
      <w:tblPr>
        <w:tblStyle w:val="5"/>
        <w:tblW w:w="947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1266"/>
        <w:gridCol w:w="2108"/>
        <w:gridCol w:w="2116"/>
        <w:gridCol w:w="2323"/>
      </w:tblGrid>
      <w:tr w14:paraId="5E15E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62" w:type="dxa"/>
          </w:tcPr>
          <w:p w14:paraId="621996E8">
            <w:pPr>
              <w:pStyle w:val="9"/>
              <w:wordWrap w:val="0"/>
              <w:topLinePunct/>
              <w:autoSpaceDE/>
              <w:autoSpaceDN/>
              <w:spacing w:before="73"/>
              <w:ind w:left="366"/>
              <w:rPr>
                <w:sz w:val="24"/>
                <w:highlight w:val="none"/>
              </w:rPr>
            </w:pPr>
            <w:r>
              <w:rPr>
                <w:sz w:val="24"/>
                <w:highlight w:val="none"/>
              </w:rPr>
              <w:t>标段类别</w:t>
            </w:r>
          </w:p>
        </w:tc>
        <w:tc>
          <w:tcPr>
            <w:tcW w:w="1266" w:type="dxa"/>
          </w:tcPr>
          <w:p w14:paraId="13677978">
            <w:pPr>
              <w:pStyle w:val="9"/>
              <w:wordWrap w:val="0"/>
              <w:topLinePunct/>
              <w:autoSpaceDE/>
              <w:autoSpaceDN/>
              <w:spacing w:before="73"/>
              <w:ind w:left="392"/>
              <w:rPr>
                <w:sz w:val="24"/>
                <w:highlight w:val="none"/>
              </w:rPr>
            </w:pPr>
            <w:r>
              <w:rPr>
                <w:sz w:val="24"/>
                <w:highlight w:val="none"/>
              </w:rPr>
              <w:t>标段</w:t>
            </w:r>
          </w:p>
        </w:tc>
        <w:tc>
          <w:tcPr>
            <w:tcW w:w="2108" w:type="dxa"/>
          </w:tcPr>
          <w:p w14:paraId="6D295870">
            <w:pPr>
              <w:pStyle w:val="9"/>
              <w:wordWrap w:val="0"/>
              <w:topLinePunct/>
              <w:autoSpaceDE/>
              <w:autoSpaceDN/>
              <w:spacing w:before="73"/>
              <w:ind w:left="333"/>
              <w:rPr>
                <w:sz w:val="24"/>
                <w:highlight w:val="none"/>
              </w:rPr>
            </w:pPr>
            <w:r>
              <w:rPr>
                <w:sz w:val="24"/>
                <w:highlight w:val="none"/>
              </w:rPr>
              <w:t>主要工程项目</w:t>
            </w:r>
          </w:p>
        </w:tc>
        <w:tc>
          <w:tcPr>
            <w:tcW w:w="2116" w:type="dxa"/>
          </w:tcPr>
          <w:p w14:paraId="697FA039">
            <w:pPr>
              <w:pStyle w:val="9"/>
              <w:wordWrap w:val="0"/>
              <w:topLinePunct/>
              <w:autoSpaceDE/>
              <w:autoSpaceDN/>
              <w:spacing w:before="73"/>
              <w:ind w:left="128"/>
              <w:rPr>
                <w:sz w:val="24"/>
                <w:highlight w:val="none"/>
              </w:rPr>
            </w:pPr>
            <w:r>
              <w:rPr>
                <w:sz w:val="24"/>
                <w:highlight w:val="none"/>
              </w:rPr>
              <w:t>对投标人资质要求</w:t>
            </w:r>
          </w:p>
        </w:tc>
        <w:tc>
          <w:tcPr>
            <w:tcW w:w="2323" w:type="dxa"/>
          </w:tcPr>
          <w:p w14:paraId="128540AB">
            <w:pPr>
              <w:pStyle w:val="9"/>
              <w:tabs>
                <w:tab w:val="left" w:pos="1384"/>
              </w:tabs>
              <w:wordWrap w:val="0"/>
              <w:topLinePunct/>
              <w:autoSpaceDE/>
              <w:autoSpaceDN/>
              <w:spacing w:before="73"/>
              <w:ind w:left="705"/>
              <w:rPr>
                <w:sz w:val="24"/>
                <w:highlight w:val="none"/>
              </w:rPr>
            </w:pPr>
            <w:r>
              <w:rPr>
                <w:sz w:val="24"/>
                <w:highlight w:val="none"/>
              </w:rPr>
              <w:t>备</w:t>
            </w:r>
            <w:r>
              <w:rPr>
                <w:sz w:val="24"/>
                <w:highlight w:val="none"/>
              </w:rPr>
              <w:tab/>
            </w:r>
            <w:r>
              <w:rPr>
                <w:sz w:val="24"/>
                <w:highlight w:val="none"/>
              </w:rPr>
              <w:t>注</w:t>
            </w:r>
          </w:p>
        </w:tc>
      </w:tr>
      <w:tr w14:paraId="27E5D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662" w:type="dxa"/>
          </w:tcPr>
          <w:p w14:paraId="471BB10E">
            <w:pPr>
              <w:pStyle w:val="9"/>
              <w:wordWrap w:val="0"/>
              <w:topLinePunct/>
              <w:autoSpaceDE/>
              <w:autoSpaceDN/>
              <w:spacing w:before="158" w:line="242" w:lineRule="auto"/>
              <w:ind w:left="599" w:right="143" w:hanging="437"/>
              <w:rPr>
                <w:sz w:val="24"/>
                <w:highlight w:val="none"/>
              </w:rPr>
            </w:pPr>
            <w:r>
              <w:rPr>
                <w:rFonts w:hint="eastAsia"/>
                <w:sz w:val="24"/>
                <w:highlight w:val="none"/>
              </w:rPr>
              <w:t>B类（</w:t>
            </w:r>
            <w:r>
              <w:rPr>
                <w:rFonts w:hint="eastAsia"/>
                <w:sz w:val="24"/>
                <w:highlight w:val="none"/>
                <w:lang w:val="en-US"/>
              </w:rPr>
              <w:t>航道工程</w:t>
            </w:r>
            <w:r>
              <w:rPr>
                <w:rFonts w:hint="eastAsia"/>
                <w:sz w:val="24"/>
                <w:highlight w:val="none"/>
              </w:rPr>
              <w:t>）</w:t>
            </w:r>
          </w:p>
        </w:tc>
        <w:tc>
          <w:tcPr>
            <w:tcW w:w="3374" w:type="dxa"/>
            <w:gridSpan w:val="2"/>
          </w:tcPr>
          <w:p w14:paraId="26FE9FAF">
            <w:pPr>
              <w:pStyle w:val="9"/>
              <w:wordWrap w:val="0"/>
              <w:topLinePunct/>
              <w:autoSpaceDE/>
              <w:autoSpaceDN/>
              <w:spacing w:before="158" w:line="242" w:lineRule="auto"/>
              <w:ind w:left="996" w:right="116" w:hanging="872"/>
              <w:rPr>
                <w:sz w:val="24"/>
                <w:highlight w:val="none"/>
              </w:rPr>
            </w:pPr>
            <w:r>
              <w:rPr>
                <w:sz w:val="24"/>
                <w:highlight w:val="none"/>
              </w:rPr>
              <w:t>标段的划分及主要工程项目情况详见附件 1</w:t>
            </w:r>
          </w:p>
        </w:tc>
        <w:tc>
          <w:tcPr>
            <w:tcW w:w="2116" w:type="dxa"/>
          </w:tcPr>
          <w:p w14:paraId="66D2E251">
            <w:pPr>
              <w:pStyle w:val="9"/>
              <w:wordWrap w:val="0"/>
              <w:topLinePunct/>
              <w:autoSpaceDE/>
              <w:autoSpaceDN/>
              <w:spacing w:before="158" w:line="242" w:lineRule="auto"/>
              <w:ind w:left="848" w:right="206" w:hanging="632"/>
              <w:rPr>
                <w:sz w:val="24"/>
                <w:highlight w:val="none"/>
              </w:rPr>
            </w:pPr>
            <w:r>
              <w:rPr>
                <w:sz w:val="24"/>
                <w:highlight w:val="none"/>
              </w:rPr>
              <w:t>资格审查条件附录</w:t>
            </w:r>
            <w:r>
              <w:rPr>
                <w:sz w:val="24"/>
                <w:highlight w:val="none"/>
                <w:u w:val="none"/>
              </w:rPr>
              <w:t xml:space="preserve"> 1</w:t>
            </w:r>
          </w:p>
        </w:tc>
        <w:tc>
          <w:tcPr>
            <w:tcW w:w="2323" w:type="dxa"/>
          </w:tcPr>
          <w:p w14:paraId="17008EEE">
            <w:pPr>
              <w:pStyle w:val="9"/>
              <w:wordWrap w:val="0"/>
              <w:topLinePunct/>
              <w:autoSpaceDE/>
              <w:autoSpaceDN/>
              <w:spacing w:before="158"/>
              <w:ind w:left="107"/>
              <w:rPr>
                <w:sz w:val="24"/>
                <w:highlight w:val="none"/>
              </w:rPr>
            </w:pPr>
            <w:r>
              <w:rPr>
                <w:spacing w:val="-7"/>
                <w:sz w:val="24"/>
                <w:highlight w:val="none"/>
              </w:rPr>
              <w:t xml:space="preserve">资格审查条件附录 </w:t>
            </w:r>
            <w:r>
              <w:rPr>
                <w:sz w:val="24"/>
                <w:highlight w:val="none"/>
                <w:u w:val="none"/>
              </w:rPr>
              <w:t>1</w:t>
            </w:r>
          </w:p>
          <w:p w14:paraId="53989B49">
            <w:pPr>
              <w:pStyle w:val="9"/>
              <w:wordWrap w:val="0"/>
              <w:topLinePunct/>
              <w:autoSpaceDE/>
              <w:autoSpaceDN/>
              <w:spacing w:before="5"/>
              <w:ind w:left="110"/>
              <w:rPr>
                <w:sz w:val="24"/>
                <w:highlight w:val="none"/>
              </w:rPr>
            </w:pPr>
            <w:r>
              <w:rPr>
                <w:spacing w:val="-15"/>
                <w:sz w:val="24"/>
                <w:highlight w:val="none"/>
              </w:rPr>
              <w:t xml:space="preserve">至附录 </w:t>
            </w:r>
            <w:r>
              <w:rPr>
                <w:sz w:val="24"/>
                <w:highlight w:val="none"/>
                <w:u w:val="none"/>
              </w:rPr>
              <w:t>7</w:t>
            </w:r>
            <w:r>
              <w:rPr>
                <w:spacing w:val="-21"/>
                <w:sz w:val="24"/>
                <w:highlight w:val="none"/>
              </w:rPr>
              <w:t xml:space="preserve"> 详见附件 </w:t>
            </w:r>
            <w:r>
              <w:rPr>
                <w:sz w:val="24"/>
                <w:highlight w:val="none"/>
              </w:rPr>
              <w:t>2</w:t>
            </w:r>
          </w:p>
        </w:tc>
      </w:tr>
    </w:tbl>
    <w:p w14:paraId="11055DA8">
      <w:pPr>
        <w:pStyle w:val="2"/>
        <w:wordWrap w:val="0"/>
        <w:topLinePunct/>
        <w:autoSpaceDE/>
        <w:autoSpaceDN/>
        <w:spacing w:before="5"/>
        <w:rPr>
          <w:sz w:val="27"/>
          <w:highlight w:val="none"/>
        </w:rPr>
      </w:pPr>
    </w:p>
    <w:p w14:paraId="03E2410D">
      <w:pPr>
        <w:numPr>
          <w:ilvl w:val="-1"/>
          <w:numId w:val="0"/>
        </w:numPr>
        <w:tabs>
          <w:tab w:val="left" w:pos="560"/>
        </w:tabs>
        <w:wordWrap w:val="0"/>
        <w:topLinePunct/>
        <w:autoSpaceDE/>
        <w:autoSpaceDN/>
        <w:spacing w:before="0"/>
        <w:ind w:left="316" w:right="0" w:firstLine="480" w:firstLineChars="200"/>
        <w:jc w:val="left"/>
        <w:rPr>
          <w:rFonts w:hint="eastAsia"/>
          <w:b w:val="0"/>
          <w:bCs/>
          <w:sz w:val="24"/>
          <w:highlight w:val="none"/>
          <w:lang w:val="en-US" w:eastAsia="zh-CN"/>
        </w:rPr>
      </w:pPr>
      <w:bookmarkStart w:id="4" w:name="3.投标人资格要求"/>
      <w:bookmarkEnd w:id="4"/>
      <w:bookmarkStart w:id="5" w:name="3.投标人资格要求"/>
      <w:bookmarkEnd w:id="5"/>
    </w:p>
    <w:p w14:paraId="1D5F7F27">
      <w:pPr>
        <w:numPr>
          <w:ilvl w:val="-1"/>
          <w:numId w:val="0"/>
        </w:numPr>
        <w:tabs>
          <w:tab w:val="left" w:pos="560"/>
        </w:tabs>
        <w:wordWrap w:val="0"/>
        <w:topLinePunct/>
        <w:autoSpaceDE/>
        <w:autoSpaceDN/>
        <w:spacing w:before="0"/>
        <w:ind w:left="316" w:right="0" w:firstLine="480" w:firstLineChars="200"/>
        <w:jc w:val="left"/>
        <w:rPr>
          <w:rFonts w:hint="eastAsia"/>
          <w:b w:val="0"/>
          <w:bCs/>
          <w:sz w:val="24"/>
          <w:highlight w:val="none"/>
        </w:rPr>
      </w:pPr>
      <w:r>
        <w:rPr>
          <w:rFonts w:hint="eastAsia"/>
          <w:b w:val="0"/>
          <w:bCs/>
          <w:sz w:val="24"/>
          <w:highlight w:val="none"/>
          <w:lang w:val="en-US" w:eastAsia="zh-CN"/>
        </w:rPr>
        <w:t>注：具体工程数量以招标文件第五章工程量清单为准</w:t>
      </w:r>
      <w:r>
        <w:rPr>
          <w:rFonts w:hint="eastAsia"/>
          <w:b w:val="0"/>
          <w:bCs/>
          <w:sz w:val="24"/>
          <w:highlight w:val="none"/>
        </w:rPr>
        <w:t>。</w:t>
      </w:r>
    </w:p>
    <w:p w14:paraId="076A113E">
      <w:pPr>
        <w:pStyle w:val="2"/>
        <w:numPr>
          <w:ilvl w:val="-1"/>
          <w:numId w:val="0"/>
        </w:numPr>
        <w:wordWrap w:val="0"/>
        <w:topLinePunct/>
        <w:autoSpaceDE/>
        <w:autoSpaceDN/>
        <w:adjustRightInd w:val="0"/>
        <w:spacing w:before="161" w:line="364" w:lineRule="auto"/>
        <w:ind w:left="315" w:right="314" w:firstLine="440" w:firstLineChars="200"/>
        <w:jc w:val="both"/>
        <w:rPr>
          <w:b w:val="0"/>
          <w:bCs w:val="0"/>
          <w:i w:val="0"/>
          <w:iCs w:val="0"/>
          <w:spacing w:val="-10"/>
          <w:sz w:val="24"/>
          <w:highlight w:val="none"/>
          <w:u w:val="none"/>
        </w:rPr>
      </w:pPr>
      <w:r>
        <w:rPr>
          <w:rFonts w:hint="default"/>
          <w:b w:val="0"/>
          <w:bCs w:val="0"/>
          <w:i w:val="0"/>
          <w:iCs w:val="0"/>
          <w:spacing w:val="-10"/>
          <w:sz w:val="24"/>
          <w:highlight w:val="none"/>
          <w:u w:val="none"/>
        </w:rPr>
        <w:t>中标人负责牵头办理办理</w:t>
      </w:r>
      <w:r>
        <w:rPr>
          <w:rFonts w:hint="default"/>
          <w:b w:val="0"/>
          <w:bCs w:val="0"/>
          <w:i w:val="0"/>
          <w:iCs w:val="0"/>
          <w:spacing w:val="-10"/>
          <w:sz w:val="24"/>
          <w:highlight w:val="none"/>
          <w:u w:val="none"/>
          <w:lang w:eastAsia="en-US"/>
        </w:rPr>
        <w:t>广佛大桥系统工程（一期）永久助航标志及永久桥梁智能防撞预警系统施工</w:t>
      </w:r>
      <w:r>
        <w:rPr>
          <w:rFonts w:hint="default"/>
          <w:b w:val="0"/>
          <w:bCs w:val="0"/>
          <w:i w:val="0"/>
          <w:iCs w:val="0"/>
          <w:spacing w:val="-10"/>
          <w:sz w:val="24"/>
          <w:highlight w:val="none"/>
          <w:u w:val="none"/>
        </w:rPr>
        <w:t>项目的水中作业的有关手续，包括但不限于施工许可、海事作业手续、航行通告、质量安全监督登记等手续，同时为了按时推进工程进展，中标人应积极和有关部门进行必要的沟通和综合协调。上述相关费用已包含在投标报价中，招标人不再另行支付。</w:t>
      </w:r>
    </w:p>
    <w:p w14:paraId="6D84D0B5">
      <w:pPr>
        <w:pStyle w:val="2"/>
        <w:numPr>
          <w:ilvl w:val="-1"/>
          <w:numId w:val="0"/>
        </w:numPr>
        <w:wordWrap w:val="0"/>
        <w:topLinePunct/>
        <w:autoSpaceDE/>
        <w:autoSpaceDN/>
        <w:adjustRightInd w:val="0"/>
        <w:spacing w:before="161" w:line="364" w:lineRule="auto"/>
        <w:ind w:left="315" w:right="314" w:firstLine="440" w:firstLineChars="200"/>
        <w:jc w:val="both"/>
        <w:rPr>
          <w:b/>
          <w:sz w:val="24"/>
          <w:highlight w:val="none"/>
        </w:rPr>
      </w:pPr>
      <w:r>
        <w:rPr>
          <w:rFonts w:hint="default"/>
          <w:b w:val="0"/>
          <w:bCs w:val="0"/>
          <w:i w:val="0"/>
          <w:iCs w:val="0"/>
          <w:spacing w:val="-10"/>
          <w:sz w:val="24"/>
          <w:highlight w:val="none"/>
          <w:u w:val="none"/>
        </w:rPr>
        <w:t>本项目需要设置永久助航标志（航标、桥涵标）及永久桥梁智能防撞预警系统，避免出现航道通航安全事故发生，从业主下达开工令或开工报告审批之日起按业主要求设置永久助航标志（航标、桥涵标）及永久桥梁智能防撞预警系统，工程施工过程由业主监督，该永久助航标志工程须按照业主要求标准及相关规定进行验收，完成后需办理永久助航标志验收。施工项目全部完工并办理竣工验收、竣工结算、投入使用为止。</w:t>
      </w:r>
    </w:p>
    <w:p w14:paraId="388C7651">
      <w:pPr>
        <w:numPr>
          <w:ilvl w:val="0"/>
          <w:numId w:val="1"/>
        </w:numPr>
        <w:tabs>
          <w:tab w:val="left" w:pos="1040"/>
        </w:tabs>
        <w:wordWrap w:val="0"/>
        <w:topLinePunct/>
        <w:autoSpaceDE/>
        <w:autoSpaceDN/>
        <w:spacing w:before="0" w:line="305" w:lineRule="exact"/>
        <w:ind w:left="1039" w:right="0" w:hanging="243"/>
        <w:jc w:val="left"/>
        <w:rPr>
          <w:b/>
          <w:sz w:val="24"/>
          <w:highlight w:val="none"/>
        </w:rPr>
      </w:pPr>
      <w:r>
        <w:rPr>
          <w:b/>
          <w:sz w:val="24"/>
          <w:highlight w:val="none"/>
        </w:rPr>
        <w:t>投标人资格要求</w:t>
      </w:r>
    </w:p>
    <w:p w14:paraId="04A6967D">
      <w:pPr>
        <w:pStyle w:val="2"/>
        <w:numPr>
          <w:ilvl w:val="-1"/>
          <w:numId w:val="0"/>
        </w:numPr>
        <w:wordWrap w:val="0"/>
        <w:topLinePunct/>
        <w:adjustRightInd w:val="0"/>
        <w:spacing w:before="161" w:line="364" w:lineRule="auto"/>
        <w:ind w:left="315" w:right="314" w:firstLine="440" w:firstLineChars="200"/>
        <w:jc w:val="both"/>
        <w:rPr>
          <w:rFonts w:hint="default" w:eastAsia="宋体"/>
          <w:b w:val="0"/>
          <w:bCs w:val="0"/>
          <w:color w:val="auto"/>
          <w:spacing w:val="-10"/>
          <w:sz w:val="24"/>
          <w:szCs w:val="24"/>
          <w:highlight w:val="none"/>
          <w:u w:val="none"/>
          <w:lang w:eastAsia="zh-CN"/>
        </w:rPr>
      </w:pPr>
      <w:r>
        <w:rPr>
          <w:rFonts w:hint="default"/>
          <w:b w:val="0"/>
          <w:bCs w:val="0"/>
          <w:color w:val="auto"/>
          <w:spacing w:val="-10"/>
          <w:sz w:val="24"/>
          <w:szCs w:val="24"/>
          <w:highlight w:val="none"/>
          <w:u w:val="none"/>
        </w:rPr>
        <w:t>3.1</w:t>
      </w:r>
      <w:r>
        <w:rPr>
          <w:rFonts w:hint="default"/>
          <w:b w:val="0"/>
          <w:bCs w:val="0"/>
          <w:color w:val="auto"/>
          <w:spacing w:val="-10"/>
          <w:sz w:val="24"/>
          <w:szCs w:val="24"/>
          <w:highlight w:val="none"/>
          <w:u w:val="none"/>
          <w:lang w:val="en-US" w:eastAsia="zh-CN"/>
        </w:rPr>
        <w:t xml:space="preserve"> </w:t>
      </w:r>
      <w:r>
        <w:rPr>
          <w:rFonts w:hint="default"/>
          <w:b w:val="0"/>
          <w:bCs w:val="0"/>
          <w:color w:val="auto"/>
          <w:spacing w:val="-10"/>
          <w:sz w:val="24"/>
          <w:szCs w:val="24"/>
          <w:highlight w:val="none"/>
          <w:u w:val="none"/>
        </w:rPr>
        <w:t>本次招标要求投标人须具备有合法有效的安全生产许可证</w:t>
      </w:r>
      <w:r>
        <w:rPr>
          <w:rFonts w:hint="default"/>
          <w:b w:val="0"/>
          <w:bCs w:val="0"/>
          <w:color w:val="auto"/>
          <w:spacing w:val="-10"/>
          <w:sz w:val="24"/>
          <w:szCs w:val="24"/>
          <w:highlight w:val="none"/>
          <w:u w:val="none"/>
          <w:lang w:eastAsia="zh-CN"/>
        </w:rPr>
        <w:t>，</w:t>
      </w:r>
      <w:r>
        <w:rPr>
          <w:rFonts w:hint="default"/>
          <w:b w:val="0"/>
          <w:bCs w:val="0"/>
          <w:color w:val="auto"/>
          <w:spacing w:val="-10"/>
          <w:sz w:val="24"/>
          <w:szCs w:val="24"/>
          <w:highlight w:val="none"/>
          <w:u w:val="none"/>
          <w:lang w:val="en-US" w:eastAsia="zh-CN"/>
        </w:rPr>
        <w:t>并具</w:t>
      </w:r>
      <w:r>
        <w:rPr>
          <w:rFonts w:hint="default"/>
          <w:b w:val="0"/>
          <w:bCs w:val="0"/>
          <w:color w:val="auto"/>
          <w:spacing w:val="-10"/>
          <w:sz w:val="24"/>
          <w:szCs w:val="24"/>
          <w:highlight w:val="none"/>
          <w:u w:val="none"/>
        </w:rPr>
        <w:t>有</w:t>
      </w:r>
      <w:r>
        <w:rPr>
          <w:rFonts w:hint="default" w:ascii="宋体" w:hAnsi="宋体" w:eastAsia="宋体"/>
          <w:b w:val="0"/>
          <w:bCs w:val="0"/>
          <w:color w:val="auto"/>
          <w:spacing w:val="-10"/>
          <w:sz w:val="24"/>
          <w:szCs w:val="24"/>
          <w:highlight w:val="none"/>
          <w:u w:val="none"/>
        </w:rPr>
        <w:t>港口与航道工程施工总承包三级（或以上）资质或航道工程专业承包三级（或以上）资质</w:t>
      </w:r>
      <w:r>
        <w:rPr>
          <w:rFonts w:hint="default"/>
          <w:b w:val="0"/>
          <w:bCs w:val="0"/>
          <w:color w:val="auto"/>
          <w:spacing w:val="-10"/>
          <w:sz w:val="24"/>
          <w:szCs w:val="24"/>
          <w:highlight w:val="none"/>
          <w:u w:val="none"/>
          <w:lang w:eastAsia="zh-CN"/>
        </w:rPr>
        <w:t>；</w:t>
      </w:r>
    </w:p>
    <w:p w14:paraId="56C5FCD1">
      <w:pPr>
        <w:pStyle w:val="2"/>
        <w:numPr>
          <w:ilvl w:val="-1"/>
          <w:numId w:val="0"/>
        </w:numPr>
        <w:wordWrap w:val="0"/>
        <w:topLinePunct/>
        <w:adjustRightInd w:val="0"/>
        <w:spacing w:before="161" w:line="364" w:lineRule="auto"/>
        <w:ind w:left="315" w:right="314" w:firstLine="440" w:firstLineChars="200"/>
        <w:jc w:val="both"/>
        <w:rPr>
          <w:rFonts w:hint="default" w:ascii="宋体" w:hAnsi="宋体" w:cs="宋体"/>
          <w:b w:val="0"/>
          <w:bCs w:val="0"/>
          <w:color w:val="auto"/>
          <w:spacing w:val="-10"/>
          <w:kern w:val="0"/>
          <w:sz w:val="24"/>
          <w:szCs w:val="24"/>
          <w:highlight w:val="none"/>
          <w:u w:val="none"/>
          <w:lang w:eastAsia="zh-CN"/>
        </w:rPr>
      </w:pPr>
      <w:r>
        <w:rPr>
          <w:rFonts w:hint="default" w:ascii="宋体" w:hAnsi="宋体"/>
          <w:b w:val="0"/>
          <w:bCs w:val="0"/>
          <w:color w:val="auto"/>
          <w:spacing w:val="-10"/>
          <w:sz w:val="24"/>
          <w:szCs w:val="24"/>
          <w:highlight w:val="none"/>
          <w:u w:val="none"/>
          <w:lang w:val="en-US" w:eastAsia="zh-CN"/>
        </w:rPr>
        <w:t xml:space="preserve">3.2 </w:t>
      </w:r>
      <w:r>
        <w:rPr>
          <w:rFonts w:hint="default" w:ascii="宋体" w:hAnsi="宋体"/>
          <w:b w:val="0"/>
          <w:bCs w:val="0"/>
          <w:color w:val="auto"/>
          <w:spacing w:val="-10"/>
          <w:sz w:val="24"/>
          <w:szCs w:val="24"/>
          <w:highlight w:val="none"/>
          <w:u w:val="none"/>
        </w:rPr>
        <w:t>项目负责人</w:t>
      </w:r>
      <w:r>
        <w:rPr>
          <w:rFonts w:hint="default" w:cs="宋体"/>
          <w:b w:val="0"/>
          <w:bCs w:val="0"/>
          <w:color w:val="auto"/>
          <w:spacing w:val="-10"/>
          <w:sz w:val="24"/>
          <w:szCs w:val="24"/>
          <w:highlight w:val="none"/>
          <w:u w:val="none"/>
          <w:lang w:val="en-US" w:eastAsia="zh-CN"/>
        </w:rPr>
        <w:t>具有</w:t>
      </w:r>
      <w:r>
        <w:rPr>
          <w:rFonts w:hint="default" w:ascii="宋体" w:hAnsi="宋体" w:eastAsia="宋体" w:cs="宋体"/>
          <w:b w:val="0"/>
          <w:bCs w:val="0"/>
          <w:color w:val="auto"/>
          <w:spacing w:val="-10"/>
          <w:sz w:val="24"/>
          <w:highlight w:val="none"/>
          <w:u w:val="none"/>
          <w:lang w:eastAsia="zh-CN"/>
        </w:rPr>
        <w:t>有水运工程系列专业</w:t>
      </w:r>
      <w:r>
        <w:rPr>
          <w:rFonts w:hint="default" w:ascii="宋体" w:hAnsi="宋体" w:eastAsia="宋体" w:cs="宋体"/>
          <w:b w:val="0"/>
          <w:bCs w:val="0"/>
          <w:color w:val="auto"/>
          <w:spacing w:val="-10"/>
          <w:sz w:val="24"/>
          <w:highlight w:val="none"/>
          <w:u w:val="none"/>
          <w:lang w:val="en-US" w:eastAsia="zh-CN"/>
        </w:rPr>
        <w:t>中</w:t>
      </w:r>
      <w:r>
        <w:rPr>
          <w:rFonts w:hint="default" w:ascii="宋体" w:hAnsi="宋体" w:eastAsia="宋体" w:cs="宋体"/>
          <w:b w:val="0"/>
          <w:bCs w:val="0"/>
          <w:color w:val="auto"/>
          <w:spacing w:val="-10"/>
          <w:sz w:val="24"/>
          <w:highlight w:val="none"/>
          <w:u w:val="none"/>
          <w:lang w:eastAsia="zh-CN"/>
        </w:rPr>
        <w:t>级或以上职称，</w:t>
      </w:r>
      <w:r>
        <w:rPr>
          <w:rFonts w:hint="default" w:ascii="宋体" w:hAnsi="宋体" w:cs="宋体"/>
          <w:b w:val="0"/>
          <w:bCs w:val="0"/>
          <w:color w:val="auto"/>
          <w:spacing w:val="-10"/>
          <w:kern w:val="0"/>
          <w:sz w:val="24"/>
          <w:szCs w:val="24"/>
          <w:highlight w:val="none"/>
          <w:u w:val="none"/>
        </w:rPr>
        <w:t>具有</w:t>
      </w:r>
      <w:r>
        <w:rPr>
          <w:rFonts w:hint="default" w:ascii="宋体" w:hAnsi="宋体"/>
          <w:b w:val="0"/>
          <w:bCs w:val="0"/>
          <w:color w:val="auto"/>
          <w:spacing w:val="-10"/>
          <w:kern w:val="0"/>
          <w:sz w:val="24"/>
          <w:highlight w:val="none"/>
          <w:u w:val="none"/>
          <w:lang w:val="en-US" w:eastAsia="zh-CN"/>
        </w:rPr>
        <w:t>港口与航道工程</w:t>
      </w:r>
      <w:r>
        <w:rPr>
          <w:rFonts w:hint="eastAsia" w:cs="宋体"/>
          <w:b w:val="0"/>
          <w:bCs w:val="0"/>
          <w:color w:val="auto"/>
          <w:spacing w:val="-10"/>
          <w:kern w:val="0"/>
          <w:sz w:val="24"/>
          <w:szCs w:val="24"/>
          <w:highlight w:val="none"/>
          <w:u w:val="none"/>
          <w:lang w:val="en-US" w:eastAsia="zh-CN"/>
        </w:rPr>
        <w:t>壹</w:t>
      </w:r>
      <w:r>
        <w:rPr>
          <w:rFonts w:hint="default" w:ascii="宋体" w:hAnsi="宋体"/>
          <w:b w:val="0"/>
          <w:bCs w:val="0"/>
          <w:color w:val="auto"/>
          <w:spacing w:val="-10"/>
          <w:kern w:val="0"/>
          <w:sz w:val="24"/>
          <w:highlight w:val="none"/>
          <w:u w:val="none"/>
          <w:lang w:val="en-US" w:eastAsia="zh-CN"/>
        </w:rPr>
        <w:t>级的注册建造师，且必须为企业在岗人员，注册执业单位须与投标人登记时一致；项目负责人需持有交通运输部门颁发的有效的安全生产考核合格证书（B证），</w:t>
      </w:r>
      <w:r>
        <w:rPr>
          <w:rFonts w:hint="default" w:ascii="宋体" w:hAnsi="宋体" w:cs="宋体"/>
          <w:b w:val="0"/>
          <w:bCs w:val="0"/>
          <w:color w:val="auto"/>
          <w:spacing w:val="-10"/>
          <w:kern w:val="0"/>
          <w:sz w:val="24"/>
          <w:szCs w:val="24"/>
          <w:highlight w:val="none"/>
          <w:u w:val="none"/>
        </w:rPr>
        <w:t>至少5年工作经验，至少具有1项水运工程施工项目负责人或项目副经理或项目技术负责人工作经验</w:t>
      </w:r>
      <w:r>
        <w:rPr>
          <w:rFonts w:hint="default" w:ascii="宋体" w:hAnsi="宋体" w:cs="宋体"/>
          <w:b w:val="0"/>
          <w:bCs w:val="0"/>
          <w:color w:val="auto"/>
          <w:spacing w:val="-10"/>
          <w:kern w:val="0"/>
          <w:sz w:val="24"/>
          <w:szCs w:val="24"/>
          <w:highlight w:val="none"/>
          <w:u w:val="none"/>
          <w:lang w:eastAsia="zh-CN"/>
        </w:rPr>
        <w:t>。</w:t>
      </w:r>
    </w:p>
    <w:p w14:paraId="42AC4407">
      <w:pPr>
        <w:pStyle w:val="2"/>
        <w:numPr>
          <w:ilvl w:val="-1"/>
          <w:numId w:val="0"/>
        </w:numPr>
        <w:wordWrap w:val="0"/>
        <w:topLinePunct/>
        <w:adjustRightInd w:val="0"/>
        <w:spacing w:before="161" w:line="364" w:lineRule="auto"/>
        <w:ind w:left="315" w:right="314" w:firstLine="440" w:firstLineChars="200"/>
        <w:jc w:val="both"/>
        <w:rPr>
          <w:rFonts w:hint="default" w:eastAsia="宋体"/>
          <w:b w:val="0"/>
          <w:bCs w:val="0"/>
          <w:color w:val="auto"/>
          <w:spacing w:val="-10"/>
          <w:sz w:val="24"/>
          <w:szCs w:val="24"/>
          <w:highlight w:val="none"/>
          <w:u w:val="none"/>
          <w:lang w:eastAsia="zh-CN"/>
        </w:rPr>
      </w:pPr>
      <w:r>
        <w:rPr>
          <w:rFonts w:hint="default" w:cs="宋体"/>
          <w:b w:val="0"/>
          <w:bCs w:val="0"/>
          <w:color w:val="auto"/>
          <w:spacing w:val="-10"/>
          <w:kern w:val="0"/>
          <w:sz w:val="24"/>
          <w:szCs w:val="24"/>
          <w:highlight w:val="none"/>
          <w:u w:val="none"/>
          <w:lang w:val="en-US" w:eastAsia="zh-CN"/>
        </w:rPr>
        <w:t xml:space="preserve">3.3 </w:t>
      </w:r>
      <w:r>
        <w:rPr>
          <w:rFonts w:hint="default"/>
          <w:b w:val="0"/>
          <w:bCs w:val="0"/>
          <w:color w:val="auto"/>
          <w:spacing w:val="-10"/>
          <w:sz w:val="24"/>
          <w:szCs w:val="24"/>
          <w:highlight w:val="none"/>
          <w:u w:val="none"/>
        </w:rPr>
        <w:t>满足投标人须知附录4资格审查条件(信誉最低要求)，并在人员等方面具有相应的施工能力</w:t>
      </w:r>
      <w:r>
        <w:rPr>
          <w:rFonts w:hint="default"/>
          <w:b w:val="0"/>
          <w:bCs w:val="0"/>
          <w:color w:val="auto"/>
          <w:spacing w:val="-10"/>
          <w:sz w:val="24"/>
          <w:szCs w:val="24"/>
          <w:highlight w:val="none"/>
          <w:u w:val="none"/>
          <w:lang w:eastAsia="zh-CN"/>
        </w:rPr>
        <w:t>；</w:t>
      </w:r>
    </w:p>
    <w:p w14:paraId="24063069">
      <w:pPr>
        <w:pStyle w:val="2"/>
        <w:numPr>
          <w:ilvl w:val="-1"/>
          <w:numId w:val="0"/>
        </w:numPr>
        <w:wordWrap w:val="0"/>
        <w:topLinePunct/>
        <w:adjustRightInd w:val="0"/>
        <w:spacing w:before="161" w:line="364" w:lineRule="auto"/>
        <w:ind w:left="315" w:right="314" w:firstLine="440" w:firstLineChars="200"/>
        <w:jc w:val="both"/>
        <w:rPr>
          <w:rFonts w:hint="default"/>
          <w:b w:val="0"/>
          <w:bCs w:val="0"/>
          <w:color w:val="auto"/>
          <w:spacing w:val="-10"/>
          <w:sz w:val="24"/>
          <w:szCs w:val="24"/>
          <w:highlight w:val="none"/>
          <w:u w:val="none"/>
          <w:lang w:val="en-US" w:eastAsia="zh-CN"/>
        </w:rPr>
      </w:pPr>
      <w:r>
        <w:rPr>
          <w:rFonts w:hint="default"/>
          <w:b w:val="0"/>
          <w:bCs w:val="0"/>
          <w:color w:val="auto"/>
          <w:spacing w:val="-10"/>
          <w:sz w:val="24"/>
          <w:szCs w:val="24"/>
          <w:highlight w:val="none"/>
          <w:u w:val="none"/>
        </w:rPr>
        <w:t>3.</w:t>
      </w:r>
      <w:r>
        <w:rPr>
          <w:rFonts w:hint="default"/>
          <w:b w:val="0"/>
          <w:bCs w:val="0"/>
          <w:color w:val="auto"/>
          <w:spacing w:val="-10"/>
          <w:sz w:val="24"/>
          <w:szCs w:val="24"/>
          <w:highlight w:val="none"/>
          <w:u w:val="none"/>
          <w:lang w:val="en-US" w:eastAsia="zh-CN"/>
        </w:rPr>
        <w:t>4 本次招标不接受联合体投标；</w:t>
      </w:r>
    </w:p>
    <w:p w14:paraId="09752660">
      <w:pPr>
        <w:pStyle w:val="2"/>
        <w:numPr>
          <w:ilvl w:val="-1"/>
          <w:numId w:val="0"/>
        </w:numPr>
        <w:wordWrap w:val="0"/>
        <w:topLinePunct/>
        <w:adjustRightInd w:val="0"/>
        <w:spacing w:before="161" w:line="364" w:lineRule="auto"/>
        <w:ind w:left="315" w:right="314" w:firstLine="440" w:firstLineChars="200"/>
        <w:jc w:val="both"/>
        <w:rPr>
          <w:rFonts w:hint="default"/>
          <w:b w:val="0"/>
          <w:bCs w:val="0"/>
          <w:color w:val="auto"/>
          <w:spacing w:val="-10"/>
          <w:sz w:val="24"/>
          <w:szCs w:val="24"/>
          <w:highlight w:val="none"/>
          <w:u w:val="none"/>
          <w:lang w:val="en-US" w:eastAsia="zh-CN"/>
        </w:rPr>
      </w:pPr>
      <w:r>
        <w:rPr>
          <w:rFonts w:hint="default"/>
          <w:b w:val="0"/>
          <w:bCs w:val="0"/>
          <w:color w:val="auto"/>
          <w:spacing w:val="-10"/>
          <w:sz w:val="24"/>
          <w:szCs w:val="24"/>
          <w:highlight w:val="none"/>
          <w:u w:val="none"/>
          <w:lang w:val="en-US" w:eastAsia="zh-CN"/>
        </w:rPr>
        <w:t>3.5 与招标人存在利害关系可能影响招标公正性的法人、其他组织或个人，不得参加投标。单位负责人为同一人或者存在控股、管理关系的不同单位，不得参加同一标段投标或者未划分标段的同一招标项目投标，否则按否决其投标处理。（注：单位负责人是指单位的法定代表人或者法律、行政法规规定代表单位行使职权的主要负责人；控股是指股份占股份有限公司股本总额的 50%以上的绝对控股、相对控股或协议控股；管理关系是指不具有出资持股关系的其他单位之间存在的管理与被管理关系）</w:t>
      </w:r>
    </w:p>
    <w:p w14:paraId="63BFC425">
      <w:pPr>
        <w:pStyle w:val="2"/>
        <w:numPr>
          <w:ilvl w:val="-1"/>
          <w:numId w:val="0"/>
        </w:numPr>
        <w:wordWrap w:val="0"/>
        <w:topLinePunct/>
        <w:adjustRightInd w:val="0"/>
        <w:spacing w:before="161" w:line="364" w:lineRule="auto"/>
        <w:ind w:left="315" w:right="314" w:firstLine="440" w:firstLineChars="200"/>
        <w:jc w:val="both"/>
        <w:rPr>
          <w:rFonts w:hint="default" w:ascii="宋体" w:hAnsi="宋体" w:eastAsia="宋体" w:cs="宋体"/>
          <w:spacing w:val="-10"/>
          <w:sz w:val="24"/>
          <w:szCs w:val="24"/>
          <w:highlight w:val="none"/>
          <w:u w:val="none"/>
          <w:lang w:eastAsia="zh-CN"/>
        </w:rPr>
      </w:pPr>
      <w:r>
        <w:rPr>
          <w:rFonts w:hint="default"/>
          <w:spacing w:val="-10"/>
          <w:sz w:val="24"/>
          <w:szCs w:val="24"/>
          <w:highlight w:val="none"/>
          <w:u w:val="none"/>
          <w:lang w:val="en-US" w:eastAsia="zh-CN"/>
        </w:rPr>
        <w:t>3.6</w:t>
      </w:r>
      <w:r>
        <w:rPr>
          <w:rFonts w:hint="eastAsia"/>
          <w:spacing w:val="-10"/>
          <w:sz w:val="24"/>
          <w:szCs w:val="24"/>
          <w:highlight w:val="none"/>
          <w:u w:val="none"/>
          <w:lang w:val="en-US" w:eastAsia="zh-CN"/>
        </w:rPr>
        <w:t xml:space="preserve"> </w:t>
      </w:r>
      <w:r>
        <w:rPr>
          <w:rFonts w:hint="default" w:ascii="宋体" w:hAnsi="宋体" w:cs="宋体"/>
          <w:color w:val="auto"/>
          <w:spacing w:val="-10"/>
          <w:sz w:val="24"/>
          <w:szCs w:val="24"/>
          <w:highlight w:val="none"/>
          <w:u w:val="none"/>
        </w:rPr>
        <w:t>未被列入拖欠农民工工资失信联合惩戒对象名单</w:t>
      </w:r>
      <w:r>
        <w:rPr>
          <w:rFonts w:hint="default" w:ascii="宋体" w:hAnsi="宋体" w:eastAsia="宋体" w:cs="宋体"/>
          <w:spacing w:val="-10"/>
          <w:sz w:val="24"/>
          <w:szCs w:val="24"/>
          <w:highlight w:val="none"/>
          <w:u w:val="none"/>
          <w:lang w:eastAsia="zh-CN"/>
        </w:rPr>
        <w:t>；</w:t>
      </w:r>
    </w:p>
    <w:p w14:paraId="04721B8B">
      <w:pPr>
        <w:pStyle w:val="2"/>
        <w:numPr>
          <w:ilvl w:val="-1"/>
          <w:numId w:val="0"/>
        </w:numPr>
        <w:wordWrap w:val="0"/>
        <w:topLinePunct/>
        <w:adjustRightInd w:val="0"/>
        <w:spacing w:before="161" w:line="364" w:lineRule="auto"/>
        <w:ind w:left="315" w:right="314" w:firstLine="440" w:firstLineChars="200"/>
        <w:jc w:val="both"/>
        <w:rPr>
          <w:rFonts w:hint="default" w:ascii="宋体" w:hAnsi="宋体"/>
          <w:color w:val="auto"/>
          <w:sz w:val="24"/>
          <w:highlight w:val="none"/>
          <w:lang w:val="en-US" w:eastAsia="zh-CN"/>
        </w:rPr>
      </w:pPr>
      <w:r>
        <w:rPr>
          <w:rFonts w:hint="default" w:ascii="宋体" w:hAnsi="宋体" w:eastAsia="宋体" w:cs="宋体"/>
          <w:spacing w:val="-10"/>
          <w:sz w:val="24"/>
          <w:szCs w:val="24"/>
          <w:highlight w:val="none"/>
          <w:u w:val="none"/>
          <w:lang w:val="en-US" w:eastAsia="zh-CN"/>
        </w:rPr>
        <w:t>3.</w:t>
      </w:r>
      <w:r>
        <w:rPr>
          <w:rFonts w:hint="default" w:cs="宋体"/>
          <w:spacing w:val="-10"/>
          <w:sz w:val="24"/>
          <w:szCs w:val="24"/>
          <w:highlight w:val="none"/>
          <w:u w:val="none"/>
          <w:lang w:val="en-US" w:eastAsia="zh-CN"/>
        </w:rPr>
        <w:t>7</w:t>
      </w:r>
      <w:r>
        <w:rPr>
          <w:rFonts w:hint="eastAsia" w:cs="宋体"/>
          <w:spacing w:val="-10"/>
          <w:sz w:val="24"/>
          <w:szCs w:val="24"/>
          <w:highlight w:val="none"/>
          <w:u w:val="none"/>
          <w:lang w:val="en-US" w:eastAsia="zh-CN"/>
        </w:rPr>
        <w:t xml:space="preserve"> </w:t>
      </w:r>
      <w:r>
        <w:rPr>
          <w:rFonts w:hint="default" w:ascii="宋体" w:hAnsi="宋体"/>
          <w:b w:val="0"/>
          <w:bCs w:val="0"/>
          <w:color w:val="auto"/>
          <w:spacing w:val="-10"/>
          <w:sz w:val="24"/>
          <w:highlight w:val="none"/>
          <w:u w:val="none"/>
        </w:rPr>
        <w:t>资格审查前，投标人须在广州交易集团有限公司（广州公共资源交易中心）办理企业信息登记及拟担任本工程的项目负责人、专职安全员须是本企业在广州交易集团有限公司（广州公共资源交易中心）企业信息登记中的在册人员。</w:t>
      </w:r>
      <w:r>
        <w:rPr>
          <w:rFonts w:hint="default" w:ascii="宋体" w:hAnsi="宋体"/>
          <w:b w:val="0"/>
          <w:bCs w:val="0"/>
          <w:color w:val="auto"/>
          <w:spacing w:val="-10"/>
          <w:sz w:val="24"/>
          <w:highlight w:val="none"/>
          <w:u w:val="none"/>
          <w:lang w:eastAsia="zh-CN"/>
        </w:rPr>
        <w:t>投标人须在资格审查前及时维护、更新本企业信息，及时上传相关证件，确保拟委派的项目负责人、专职安全员等相关信息、证件等能有效且被使用，因投标人未及时维护、更新在</w:t>
      </w:r>
      <w:r>
        <w:rPr>
          <w:rFonts w:hint="default" w:ascii="宋体" w:hAnsi="宋体"/>
          <w:b w:val="0"/>
          <w:bCs w:val="0"/>
          <w:color w:val="auto"/>
          <w:spacing w:val="-10"/>
          <w:sz w:val="24"/>
          <w:highlight w:val="none"/>
          <w:u w:val="none"/>
        </w:rPr>
        <w:t>广州交易集团有限公司（广州公共资源交易中心）企业信息库</w:t>
      </w:r>
      <w:r>
        <w:rPr>
          <w:rFonts w:hint="default" w:ascii="宋体" w:hAnsi="宋体"/>
          <w:b w:val="0"/>
          <w:bCs w:val="0"/>
          <w:color w:val="auto"/>
          <w:spacing w:val="-10"/>
          <w:sz w:val="24"/>
          <w:highlight w:val="none"/>
          <w:u w:val="none"/>
          <w:lang w:eastAsia="zh-CN"/>
        </w:rPr>
        <w:t>内的信息，造成其资格审查不合格或不通过的，后果由投标人自行承担</w:t>
      </w:r>
      <w:r>
        <w:rPr>
          <w:rFonts w:hint="default" w:ascii="宋体" w:hAnsi="宋体"/>
          <w:color w:val="auto"/>
          <w:spacing w:val="-10"/>
          <w:sz w:val="24"/>
          <w:highlight w:val="none"/>
          <w:u w:val="none"/>
          <w:lang w:eastAsia="zh-CN"/>
        </w:rPr>
        <w:t>。</w:t>
      </w:r>
    </w:p>
    <w:p w14:paraId="1B1DDD46">
      <w:pPr>
        <w:numPr>
          <w:ilvl w:val="0"/>
          <w:numId w:val="1"/>
        </w:numPr>
        <w:tabs>
          <w:tab w:val="left" w:pos="1040"/>
        </w:tabs>
        <w:wordWrap w:val="0"/>
        <w:topLinePunct/>
        <w:autoSpaceDE/>
        <w:autoSpaceDN/>
        <w:spacing w:before="0" w:line="307" w:lineRule="exact"/>
        <w:ind w:left="1039" w:right="0" w:hanging="243"/>
        <w:jc w:val="left"/>
        <w:rPr>
          <w:b/>
          <w:sz w:val="24"/>
          <w:highlight w:val="none"/>
        </w:rPr>
      </w:pPr>
      <w:r>
        <w:rPr>
          <w:b/>
          <w:sz w:val="24"/>
          <w:highlight w:val="none"/>
        </w:rPr>
        <w:t>招标文件的获取</w:t>
      </w:r>
    </w:p>
    <w:p w14:paraId="5D85A2FB">
      <w:pPr>
        <w:pStyle w:val="2"/>
        <w:numPr>
          <w:ilvl w:val="-1"/>
          <w:numId w:val="0"/>
        </w:numPr>
        <w:wordWrap w:val="0"/>
        <w:topLinePunct/>
        <w:autoSpaceDE/>
        <w:autoSpaceDN/>
        <w:adjustRightInd w:val="0"/>
        <w:spacing w:before="161" w:after="0" w:line="360" w:lineRule="auto"/>
        <w:ind w:left="315" w:right="314" w:firstLine="440"/>
        <w:jc w:val="both"/>
        <w:rPr>
          <w:rFonts w:hint="default"/>
          <w:spacing w:val="-10"/>
          <w:sz w:val="24"/>
          <w:szCs w:val="24"/>
          <w:highlight w:val="none"/>
          <w:u w:val="none"/>
          <w:lang w:eastAsia="zh-CN"/>
        </w:rPr>
      </w:pPr>
      <w:r>
        <w:rPr>
          <w:rFonts w:hint="default"/>
          <w:spacing w:val="-10"/>
          <w:sz w:val="24"/>
          <w:szCs w:val="24"/>
          <w:highlight w:val="none"/>
          <w:u w:val="none"/>
          <w:lang w:eastAsia="zh-CN"/>
        </w:rPr>
        <w:t>4.1凡有意参加投标者，请于202</w:t>
      </w:r>
      <w:r>
        <w:rPr>
          <w:rFonts w:hint="default"/>
          <w:spacing w:val="-10"/>
          <w:sz w:val="24"/>
          <w:szCs w:val="24"/>
          <w:highlight w:val="none"/>
          <w:u w:val="none"/>
          <w:lang w:val="en-US" w:eastAsia="zh-CN"/>
        </w:rPr>
        <w:t>5</w:t>
      </w:r>
      <w:r>
        <w:rPr>
          <w:rFonts w:hint="default"/>
          <w:spacing w:val="-10"/>
          <w:sz w:val="24"/>
          <w:szCs w:val="24"/>
          <w:highlight w:val="none"/>
          <w:u w:val="none"/>
          <w:lang w:eastAsia="zh-CN"/>
        </w:rPr>
        <w:t>年</w:t>
      </w:r>
      <w:r>
        <w:rPr>
          <w:rFonts w:hint="default"/>
          <w:spacing w:val="-10"/>
          <w:sz w:val="24"/>
          <w:szCs w:val="24"/>
          <w:highlight w:val="none"/>
          <w:u w:val="single"/>
          <w:lang w:eastAsia="zh-CN"/>
        </w:rPr>
        <w:t xml:space="preserve">   </w:t>
      </w:r>
      <w:r>
        <w:rPr>
          <w:rFonts w:hint="default"/>
          <w:spacing w:val="-10"/>
          <w:sz w:val="24"/>
          <w:szCs w:val="24"/>
          <w:highlight w:val="none"/>
          <w:u w:val="none"/>
          <w:lang w:eastAsia="zh-CN"/>
        </w:rPr>
        <w:t>月</w:t>
      </w:r>
      <w:r>
        <w:rPr>
          <w:rFonts w:hint="default"/>
          <w:spacing w:val="-10"/>
          <w:sz w:val="24"/>
          <w:szCs w:val="24"/>
          <w:highlight w:val="none"/>
          <w:u w:val="single"/>
          <w:lang w:eastAsia="zh-CN"/>
        </w:rPr>
        <w:t xml:space="preserve">   </w:t>
      </w:r>
      <w:r>
        <w:rPr>
          <w:rFonts w:hint="default"/>
          <w:spacing w:val="-10"/>
          <w:sz w:val="24"/>
          <w:szCs w:val="24"/>
          <w:highlight w:val="none"/>
          <w:u w:val="none"/>
          <w:lang w:eastAsia="zh-CN"/>
        </w:rPr>
        <w:t>日</w:t>
      </w:r>
      <w:r>
        <w:rPr>
          <w:rFonts w:hint="default"/>
          <w:spacing w:val="-10"/>
          <w:sz w:val="24"/>
          <w:szCs w:val="24"/>
          <w:highlight w:val="none"/>
          <w:u w:val="single"/>
          <w:lang w:val="en-US" w:eastAsia="zh-CN"/>
        </w:rPr>
        <w:t xml:space="preserve">  </w:t>
      </w:r>
      <w:r>
        <w:rPr>
          <w:rFonts w:hint="default"/>
          <w:spacing w:val="-10"/>
          <w:sz w:val="24"/>
          <w:szCs w:val="24"/>
          <w:highlight w:val="none"/>
          <w:u w:val="none"/>
          <w:lang w:eastAsia="zh-CN"/>
        </w:rPr>
        <w:t>时</w:t>
      </w:r>
      <w:r>
        <w:rPr>
          <w:rFonts w:hint="default"/>
          <w:spacing w:val="-10"/>
          <w:sz w:val="24"/>
          <w:szCs w:val="24"/>
          <w:highlight w:val="none"/>
          <w:u w:val="single"/>
          <w:lang w:val="en-US" w:eastAsia="zh-CN"/>
        </w:rPr>
        <w:t xml:space="preserve">  </w:t>
      </w:r>
      <w:r>
        <w:rPr>
          <w:rFonts w:hint="default"/>
          <w:spacing w:val="-10"/>
          <w:sz w:val="24"/>
          <w:szCs w:val="24"/>
          <w:highlight w:val="none"/>
          <w:u w:val="none"/>
          <w:lang w:eastAsia="zh-CN"/>
        </w:rPr>
        <w:t>分至202</w:t>
      </w:r>
      <w:r>
        <w:rPr>
          <w:rFonts w:hint="default"/>
          <w:spacing w:val="-10"/>
          <w:sz w:val="24"/>
          <w:szCs w:val="24"/>
          <w:highlight w:val="none"/>
          <w:u w:val="none"/>
          <w:lang w:val="en-US" w:eastAsia="zh-CN"/>
        </w:rPr>
        <w:t>5</w:t>
      </w:r>
      <w:r>
        <w:rPr>
          <w:rFonts w:hint="default"/>
          <w:spacing w:val="-10"/>
          <w:sz w:val="24"/>
          <w:szCs w:val="24"/>
          <w:highlight w:val="none"/>
          <w:u w:val="none"/>
          <w:lang w:eastAsia="zh-CN"/>
        </w:rPr>
        <w:t>年</w:t>
      </w:r>
      <w:r>
        <w:rPr>
          <w:rFonts w:hint="default"/>
          <w:spacing w:val="-10"/>
          <w:sz w:val="24"/>
          <w:szCs w:val="24"/>
          <w:highlight w:val="none"/>
          <w:u w:val="single"/>
          <w:lang w:eastAsia="zh-CN"/>
        </w:rPr>
        <w:t xml:space="preserve">   </w:t>
      </w:r>
      <w:r>
        <w:rPr>
          <w:rFonts w:hint="default"/>
          <w:spacing w:val="-10"/>
          <w:sz w:val="24"/>
          <w:szCs w:val="24"/>
          <w:highlight w:val="none"/>
          <w:u w:val="none"/>
          <w:lang w:eastAsia="zh-CN"/>
        </w:rPr>
        <w:t>月</w:t>
      </w:r>
      <w:r>
        <w:rPr>
          <w:rFonts w:hint="default"/>
          <w:spacing w:val="-10"/>
          <w:sz w:val="24"/>
          <w:szCs w:val="24"/>
          <w:highlight w:val="none"/>
          <w:u w:val="single"/>
          <w:lang w:eastAsia="zh-CN"/>
        </w:rPr>
        <w:t xml:space="preserve">   </w:t>
      </w:r>
      <w:r>
        <w:rPr>
          <w:rFonts w:hint="default"/>
          <w:spacing w:val="-10"/>
          <w:sz w:val="24"/>
          <w:szCs w:val="24"/>
          <w:highlight w:val="none"/>
          <w:u w:val="none"/>
          <w:lang w:eastAsia="zh-CN"/>
        </w:rPr>
        <w:t>日</w:t>
      </w:r>
      <w:r>
        <w:rPr>
          <w:rFonts w:hint="default"/>
          <w:spacing w:val="-10"/>
          <w:sz w:val="24"/>
          <w:szCs w:val="24"/>
          <w:highlight w:val="none"/>
          <w:u w:val="single"/>
          <w:lang w:val="en-US" w:eastAsia="zh-CN"/>
        </w:rPr>
        <w:t xml:space="preserve">  </w:t>
      </w:r>
      <w:r>
        <w:rPr>
          <w:rFonts w:hint="default"/>
          <w:spacing w:val="-10"/>
          <w:sz w:val="24"/>
          <w:szCs w:val="24"/>
          <w:highlight w:val="none"/>
          <w:u w:val="none"/>
          <w:lang w:eastAsia="zh-CN"/>
        </w:rPr>
        <w:t>时</w:t>
      </w:r>
      <w:r>
        <w:rPr>
          <w:rFonts w:hint="default"/>
          <w:spacing w:val="-10"/>
          <w:sz w:val="24"/>
          <w:szCs w:val="24"/>
          <w:highlight w:val="none"/>
          <w:u w:val="none"/>
          <w:lang w:val="en-US" w:eastAsia="zh-CN"/>
        </w:rPr>
        <w:t xml:space="preserve">  </w:t>
      </w:r>
      <w:r>
        <w:rPr>
          <w:rFonts w:hint="default"/>
          <w:spacing w:val="-10"/>
          <w:sz w:val="24"/>
          <w:szCs w:val="24"/>
          <w:highlight w:val="none"/>
          <w:u w:val="none"/>
          <w:lang w:eastAsia="zh-CN"/>
        </w:rPr>
        <w:t>分（北京时间，下同），登录广州交易集团有限公司（广州公共资源交易中心）网站</w:t>
      </w:r>
      <w:r>
        <w:rPr>
          <w:rFonts w:hint="default"/>
          <w:spacing w:val="-10"/>
          <w:sz w:val="24"/>
          <w:szCs w:val="24"/>
          <w:highlight w:val="none"/>
          <w:u w:val="none"/>
          <w:lang w:val="en-US" w:eastAsia="zh-CN"/>
        </w:rPr>
        <w:t>或广东省招标投标监管网</w:t>
      </w:r>
      <w:r>
        <w:rPr>
          <w:rFonts w:hint="default"/>
          <w:spacing w:val="-10"/>
          <w:sz w:val="24"/>
          <w:szCs w:val="24"/>
          <w:highlight w:val="none"/>
          <w:u w:val="none"/>
          <w:lang w:eastAsia="zh-CN"/>
        </w:rPr>
        <w:t>下载招标文件及项目相关资料。</w:t>
      </w:r>
    </w:p>
    <w:p w14:paraId="66A18C50">
      <w:pPr>
        <w:pStyle w:val="2"/>
        <w:numPr>
          <w:ilvl w:val="0"/>
          <w:numId w:val="0"/>
        </w:numPr>
        <w:wordWrap w:val="0"/>
        <w:topLinePunct/>
        <w:autoSpaceDE/>
        <w:autoSpaceDN/>
        <w:adjustRightInd w:val="0"/>
        <w:spacing w:before="161" w:line="364" w:lineRule="auto"/>
        <w:ind w:left="315" w:right="314" w:firstLine="440"/>
        <w:jc w:val="both"/>
        <w:rPr>
          <w:rFonts w:hint="eastAsia"/>
          <w:spacing w:val="-9"/>
          <w:sz w:val="24"/>
          <w:szCs w:val="24"/>
          <w:highlight w:val="none"/>
        </w:rPr>
      </w:pPr>
      <w:r>
        <w:rPr>
          <w:rFonts w:hint="default"/>
          <w:spacing w:val="-10"/>
          <w:sz w:val="24"/>
          <w:szCs w:val="24"/>
          <w:highlight w:val="none"/>
          <w:u w:val="none"/>
          <w:lang w:eastAsia="zh-CN"/>
        </w:rPr>
        <w:t>4.2递交投标文件起始时间：202</w:t>
      </w:r>
      <w:r>
        <w:rPr>
          <w:rFonts w:hint="default"/>
          <w:spacing w:val="-10"/>
          <w:sz w:val="24"/>
          <w:szCs w:val="24"/>
          <w:highlight w:val="none"/>
          <w:u w:val="none"/>
          <w:lang w:val="en-US" w:eastAsia="zh-CN"/>
        </w:rPr>
        <w:t>5</w:t>
      </w:r>
      <w:r>
        <w:rPr>
          <w:rFonts w:hint="default"/>
          <w:spacing w:val="-10"/>
          <w:sz w:val="24"/>
          <w:szCs w:val="24"/>
          <w:highlight w:val="none"/>
          <w:u w:val="none"/>
          <w:lang w:eastAsia="zh-CN"/>
        </w:rPr>
        <w:t>年</w:t>
      </w:r>
      <w:r>
        <w:rPr>
          <w:rFonts w:hint="default"/>
          <w:spacing w:val="-10"/>
          <w:sz w:val="24"/>
          <w:szCs w:val="24"/>
          <w:highlight w:val="none"/>
          <w:u w:val="single"/>
          <w:lang w:eastAsia="zh-CN"/>
        </w:rPr>
        <w:t xml:space="preserve">   </w:t>
      </w:r>
      <w:r>
        <w:rPr>
          <w:rFonts w:hint="default"/>
          <w:spacing w:val="-10"/>
          <w:sz w:val="24"/>
          <w:szCs w:val="24"/>
          <w:highlight w:val="none"/>
          <w:u w:val="none"/>
          <w:lang w:eastAsia="zh-CN"/>
        </w:rPr>
        <w:t xml:space="preserve"> 月 </w:t>
      </w:r>
      <w:r>
        <w:rPr>
          <w:rFonts w:hint="default"/>
          <w:spacing w:val="-10"/>
          <w:sz w:val="24"/>
          <w:szCs w:val="24"/>
          <w:highlight w:val="none"/>
          <w:u w:val="single"/>
          <w:lang w:eastAsia="zh-CN"/>
        </w:rPr>
        <w:t xml:space="preserve">   </w:t>
      </w:r>
      <w:r>
        <w:rPr>
          <w:rFonts w:hint="default"/>
          <w:spacing w:val="-10"/>
          <w:sz w:val="24"/>
          <w:szCs w:val="24"/>
          <w:highlight w:val="none"/>
          <w:u w:val="none"/>
          <w:lang w:eastAsia="zh-CN"/>
        </w:rPr>
        <w:t>日</w:t>
      </w:r>
      <w:r>
        <w:rPr>
          <w:rFonts w:hint="default"/>
          <w:spacing w:val="-10"/>
          <w:sz w:val="24"/>
          <w:szCs w:val="24"/>
          <w:highlight w:val="none"/>
          <w:u w:val="single"/>
          <w:lang w:val="en-US" w:eastAsia="zh-CN"/>
        </w:rPr>
        <w:t xml:space="preserve">  </w:t>
      </w:r>
      <w:r>
        <w:rPr>
          <w:rFonts w:hint="default"/>
          <w:spacing w:val="-10"/>
          <w:sz w:val="24"/>
          <w:szCs w:val="24"/>
          <w:highlight w:val="none"/>
          <w:u w:val="none"/>
          <w:lang w:eastAsia="zh-CN"/>
        </w:rPr>
        <w:t>时</w:t>
      </w:r>
      <w:r>
        <w:rPr>
          <w:rFonts w:hint="default"/>
          <w:spacing w:val="-10"/>
          <w:sz w:val="24"/>
          <w:szCs w:val="24"/>
          <w:highlight w:val="none"/>
          <w:u w:val="single"/>
          <w:lang w:val="en-US" w:eastAsia="zh-CN"/>
        </w:rPr>
        <w:t xml:space="preserve">  </w:t>
      </w:r>
      <w:r>
        <w:rPr>
          <w:rFonts w:hint="eastAsia"/>
          <w:spacing w:val="-10"/>
          <w:sz w:val="24"/>
          <w:szCs w:val="24"/>
          <w:highlight w:val="none"/>
          <w:u w:val="single"/>
          <w:lang w:val="en-US" w:eastAsia="zh-CN"/>
        </w:rPr>
        <w:t xml:space="preserve"> </w:t>
      </w:r>
      <w:r>
        <w:rPr>
          <w:rFonts w:hint="default"/>
          <w:spacing w:val="-10"/>
          <w:sz w:val="24"/>
          <w:szCs w:val="24"/>
          <w:highlight w:val="none"/>
          <w:u w:val="none"/>
          <w:lang w:eastAsia="zh-CN"/>
        </w:rPr>
        <w:t>分；</w:t>
      </w:r>
    </w:p>
    <w:p w14:paraId="0D3B51BE">
      <w:pPr>
        <w:numPr>
          <w:ilvl w:val="0"/>
          <w:numId w:val="1"/>
        </w:numPr>
        <w:tabs>
          <w:tab w:val="left" w:pos="1040"/>
        </w:tabs>
        <w:wordWrap w:val="0"/>
        <w:topLinePunct/>
        <w:autoSpaceDE/>
        <w:autoSpaceDN/>
        <w:spacing w:before="158"/>
        <w:ind w:left="1039" w:right="0" w:hanging="243"/>
        <w:jc w:val="left"/>
        <w:rPr>
          <w:b/>
          <w:sz w:val="24"/>
          <w:highlight w:val="none"/>
        </w:rPr>
      </w:pPr>
      <w:r>
        <w:rPr>
          <w:b/>
          <w:sz w:val="24"/>
          <w:highlight w:val="none"/>
        </w:rPr>
        <w:t>投标文件的递交</w:t>
      </w:r>
    </w:p>
    <w:p w14:paraId="374B1708">
      <w:pPr>
        <w:pStyle w:val="8"/>
        <w:numPr>
          <w:ilvl w:val="1"/>
          <w:numId w:val="1"/>
        </w:numPr>
        <w:tabs>
          <w:tab w:val="left" w:pos="1216"/>
        </w:tabs>
        <w:wordWrap w:val="0"/>
        <w:topLinePunct/>
        <w:autoSpaceDE/>
        <w:autoSpaceDN/>
        <w:spacing w:before="161" w:after="0" w:line="240" w:lineRule="auto"/>
        <w:ind w:left="1216" w:right="0" w:hanging="420"/>
        <w:jc w:val="left"/>
        <w:rPr>
          <w:sz w:val="24"/>
          <w:highlight w:val="none"/>
        </w:rPr>
      </w:pPr>
      <w:r>
        <w:rPr>
          <w:sz w:val="24"/>
          <w:highlight w:val="none"/>
        </w:rPr>
        <w:t>招标人不组织工程现场踏勘和不召开投标预备会。</w:t>
      </w:r>
    </w:p>
    <w:p w14:paraId="145ECF7C">
      <w:pPr>
        <w:pStyle w:val="8"/>
        <w:numPr>
          <w:ilvl w:val="1"/>
          <w:numId w:val="1"/>
        </w:numPr>
        <w:tabs>
          <w:tab w:val="left" w:pos="1216"/>
        </w:tabs>
        <w:wordWrap w:val="0"/>
        <w:topLinePunct/>
        <w:autoSpaceDE/>
        <w:autoSpaceDN/>
        <w:spacing w:before="158" w:after="0" w:line="364" w:lineRule="auto"/>
        <w:ind w:left="316" w:right="314" w:firstLine="480"/>
        <w:jc w:val="both"/>
        <w:rPr>
          <w:sz w:val="24"/>
          <w:highlight w:val="none"/>
        </w:rPr>
      </w:pPr>
      <w:r>
        <w:rPr>
          <w:sz w:val="24"/>
          <w:highlight w:val="none"/>
        </w:rPr>
        <w:t>投标文件递交的截止时间（投标截止时间，下同）</w:t>
      </w:r>
      <w:r>
        <w:rPr>
          <w:spacing w:val="-30"/>
          <w:sz w:val="24"/>
          <w:highlight w:val="none"/>
        </w:rPr>
        <w:t xml:space="preserve">为 </w:t>
      </w:r>
      <w:r>
        <w:rPr>
          <w:sz w:val="24"/>
          <w:highlight w:val="none"/>
          <w:u w:val="single"/>
        </w:rPr>
        <w:t>202</w:t>
      </w:r>
      <w:r>
        <w:rPr>
          <w:rFonts w:hint="eastAsia"/>
          <w:sz w:val="24"/>
          <w:highlight w:val="none"/>
          <w:u w:val="single"/>
          <w:lang w:val="en-US" w:eastAsia="zh-CN"/>
        </w:rPr>
        <w:t>5</w:t>
      </w:r>
      <w:r>
        <w:rPr>
          <w:spacing w:val="-30"/>
          <w:sz w:val="24"/>
          <w:highlight w:val="none"/>
        </w:rPr>
        <w:t xml:space="preserve"> 年</w:t>
      </w:r>
      <w:r>
        <w:rPr>
          <w:sz w:val="24"/>
          <w:highlight w:val="none"/>
          <w:u w:val="single"/>
        </w:rPr>
        <w:t xml:space="preserve"> </w:t>
      </w:r>
      <w:r>
        <w:rPr>
          <w:rFonts w:hint="eastAsia"/>
          <w:sz w:val="24"/>
          <w:highlight w:val="none"/>
          <w:u w:val="single"/>
          <w:lang w:val="en-US" w:eastAsia="zh-CN"/>
        </w:rPr>
        <w:t xml:space="preserve">   </w:t>
      </w:r>
      <w:r>
        <w:rPr>
          <w:sz w:val="24"/>
          <w:highlight w:val="none"/>
        </w:rPr>
        <w:t xml:space="preserve"> 月</w:t>
      </w:r>
      <w:r>
        <w:rPr>
          <w:sz w:val="24"/>
          <w:highlight w:val="none"/>
          <w:u w:val="single"/>
        </w:rPr>
        <w:t xml:space="preserve"> </w:t>
      </w:r>
      <w:r>
        <w:rPr>
          <w:rFonts w:hint="eastAsia"/>
          <w:sz w:val="24"/>
          <w:highlight w:val="none"/>
          <w:u w:val="single"/>
          <w:lang w:val="en-US" w:eastAsia="zh-CN"/>
        </w:rPr>
        <w:t xml:space="preserve">   </w:t>
      </w:r>
      <w:r>
        <w:rPr>
          <w:spacing w:val="-1"/>
          <w:sz w:val="24"/>
          <w:highlight w:val="none"/>
        </w:rPr>
        <w:t xml:space="preserve"> 日</w:t>
      </w:r>
      <w:r>
        <w:rPr>
          <w:spacing w:val="-24"/>
          <w:sz w:val="24"/>
          <w:highlight w:val="none"/>
        </w:rPr>
        <w:t xml:space="preserve"> </w:t>
      </w:r>
      <w:r>
        <w:rPr>
          <w:rFonts w:hint="eastAsia"/>
          <w:sz w:val="24"/>
          <w:highlight w:val="none"/>
          <w:u w:val="single"/>
          <w:lang w:val="en-US" w:eastAsia="zh-CN"/>
        </w:rPr>
        <w:t xml:space="preserve">   </w:t>
      </w:r>
      <w:r>
        <w:rPr>
          <w:spacing w:val="-32"/>
          <w:sz w:val="24"/>
          <w:highlight w:val="none"/>
        </w:rPr>
        <w:t xml:space="preserve"> 时 </w:t>
      </w:r>
      <w:r>
        <w:rPr>
          <w:rFonts w:hint="eastAsia"/>
          <w:sz w:val="24"/>
          <w:highlight w:val="none"/>
          <w:u w:val="single"/>
          <w:lang w:val="en-US" w:eastAsia="zh-CN"/>
        </w:rPr>
        <w:t xml:space="preserve">   </w:t>
      </w:r>
      <w:r>
        <w:rPr>
          <w:spacing w:val="-9"/>
          <w:sz w:val="24"/>
          <w:highlight w:val="none"/>
        </w:rPr>
        <w:t xml:space="preserve"> 分，投标人</w:t>
      </w:r>
      <w:r>
        <w:rPr>
          <w:sz w:val="24"/>
          <w:highlight w:val="none"/>
          <w:u w:val="single"/>
        </w:rPr>
        <w:t>应在截止时间前通过广州交易集团有限公司（广州公共资源交易中心）（网址：</w:t>
      </w:r>
      <w:r>
        <w:rPr>
          <w:highlight w:val="none"/>
        </w:rPr>
        <w:fldChar w:fldCharType="begin"/>
      </w:r>
      <w:r>
        <w:rPr>
          <w:highlight w:val="none"/>
        </w:rPr>
        <w:instrText xml:space="preserve"> HYPERLINK "http://www.gzggzy.cn/" \h </w:instrText>
      </w:r>
      <w:r>
        <w:rPr>
          <w:highlight w:val="none"/>
        </w:rPr>
        <w:fldChar w:fldCharType="separate"/>
      </w:r>
      <w:r>
        <w:rPr>
          <w:sz w:val="24"/>
          <w:highlight w:val="none"/>
          <w:u w:val="single"/>
        </w:rPr>
        <w:t>http://www.gzggzy.cn/</w:t>
      </w:r>
      <w:r>
        <w:rPr>
          <w:sz w:val="24"/>
          <w:highlight w:val="none"/>
          <w:u w:val="single"/>
        </w:rPr>
        <w:fldChar w:fldCharType="end"/>
      </w:r>
      <w:r>
        <w:rPr>
          <w:sz w:val="24"/>
          <w:highlight w:val="none"/>
          <w:u w:val="single"/>
        </w:rPr>
        <w:t>）交易平台</w:t>
      </w:r>
      <w:r>
        <w:rPr>
          <w:rFonts w:hint="eastAsia"/>
          <w:sz w:val="24"/>
          <w:highlight w:val="none"/>
          <w:u w:val="single"/>
          <w:lang w:val="en-US" w:eastAsia="zh-CN"/>
        </w:rPr>
        <w:t>递交投标文件</w:t>
      </w:r>
      <w:r>
        <w:rPr>
          <w:sz w:val="24"/>
          <w:highlight w:val="none"/>
          <w:u w:val="single"/>
        </w:rPr>
        <w:t>。</w:t>
      </w:r>
    </w:p>
    <w:p w14:paraId="7AE35654">
      <w:pPr>
        <w:widowControl/>
        <w:wordWrap w:val="0"/>
        <w:topLinePunct/>
        <w:autoSpaceDE/>
        <w:autoSpaceDN/>
        <w:snapToGrid w:val="0"/>
        <w:spacing w:before="0" w:line="365" w:lineRule="auto"/>
        <w:ind w:left="317" w:right="198" w:firstLine="482"/>
        <w:jc w:val="left"/>
        <w:textAlignment w:val="auto"/>
        <w:rPr>
          <w:b/>
          <w:spacing w:val="-15"/>
          <w:sz w:val="24"/>
          <w:highlight w:val="none"/>
          <w:u w:val="single"/>
        </w:rPr>
      </w:pPr>
      <w:r>
        <w:rPr>
          <w:b/>
          <w:spacing w:val="-3"/>
          <w:sz w:val="24"/>
          <w:highlight w:val="none"/>
          <w:u w:val="single"/>
        </w:rPr>
        <w:t>投标人应按照广州交易集团有限公司</w:t>
      </w:r>
      <w:r>
        <w:rPr>
          <w:b/>
          <w:sz w:val="24"/>
          <w:highlight w:val="none"/>
          <w:u w:val="single"/>
        </w:rPr>
        <w:t>（</w:t>
      </w:r>
      <w:r>
        <w:rPr>
          <w:b/>
          <w:spacing w:val="-1"/>
          <w:sz w:val="24"/>
          <w:highlight w:val="none"/>
          <w:u w:val="single"/>
        </w:rPr>
        <w:t>广州公共资源交易中心</w:t>
      </w:r>
      <w:r>
        <w:rPr>
          <w:b/>
          <w:spacing w:val="-41"/>
          <w:sz w:val="24"/>
          <w:highlight w:val="none"/>
          <w:u w:val="single"/>
        </w:rPr>
        <w:t>）</w:t>
      </w:r>
      <w:r>
        <w:rPr>
          <w:b/>
          <w:spacing w:val="-15"/>
          <w:sz w:val="24"/>
          <w:highlight w:val="none"/>
          <w:u w:val="single"/>
        </w:rPr>
        <w:t>全流程电子化通用系</w:t>
      </w:r>
      <w:r>
        <w:rPr>
          <w:b/>
          <w:spacing w:val="-6"/>
          <w:sz w:val="24"/>
          <w:highlight w:val="none"/>
          <w:u w:val="single"/>
        </w:rPr>
        <w:t>统的相关指南进行操作，详见：广州交易集团有限公司</w:t>
      </w:r>
      <w:r>
        <w:rPr>
          <w:b/>
          <w:sz w:val="24"/>
          <w:highlight w:val="none"/>
          <w:u w:val="single"/>
        </w:rPr>
        <w:t>（广州公共资</w:t>
      </w:r>
      <w:r>
        <w:rPr>
          <w:b/>
          <w:spacing w:val="-15"/>
          <w:sz w:val="24"/>
          <w:highlight w:val="none"/>
          <w:u w:val="single"/>
        </w:rPr>
        <w:t>源交易中心）</w:t>
      </w:r>
      <w:r>
        <w:rPr>
          <w:rFonts w:hint="default"/>
          <w:b/>
          <w:spacing w:val="-15"/>
          <w:w w:val="100"/>
          <w:sz w:val="24"/>
          <w:highlight w:val="none"/>
          <w:u w:val="single"/>
          <w:lang w:val="en-US" w:eastAsia="zh-CN"/>
        </w:rPr>
        <w:t>网站</w:t>
      </w:r>
      <w:r>
        <w:rPr>
          <w:rFonts w:hint="eastAsia"/>
          <w:b/>
          <w:spacing w:val="-15"/>
          <w:w w:val="100"/>
          <w:sz w:val="24"/>
          <w:highlight w:val="none"/>
          <w:u w:val="single"/>
          <w:lang w:val="en-US" w:eastAsia="zh-CN"/>
        </w:rPr>
        <w:t>最新</w:t>
      </w:r>
      <w:r>
        <w:rPr>
          <w:rFonts w:hint="default"/>
          <w:b/>
          <w:spacing w:val="-15"/>
          <w:w w:val="100"/>
          <w:sz w:val="24"/>
          <w:highlight w:val="none"/>
          <w:u w:val="single"/>
          <w:lang w:val="en-US" w:eastAsia="zh-CN"/>
        </w:rPr>
        <w:t>发布的</w:t>
      </w:r>
      <w:r>
        <w:rPr>
          <w:rFonts w:hint="eastAsia"/>
          <w:b/>
          <w:spacing w:val="-15"/>
          <w:w w:val="100"/>
          <w:sz w:val="24"/>
          <w:highlight w:val="none"/>
          <w:u w:val="single"/>
          <w:lang w:val="en-US" w:eastAsia="zh-CN"/>
        </w:rPr>
        <w:t>相关</w:t>
      </w:r>
      <w:r>
        <w:rPr>
          <w:b/>
          <w:spacing w:val="-15"/>
          <w:w w:val="100"/>
          <w:sz w:val="24"/>
          <w:highlight w:val="none"/>
          <w:u w:val="single"/>
        </w:rPr>
        <w:t>操作指引。</w:t>
      </w:r>
    </w:p>
    <w:p w14:paraId="2B89EF2F">
      <w:pPr>
        <w:widowControl/>
        <w:numPr>
          <w:ilvl w:val="-1"/>
          <w:numId w:val="0"/>
        </w:numPr>
        <w:wordWrap w:val="0"/>
        <w:topLinePunct/>
        <w:autoSpaceDE/>
        <w:autoSpaceDN/>
        <w:snapToGrid w:val="0"/>
        <w:spacing w:before="0" w:line="365" w:lineRule="auto"/>
        <w:ind w:left="317" w:right="198" w:firstLine="420" w:firstLineChars="200"/>
        <w:jc w:val="left"/>
        <w:rPr>
          <w:rFonts w:hint="default"/>
          <w:b w:val="0"/>
          <w:bCs/>
          <w:color w:val="auto"/>
          <w:spacing w:val="-15"/>
          <w:sz w:val="24"/>
          <w:szCs w:val="22"/>
          <w:highlight w:val="none"/>
          <w:u w:val="single"/>
        </w:rPr>
      </w:pPr>
      <w:r>
        <w:rPr>
          <w:b w:val="0"/>
          <w:bCs/>
          <w:spacing w:val="-15"/>
          <w:sz w:val="24"/>
          <w:highlight w:val="none"/>
          <w:u w:val="single"/>
        </w:rPr>
        <w:t>递交投标文件 u 盘（备用</w:t>
      </w:r>
      <w:r>
        <w:rPr>
          <w:rFonts w:hint="default"/>
          <w:b w:val="0"/>
          <w:bCs/>
          <w:color w:val="auto"/>
          <w:spacing w:val="-15"/>
          <w:sz w:val="24"/>
          <w:szCs w:val="22"/>
          <w:highlight w:val="none"/>
          <w:u w:val="single"/>
        </w:rPr>
        <w:t>）的规定时间为：</w:t>
      </w:r>
      <w:r>
        <w:rPr>
          <w:rFonts w:hint="default"/>
          <w:b w:val="0"/>
          <w:bCs/>
          <w:color w:val="auto"/>
          <w:spacing w:val="-15"/>
          <w:sz w:val="24"/>
          <w:szCs w:val="22"/>
          <w:highlight w:val="none"/>
          <w:u w:val="single"/>
          <w:lang w:val="en-US" w:eastAsia="zh-CN"/>
        </w:rPr>
        <w:t>2025</w:t>
      </w:r>
      <w:r>
        <w:rPr>
          <w:rFonts w:hint="default"/>
          <w:b w:val="0"/>
          <w:bCs/>
          <w:color w:val="auto"/>
          <w:spacing w:val="-15"/>
          <w:sz w:val="24"/>
          <w:szCs w:val="22"/>
          <w:highlight w:val="none"/>
          <w:u w:val="single"/>
        </w:rPr>
        <w:t xml:space="preserve"> 年</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月</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日</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时</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分至</w:t>
      </w:r>
      <w:r>
        <w:rPr>
          <w:rFonts w:hint="default"/>
          <w:b w:val="0"/>
          <w:bCs/>
          <w:color w:val="auto"/>
          <w:spacing w:val="-15"/>
          <w:sz w:val="24"/>
          <w:szCs w:val="22"/>
          <w:highlight w:val="none"/>
          <w:u w:val="single"/>
          <w:lang w:val="en-US" w:eastAsia="zh-CN"/>
        </w:rPr>
        <w:t>2025</w:t>
      </w:r>
      <w:r>
        <w:rPr>
          <w:rFonts w:hint="default"/>
          <w:b w:val="0"/>
          <w:bCs/>
          <w:color w:val="auto"/>
          <w:spacing w:val="-15"/>
          <w:sz w:val="24"/>
          <w:szCs w:val="22"/>
          <w:highlight w:val="none"/>
          <w:u w:val="single"/>
        </w:rPr>
        <w:t xml:space="preserve"> 年</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月</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日</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时</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分；地点：广州交易集团有限公司（广州公共资源交易中心）开标室（具体以交易中心公告的开标室为准）。（投标文件 u 盘（备用）需按规定封装，投标人将数据刻录到 u 盘之后，请于投标前自行检查文件是否可以读取）。</w:t>
      </w:r>
    </w:p>
    <w:p w14:paraId="4CE38ED1">
      <w:pPr>
        <w:widowControl/>
        <w:numPr>
          <w:ilvl w:val="-1"/>
          <w:numId w:val="0"/>
        </w:numPr>
        <w:wordWrap w:val="0"/>
        <w:topLinePunct/>
        <w:autoSpaceDE/>
        <w:autoSpaceDN/>
        <w:snapToGrid w:val="0"/>
        <w:spacing w:before="0" w:line="365" w:lineRule="auto"/>
        <w:ind w:left="317" w:right="198" w:firstLine="420" w:firstLineChars="200"/>
        <w:jc w:val="left"/>
        <w:rPr>
          <w:rFonts w:hint="default"/>
          <w:b w:val="0"/>
          <w:bCs/>
          <w:spacing w:val="-15"/>
          <w:sz w:val="24"/>
          <w:highlight w:val="none"/>
          <w:u w:val="single"/>
        </w:rPr>
      </w:pPr>
      <w:r>
        <w:rPr>
          <w:rFonts w:hint="default"/>
          <w:b w:val="0"/>
          <w:bCs/>
          <w:spacing w:val="-15"/>
          <w:sz w:val="24"/>
          <w:highlight w:val="none"/>
          <w:u w:val="single"/>
        </w:rPr>
        <w:t>投标文件解密时间为 202</w:t>
      </w:r>
      <w:r>
        <w:rPr>
          <w:rFonts w:hint="default"/>
          <w:b w:val="0"/>
          <w:bCs/>
          <w:spacing w:val="-15"/>
          <w:sz w:val="24"/>
          <w:highlight w:val="none"/>
          <w:u w:val="single"/>
          <w:lang w:eastAsia="zh-CN"/>
        </w:rPr>
        <w:t>5</w:t>
      </w:r>
      <w:r>
        <w:rPr>
          <w:rFonts w:hint="default"/>
          <w:b w:val="0"/>
          <w:bCs/>
          <w:spacing w:val="-15"/>
          <w:sz w:val="24"/>
          <w:highlight w:val="none"/>
          <w:u w:val="single"/>
        </w:rPr>
        <w:t xml:space="preserve"> 年</w:t>
      </w:r>
      <w:r>
        <w:rPr>
          <w:rFonts w:hint="default"/>
          <w:b w:val="0"/>
          <w:bCs/>
          <w:spacing w:val="-15"/>
          <w:sz w:val="24"/>
          <w:highlight w:val="none"/>
          <w:u w:val="single"/>
          <w:lang w:val="en-US" w:eastAsia="zh-CN"/>
        </w:rPr>
        <w:t xml:space="preserve">   </w:t>
      </w:r>
      <w:r>
        <w:rPr>
          <w:rFonts w:hint="default"/>
          <w:b w:val="0"/>
          <w:bCs/>
          <w:spacing w:val="-15"/>
          <w:sz w:val="24"/>
          <w:highlight w:val="none"/>
          <w:u w:val="single"/>
        </w:rPr>
        <w:t>月</w:t>
      </w:r>
      <w:r>
        <w:rPr>
          <w:rFonts w:hint="default"/>
          <w:b w:val="0"/>
          <w:bCs/>
          <w:spacing w:val="-15"/>
          <w:sz w:val="24"/>
          <w:highlight w:val="none"/>
          <w:u w:val="single"/>
          <w:lang w:val="en-US" w:eastAsia="zh-CN"/>
        </w:rPr>
        <w:t xml:space="preserve">   </w:t>
      </w:r>
      <w:r>
        <w:rPr>
          <w:rFonts w:hint="default"/>
          <w:b w:val="0"/>
          <w:bCs/>
          <w:spacing w:val="-15"/>
          <w:sz w:val="24"/>
          <w:highlight w:val="none"/>
          <w:u w:val="single"/>
        </w:rPr>
        <w:t>日</w:t>
      </w:r>
      <w:r>
        <w:rPr>
          <w:rFonts w:hint="default"/>
          <w:b w:val="0"/>
          <w:bCs/>
          <w:spacing w:val="-15"/>
          <w:sz w:val="24"/>
          <w:highlight w:val="none"/>
          <w:u w:val="single"/>
          <w:lang w:val="en-US" w:eastAsia="zh-CN"/>
        </w:rPr>
        <w:t xml:space="preserve">   </w:t>
      </w:r>
      <w:r>
        <w:rPr>
          <w:rFonts w:hint="default"/>
          <w:b w:val="0"/>
          <w:bCs/>
          <w:spacing w:val="-15"/>
          <w:sz w:val="24"/>
          <w:highlight w:val="none"/>
          <w:u w:val="single"/>
        </w:rPr>
        <w:t>时</w:t>
      </w:r>
      <w:r>
        <w:rPr>
          <w:rFonts w:hint="default"/>
          <w:b w:val="0"/>
          <w:bCs/>
          <w:spacing w:val="-15"/>
          <w:sz w:val="24"/>
          <w:highlight w:val="none"/>
          <w:u w:val="single"/>
          <w:lang w:val="en-US" w:eastAsia="zh-CN"/>
        </w:rPr>
        <w:t xml:space="preserve">   </w:t>
      </w:r>
      <w:r>
        <w:rPr>
          <w:rFonts w:hint="default"/>
          <w:b w:val="0"/>
          <w:bCs/>
          <w:spacing w:val="-15"/>
          <w:sz w:val="24"/>
          <w:highlight w:val="none"/>
          <w:u w:val="single"/>
        </w:rPr>
        <w:t>分至 202</w:t>
      </w:r>
      <w:r>
        <w:rPr>
          <w:rFonts w:hint="default"/>
          <w:b w:val="0"/>
          <w:bCs/>
          <w:spacing w:val="-15"/>
          <w:sz w:val="24"/>
          <w:highlight w:val="none"/>
          <w:u w:val="single"/>
          <w:lang w:eastAsia="zh-CN"/>
        </w:rPr>
        <w:t>5</w:t>
      </w:r>
      <w:r>
        <w:rPr>
          <w:rFonts w:hint="default"/>
          <w:b w:val="0"/>
          <w:bCs/>
          <w:spacing w:val="-15"/>
          <w:sz w:val="24"/>
          <w:highlight w:val="none"/>
          <w:u w:val="single"/>
        </w:rPr>
        <w:t xml:space="preserve"> 年</w:t>
      </w:r>
      <w:r>
        <w:rPr>
          <w:rFonts w:hint="default"/>
          <w:b w:val="0"/>
          <w:bCs/>
          <w:spacing w:val="-15"/>
          <w:sz w:val="24"/>
          <w:highlight w:val="none"/>
          <w:u w:val="single"/>
          <w:lang w:val="en-US" w:eastAsia="zh-CN"/>
        </w:rPr>
        <w:t xml:space="preserve">   </w:t>
      </w:r>
      <w:r>
        <w:rPr>
          <w:rFonts w:hint="default"/>
          <w:b w:val="0"/>
          <w:bCs/>
          <w:spacing w:val="-15"/>
          <w:sz w:val="24"/>
          <w:highlight w:val="none"/>
          <w:u w:val="single"/>
        </w:rPr>
        <w:t>月</w:t>
      </w:r>
      <w:r>
        <w:rPr>
          <w:rFonts w:hint="default"/>
          <w:b w:val="0"/>
          <w:bCs/>
          <w:spacing w:val="-15"/>
          <w:sz w:val="24"/>
          <w:highlight w:val="none"/>
          <w:u w:val="single"/>
          <w:lang w:val="en-US" w:eastAsia="zh-CN"/>
        </w:rPr>
        <w:t xml:space="preserve">   </w:t>
      </w:r>
      <w:r>
        <w:rPr>
          <w:rFonts w:hint="default"/>
          <w:b w:val="0"/>
          <w:bCs/>
          <w:spacing w:val="-15"/>
          <w:sz w:val="24"/>
          <w:highlight w:val="none"/>
          <w:u w:val="single"/>
        </w:rPr>
        <w:t>日</w:t>
      </w:r>
      <w:r>
        <w:rPr>
          <w:rFonts w:hint="default"/>
          <w:b w:val="0"/>
          <w:bCs/>
          <w:spacing w:val="-15"/>
          <w:sz w:val="24"/>
          <w:highlight w:val="none"/>
          <w:u w:val="single"/>
          <w:lang w:val="en-US" w:eastAsia="zh-CN"/>
        </w:rPr>
        <w:t xml:space="preserve">   </w:t>
      </w:r>
      <w:r>
        <w:rPr>
          <w:rFonts w:hint="default"/>
          <w:b w:val="0"/>
          <w:bCs/>
          <w:spacing w:val="-15"/>
          <w:sz w:val="24"/>
          <w:highlight w:val="none"/>
          <w:u w:val="single"/>
        </w:rPr>
        <w:t>时</w:t>
      </w:r>
      <w:r>
        <w:rPr>
          <w:rFonts w:hint="default"/>
          <w:b w:val="0"/>
          <w:bCs/>
          <w:spacing w:val="-15"/>
          <w:sz w:val="24"/>
          <w:highlight w:val="none"/>
          <w:u w:val="single"/>
          <w:lang w:val="en-US" w:eastAsia="zh-CN"/>
        </w:rPr>
        <w:t xml:space="preserve">   </w:t>
      </w:r>
      <w:r>
        <w:rPr>
          <w:rFonts w:hint="default"/>
          <w:b w:val="0"/>
          <w:bCs/>
          <w:spacing w:val="-15"/>
          <w:sz w:val="24"/>
          <w:highlight w:val="none"/>
          <w:u w:val="single"/>
        </w:rPr>
        <w:t>分，投标人应在截止时间前按照广州交易集团有限公司（广州公共资源交易中心）全流程电子化通用系统的相关指南进行操作。</w:t>
      </w:r>
    </w:p>
    <w:p w14:paraId="40DECE10">
      <w:pPr>
        <w:widowControl/>
        <w:numPr>
          <w:ilvl w:val="0"/>
          <w:numId w:val="0"/>
        </w:numPr>
        <w:wordWrap w:val="0"/>
        <w:topLinePunct/>
        <w:autoSpaceDE/>
        <w:autoSpaceDN/>
        <w:snapToGrid w:val="0"/>
        <w:spacing w:before="0" w:line="365" w:lineRule="auto"/>
        <w:ind w:left="317" w:right="198" w:firstLine="420" w:firstLineChars="200"/>
        <w:rPr>
          <w:rFonts w:hint="default"/>
          <w:b w:val="0"/>
          <w:bCs/>
          <w:color w:val="auto"/>
          <w:spacing w:val="-15"/>
          <w:sz w:val="24"/>
          <w:szCs w:val="22"/>
          <w:highlight w:val="none"/>
          <w:u w:val="single"/>
        </w:rPr>
      </w:pPr>
      <w:r>
        <w:rPr>
          <w:rFonts w:hint="default"/>
          <w:b w:val="0"/>
          <w:bCs/>
          <w:color w:val="auto"/>
          <w:spacing w:val="-15"/>
          <w:sz w:val="24"/>
          <w:szCs w:val="22"/>
          <w:highlight w:val="none"/>
          <w:u w:val="single"/>
        </w:rPr>
        <w:t>本招标项目采用电子开标，在新交易平台上公开进行。开标开始时间：202</w:t>
      </w:r>
      <w:r>
        <w:rPr>
          <w:rFonts w:hint="default"/>
          <w:b w:val="0"/>
          <w:bCs/>
          <w:color w:val="auto"/>
          <w:spacing w:val="-15"/>
          <w:sz w:val="24"/>
          <w:szCs w:val="22"/>
          <w:highlight w:val="none"/>
          <w:u w:val="single"/>
          <w:lang w:eastAsia="zh-CN"/>
        </w:rPr>
        <w:t>5</w:t>
      </w:r>
      <w:r>
        <w:rPr>
          <w:rFonts w:hint="default"/>
          <w:b w:val="0"/>
          <w:bCs/>
          <w:color w:val="auto"/>
          <w:spacing w:val="-15"/>
          <w:sz w:val="24"/>
          <w:szCs w:val="22"/>
          <w:highlight w:val="none"/>
          <w:u w:val="single"/>
        </w:rPr>
        <w:t xml:space="preserve"> 年</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月</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日</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时</w:t>
      </w:r>
      <w:r>
        <w:rPr>
          <w:rFonts w:hint="default"/>
          <w:b w:val="0"/>
          <w:bCs/>
          <w:color w:val="auto"/>
          <w:spacing w:val="-15"/>
          <w:sz w:val="24"/>
          <w:szCs w:val="22"/>
          <w:highlight w:val="none"/>
          <w:u w:val="single"/>
          <w:lang w:val="en-US" w:eastAsia="zh-CN"/>
        </w:rPr>
        <w:t xml:space="preserve">   </w:t>
      </w:r>
      <w:r>
        <w:rPr>
          <w:rFonts w:hint="default"/>
          <w:b w:val="0"/>
          <w:bCs/>
          <w:color w:val="auto"/>
          <w:spacing w:val="-15"/>
          <w:sz w:val="24"/>
          <w:szCs w:val="22"/>
          <w:highlight w:val="none"/>
          <w:u w:val="single"/>
        </w:rPr>
        <w:t>分（与投标截止时间为同一时间）。邀请所有投标人准时在线参加开标。投标人参与电子开标的具体操作详见交易平台发布的相关操作指引。</w:t>
      </w:r>
    </w:p>
    <w:p w14:paraId="2622BE97">
      <w:pPr>
        <w:widowControl/>
        <w:numPr>
          <w:ilvl w:val="0"/>
          <w:numId w:val="0"/>
        </w:numPr>
        <w:wordWrap w:val="0"/>
        <w:topLinePunct/>
        <w:autoSpaceDE/>
        <w:autoSpaceDN/>
        <w:snapToGrid w:val="0"/>
        <w:spacing w:before="0" w:line="365" w:lineRule="auto"/>
        <w:ind w:left="317" w:right="198" w:firstLine="420" w:firstLineChars="200"/>
        <w:rPr>
          <w:rFonts w:hint="default"/>
          <w:b w:val="0"/>
          <w:bCs/>
          <w:color w:val="auto"/>
          <w:spacing w:val="-15"/>
          <w:sz w:val="24"/>
          <w:szCs w:val="22"/>
          <w:highlight w:val="none"/>
          <w:u w:val="single"/>
        </w:rPr>
      </w:pPr>
      <w:r>
        <w:rPr>
          <w:rFonts w:hint="default"/>
          <w:b w:val="0"/>
          <w:bCs/>
          <w:color w:val="auto"/>
          <w:spacing w:val="-15"/>
          <w:sz w:val="24"/>
          <w:szCs w:val="22"/>
          <w:highlight w:val="none"/>
          <w:u w:val="single"/>
          <w:lang w:eastAsia="zh-CN"/>
        </w:rPr>
        <w:t>投标截止时间与开标时间是否有变化，请密切留意招标答疑中的相关信息。截标后，开标时间因故推迟的，相关评标信息仍以原定的投标截止</w:t>
      </w:r>
      <w:r>
        <w:rPr>
          <w:rFonts w:hint="default"/>
          <w:b w:val="0"/>
          <w:bCs/>
          <w:color w:val="auto"/>
          <w:spacing w:val="-15"/>
          <w:sz w:val="24"/>
          <w:szCs w:val="22"/>
          <w:highlight w:val="none"/>
          <w:u w:val="single"/>
        </w:rPr>
        <w:t>时间的信息</w:t>
      </w:r>
      <w:r>
        <w:rPr>
          <w:rFonts w:hint="default"/>
          <w:b w:val="0"/>
          <w:bCs/>
          <w:spacing w:val="-15"/>
          <w:sz w:val="24"/>
          <w:highlight w:val="none"/>
          <w:u w:val="single"/>
        </w:rPr>
        <w:t>为准</w:t>
      </w:r>
      <w:r>
        <w:rPr>
          <w:rFonts w:hint="default"/>
          <w:b w:val="0"/>
          <w:bCs/>
          <w:color w:val="auto"/>
          <w:spacing w:val="-15"/>
          <w:sz w:val="24"/>
          <w:szCs w:val="22"/>
          <w:highlight w:val="none"/>
          <w:u w:val="single"/>
        </w:rPr>
        <w:t>。</w:t>
      </w:r>
    </w:p>
    <w:p w14:paraId="1B24899F">
      <w:pPr>
        <w:pStyle w:val="8"/>
        <w:numPr>
          <w:ilvl w:val="-1"/>
          <w:numId w:val="0"/>
        </w:numPr>
        <w:tabs>
          <w:tab w:val="left" w:pos="1276"/>
        </w:tabs>
        <w:wordWrap/>
        <w:topLinePunct w:val="0"/>
        <w:autoSpaceDE/>
        <w:autoSpaceDN/>
        <w:spacing w:before="154" w:after="0" w:line="360" w:lineRule="auto"/>
        <w:ind w:left="0" w:right="194" w:firstLine="720" w:firstLineChars="300"/>
        <w:jc w:val="left"/>
        <w:rPr>
          <w:rFonts w:hint="eastAsia"/>
          <w:color w:val="auto"/>
          <w:sz w:val="24"/>
          <w:szCs w:val="24"/>
          <w:highlight w:val="none"/>
          <w:u w:val="single"/>
        </w:rPr>
      </w:pPr>
      <w:r>
        <w:rPr>
          <w:rFonts w:hint="default"/>
          <w:color w:val="auto"/>
          <w:sz w:val="24"/>
          <w:szCs w:val="22"/>
          <w:highlight w:val="none"/>
          <w:u w:val="none"/>
          <w:lang w:val="en-US" w:eastAsia="zh-CN"/>
        </w:rPr>
        <w:t>5.3</w:t>
      </w:r>
      <w:r>
        <w:rPr>
          <w:rFonts w:hint="eastAsia"/>
          <w:sz w:val="24"/>
          <w:szCs w:val="22"/>
          <w:highlight w:val="none"/>
          <w:u w:val="none"/>
          <w:lang w:val="en-US" w:eastAsia="zh-CN"/>
        </w:rPr>
        <w:t xml:space="preserve"> </w:t>
      </w:r>
      <w:r>
        <w:rPr>
          <w:rFonts w:hint="eastAsia"/>
          <w:sz w:val="24"/>
          <w:highlight w:val="none"/>
          <w:u w:val="single"/>
        </w:rPr>
        <w:t>逾期送达的</w:t>
      </w:r>
      <w:r>
        <w:rPr>
          <w:rFonts w:hint="eastAsia"/>
          <w:color w:val="auto"/>
          <w:sz w:val="24"/>
          <w:szCs w:val="24"/>
          <w:highlight w:val="none"/>
          <w:u w:val="single"/>
        </w:rPr>
        <w:t>投标文件，电子招标投标交易平台将予以拒收。</w:t>
      </w:r>
    </w:p>
    <w:p w14:paraId="6C4E94E7">
      <w:pPr>
        <w:numPr>
          <w:ilvl w:val="0"/>
          <w:numId w:val="1"/>
        </w:numPr>
        <w:tabs>
          <w:tab w:val="left" w:pos="1040"/>
        </w:tabs>
        <w:wordWrap w:val="0"/>
        <w:topLinePunct/>
        <w:autoSpaceDE/>
        <w:autoSpaceDN/>
        <w:spacing w:before="158"/>
        <w:ind w:left="1039" w:right="0" w:hanging="243"/>
        <w:jc w:val="left"/>
        <w:rPr>
          <w:b/>
          <w:sz w:val="24"/>
          <w:highlight w:val="none"/>
        </w:rPr>
      </w:pPr>
      <w:r>
        <w:rPr>
          <w:b/>
          <w:sz w:val="24"/>
          <w:highlight w:val="none"/>
        </w:rPr>
        <w:t>发布公告的媒介</w:t>
      </w:r>
    </w:p>
    <w:p w14:paraId="33A6F331">
      <w:pPr>
        <w:pStyle w:val="2"/>
        <w:wordWrap w:val="0"/>
        <w:topLinePunct/>
        <w:autoSpaceDE/>
        <w:autoSpaceDN/>
        <w:spacing w:before="39" w:line="364" w:lineRule="auto"/>
        <w:ind w:left="421" w:right="314" w:firstLine="480"/>
        <w:jc w:val="both"/>
        <w:rPr>
          <w:spacing w:val="-6"/>
          <w:highlight w:val="none"/>
        </w:rPr>
      </w:pPr>
      <w:r>
        <w:rPr>
          <w:spacing w:val="-6"/>
          <w:highlight w:val="none"/>
        </w:rPr>
        <w:t>本次招标公告同时在</w:t>
      </w:r>
      <w:r>
        <w:rPr>
          <w:spacing w:val="-6"/>
          <w:highlight w:val="none"/>
          <w:u w:val="single"/>
        </w:rPr>
        <w:t>广州交易集团有限公司（广州公共资源交易中心）网站、广东省招标投标监管网、中国招标投标公共服务平台</w:t>
      </w:r>
      <w:r>
        <w:rPr>
          <w:rFonts w:hint="eastAsia"/>
          <w:spacing w:val="-6"/>
          <w:highlight w:val="none"/>
          <w:u w:val="single"/>
          <w:lang w:eastAsia="zh-CN"/>
        </w:rPr>
        <w:t>、广州国企阳光采购信息发布平台</w:t>
      </w:r>
      <w:r>
        <w:rPr>
          <w:spacing w:val="-6"/>
          <w:highlight w:val="none"/>
        </w:rPr>
        <w:t>上发布。如</w:t>
      </w:r>
      <w:r>
        <w:rPr>
          <w:rFonts w:hint="default"/>
          <w:spacing w:val="-6"/>
          <w:highlight w:val="none"/>
          <w:lang w:val="en-US" w:eastAsia="zh-CN"/>
        </w:rPr>
        <w:t>媒体发布</w:t>
      </w:r>
      <w:r>
        <w:rPr>
          <w:spacing w:val="-6"/>
          <w:highlight w:val="none"/>
        </w:rPr>
        <w:t>公告详细内容不一致者，以</w:t>
      </w:r>
      <w:r>
        <w:rPr>
          <w:spacing w:val="-6"/>
          <w:highlight w:val="none"/>
          <w:u w:val="single"/>
        </w:rPr>
        <w:t>广东省招标投标监管网公告</w:t>
      </w:r>
      <w:r>
        <w:rPr>
          <w:spacing w:val="-6"/>
          <w:highlight w:val="none"/>
        </w:rPr>
        <w:t>为准。</w:t>
      </w:r>
    </w:p>
    <w:p w14:paraId="534322B3">
      <w:pPr>
        <w:pStyle w:val="2"/>
        <w:wordWrap w:val="0"/>
        <w:topLinePunct/>
        <w:autoSpaceDE/>
        <w:autoSpaceDN/>
        <w:spacing w:before="39" w:line="364" w:lineRule="auto"/>
        <w:ind w:left="421" w:right="314" w:firstLine="480"/>
        <w:jc w:val="both"/>
        <w:rPr>
          <w:highlight w:val="none"/>
        </w:rPr>
      </w:pPr>
      <w:r>
        <w:rPr>
          <w:spacing w:val="-1"/>
          <w:highlight w:val="none"/>
        </w:rPr>
        <w:t xml:space="preserve">在规定的投标登记期间，如某个标段投标登记并购买招标文件的投标人不足 </w:t>
      </w:r>
      <w:r>
        <w:rPr>
          <w:highlight w:val="none"/>
        </w:rPr>
        <w:t>3</w:t>
      </w:r>
      <w:r>
        <w:rPr>
          <w:spacing w:val="-15"/>
          <w:highlight w:val="none"/>
        </w:rPr>
        <w:t xml:space="preserve"> 家</w:t>
      </w:r>
      <w:r>
        <w:rPr>
          <w:spacing w:val="-6"/>
          <w:highlight w:val="none"/>
        </w:rPr>
        <w:t>时，招标人有权选择以下任一方式：</w:t>
      </w:r>
      <w:r>
        <w:rPr>
          <w:spacing w:val="-8"/>
          <w:highlight w:val="none"/>
        </w:rPr>
        <w:t>（1）</w:t>
      </w:r>
      <w:r>
        <w:rPr>
          <w:highlight w:val="none"/>
        </w:rPr>
        <w:t>在</w:t>
      </w:r>
      <w:r>
        <w:rPr>
          <w:rFonts w:hint="eastAsia"/>
          <w:highlight w:val="none"/>
        </w:rPr>
        <w:t>中国招标投标公共服务平台</w:t>
      </w:r>
      <w:r>
        <w:rPr>
          <w:rFonts w:hint="eastAsia"/>
          <w:highlight w:val="none"/>
          <w:lang w:eastAsia="zh-CN"/>
        </w:rPr>
        <w:t>、</w:t>
      </w:r>
      <w:r>
        <w:rPr>
          <w:highlight w:val="none"/>
        </w:rPr>
        <w:t>广东省招标投标监管网</w:t>
      </w:r>
      <w:r>
        <w:rPr>
          <w:rFonts w:hint="eastAsia"/>
          <w:highlight w:val="none"/>
          <w:lang w:eastAsia="zh-CN"/>
        </w:rPr>
        <w:t>、</w:t>
      </w:r>
      <w:r>
        <w:rPr>
          <w:highlight w:val="none"/>
          <w:u w:val="none"/>
        </w:rPr>
        <w:t>广州交易集团有限公司（广州公共资源交易中心）</w:t>
      </w:r>
      <w:r>
        <w:rPr>
          <w:highlight w:val="none"/>
        </w:rPr>
        <w:t>网站</w:t>
      </w:r>
      <w:r>
        <w:rPr>
          <w:rFonts w:hint="eastAsia"/>
          <w:highlight w:val="none"/>
          <w:lang w:eastAsia="zh-CN"/>
        </w:rPr>
        <w:t>、广州国企阳光采购信息发布平台</w:t>
      </w:r>
      <w:r>
        <w:rPr>
          <w:highlight w:val="none"/>
        </w:rPr>
        <w:t>发布公告延长上述投标人家数不足的标段投标登记时间，在延期投标登记时间内，已投标登记投标人的资料仍有效并可自行补充资</w:t>
      </w:r>
      <w:r>
        <w:rPr>
          <w:spacing w:val="-4"/>
          <w:highlight w:val="none"/>
        </w:rPr>
        <w:t>料，未投标登记的投标人可根据公告的约定进行投标登记；</w:t>
      </w:r>
      <w:r>
        <w:rPr>
          <w:spacing w:val="-8"/>
          <w:highlight w:val="none"/>
        </w:rPr>
        <w:t>（2）</w:t>
      </w:r>
      <w:r>
        <w:rPr>
          <w:highlight w:val="none"/>
        </w:rPr>
        <w:t>对上述投标人家数不足的标段依法重新组织招标或不再招标。</w:t>
      </w:r>
    </w:p>
    <w:p w14:paraId="1BB81364">
      <w:pPr>
        <w:numPr>
          <w:ilvl w:val="0"/>
          <w:numId w:val="1"/>
        </w:numPr>
        <w:tabs>
          <w:tab w:val="left" w:pos="1040"/>
        </w:tabs>
        <w:wordWrap w:val="0"/>
        <w:topLinePunct/>
        <w:autoSpaceDE/>
        <w:autoSpaceDN/>
        <w:spacing w:before="0" w:line="304" w:lineRule="exact"/>
        <w:ind w:left="1039" w:right="0" w:hanging="243"/>
        <w:jc w:val="left"/>
        <w:rPr>
          <w:b/>
          <w:sz w:val="24"/>
          <w:highlight w:val="none"/>
        </w:rPr>
      </w:pPr>
      <w:r>
        <w:rPr>
          <w:b/>
          <w:sz w:val="24"/>
          <w:highlight w:val="none"/>
        </w:rPr>
        <w:t>联系方式</w:t>
      </w:r>
    </w:p>
    <w:p w14:paraId="7E7F571A">
      <w:pPr>
        <w:pStyle w:val="2"/>
        <w:wordWrap w:val="0"/>
        <w:topLinePunct/>
        <w:autoSpaceDE/>
        <w:autoSpaceDN/>
        <w:spacing w:before="158" w:line="240" w:lineRule="auto"/>
        <w:ind w:left="875" w:right="20"/>
        <w:rPr>
          <w:highlight w:val="none"/>
        </w:rPr>
      </w:pPr>
      <w:r>
        <w:rPr>
          <w:highlight w:val="none"/>
        </w:rPr>
        <w:t>招标人：</w:t>
      </w:r>
      <w:r>
        <w:rPr>
          <w:rFonts w:hint="eastAsia" w:ascii="宋体" w:hAnsi="宋体" w:eastAsia="宋体" w:cs="宋体"/>
          <w:color w:val="auto"/>
          <w:szCs w:val="21"/>
          <w:highlight w:val="none"/>
        </w:rPr>
        <w:t>广州市广园市政建设有限公司</w:t>
      </w:r>
    </w:p>
    <w:p w14:paraId="16BA21F6">
      <w:pPr>
        <w:pStyle w:val="2"/>
        <w:wordWrap w:val="0"/>
        <w:topLinePunct/>
        <w:autoSpaceDE/>
        <w:autoSpaceDN/>
        <w:spacing w:before="158" w:line="240" w:lineRule="auto"/>
        <w:ind w:left="875" w:right="20"/>
        <w:rPr>
          <w:rFonts w:hint="default" w:eastAsia="宋体"/>
          <w:highlight w:val="none"/>
          <w:lang w:val="en-US" w:eastAsia="zh-CN"/>
        </w:rPr>
      </w:pPr>
      <w:r>
        <w:rPr>
          <w:highlight w:val="none"/>
        </w:rPr>
        <w:t>地址：</w:t>
      </w:r>
      <w:r>
        <w:rPr>
          <w:rFonts w:hint="eastAsia"/>
          <w:highlight w:val="none"/>
        </w:rPr>
        <w:t>广州市越秀区站南路15号之一</w:t>
      </w:r>
      <w:r>
        <w:rPr>
          <w:rFonts w:hint="eastAsia"/>
          <w:highlight w:val="none"/>
          <w:lang w:val="en-US" w:eastAsia="zh-CN"/>
        </w:rPr>
        <w:t>7</w:t>
      </w:r>
      <w:r>
        <w:rPr>
          <w:rFonts w:hint="eastAsia"/>
          <w:highlight w:val="none"/>
        </w:rPr>
        <w:t>楼</w:t>
      </w:r>
    </w:p>
    <w:p w14:paraId="48732530">
      <w:pPr>
        <w:pStyle w:val="2"/>
        <w:wordWrap w:val="0"/>
        <w:topLinePunct/>
        <w:autoSpaceDE/>
        <w:autoSpaceDN/>
        <w:spacing w:before="158" w:line="240" w:lineRule="auto"/>
        <w:ind w:left="875" w:right="20"/>
        <w:rPr>
          <w:rFonts w:hint="default" w:eastAsia="宋体"/>
          <w:highlight w:val="none"/>
          <w:lang w:val="en-US" w:eastAsia="zh-CN"/>
        </w:rPr>
      </w:pPr>
      <w:r>
        <w:rPr>
          <w:highlight w:val="none"/>
        </w:rPr>
        <w:t>邮政编码：</w:t>
      </w:r>
      <w:r>
        <w:rPr>
          <w:rFonts w:hint="default"/>
          <w:highlight w:val="none"/>
          <w:u w:val="none"/>
          <w:lang w:val="en-US" w:eastAsia="zh-CN"/>
        </w:rPr>
        <w:t>510010</w:t>
      </w:r>
    </w:p>
    <w:p w14:paraId="14B23BA1">
      <w:pPr>
        <w:pStyle w:val="2"/>
        <w:wordWrap w:val="0"/>
        <w:topLinePunct/>
        <w:autoSpaceDE/>
        <w:autoSpaceDN/>
        <w:spacing w:before="158" w:line="240" w:lineRule="auto"/>
        <w:ind w:left="875" w:right="20"/>
        <w:rPr>
          <w:rFonts w:hint="default" w:eastAsia="宋体"/>
          <w:highlight w:val="none"/>
          <w:lang w:val="en-US" w:eastAsia="zh-CN"/>
        </w:rPr>
      </w:pPr>
      <w:r>
        <w:rPr>
          <w:highlight w:val="none"/>
        </w:rPr>
        <w:t>联系人：</w:t>
      </w:r>
      <w:r>
        <w:rPr>
          <w:rFonts w:hint="default"/>
          <w:highlight w:val="none"/>
          <w:u w:val="none"/>
          <w:lang w:val="en-US" w:eastAsia="zh-CN"/>
        </w:rPr>
        <w:t>舒工</w:t>
      </w:r>
      <w:r>
        <w:rPr>
          <w:rFonts w:hint="default"/>
          <w:highlight w:val="none"/>
          <w:u w:val="none"/>
          <w:lang w:val="en-US" w:eastAsia="zh-CN"/>
        </w:rPr>
        <w:tab/>
      </w:r>
    </w:p>
    <w:p w14:paraId="18FD5B08">
      <w:pPr>
        <w:pStyle w:val="2"/>
        <w:wordWrap w:val="0"/>
        <w:topLinePunct/>
        <w:autoSpaceDE/>
        <w:autoSpaceDN/>
        <w:spacing w:before="158" w:line="240" w:lineRule="auto"/>
        <w:ind w:left="875" w:right="20"/>
        <w:rPr>
          <w:rFonts w:hint="default" w:eastAsia="宋体"/>
          <w:highlight w:val="none"/>
          <w:u w:val="none"/>
          <w:lang w:val="en-US" w:eastAsia="zh-CN"/>
        </w:rPr>
      </w:pPr>
      <w:r>
        <w:rPr>
          <w:highlight w:val="none"/>
        </w:rPr>
        <w:t>电话：</w:t>
      </w:r>
      <w:r>
        <w:rPr>
          <w:rFonts w:hint="eastAsia"/>
          <w:highlight w:val="none"/>
        </w:rPr>
        <w:t>020-626555</w:t>
      </w:r>
      <w:r>
        <w:rPr>
          <w:rFonts w:hint="eastAsia"/>
          <w:highlight w:val="none"/>
          <w:lang w:val="en-US" w:eastAsia="zh-CN"/>
        </w:rPr>
        <w:t>79</w:t>
      </w:r>
    </w:p>
    <w:p w14:paraId="179695D1">
      <w:pPr>
        <w:pStyle w:val="2"/>
        <w:wordWrap w:val="0"/>
        <w:topLinePunct/>
        <w:autoSpaceDE/>
        <w:autoSpaceDN/>
        <w:spacing w:before="5" w:line="240" w:lineRule="auto"/>
        <w:ind w:left="875" w:right="20" w:rightChars="9"/>
        <w:rPr>
          <w:rFonts w:hint="default" w:eastAsia="宋体"/>
          <w:highlight w:val="none"/>
          <w:lang w:val="en-US" w:eastAsia="zh-CN"/>
        </w:rPr>
      </w:pPr>
    </w:p>
    <w:p w14:paraId="6BC44083">
      <w:pPr>
        <w:pStyle w:val="2"/>
        <w:wordWrap w:val="0"/>
        <w:topLinePunct/>
        <w:autoSpaceDE/>
        <w:autoSpaceDN/>
        <w:ind w:right="20" w:rightChars="9"/>
        <w:rPr>
          <w:sz w:val="20"/>
          <w:highlight w:val="none"/>
        </w:rPr>
      </w:pPr>
    </w:p>
    <w:p w14:paraId="2519E9E8">
      <w:pPr>
        <w:pStyle w:val="2"/>
        <w:wordWrap w:val="0"/>
        <w:topLinePunct/>
        <w:autoSpaceDE/>
        <w:autoSpaceDN/>
        <w:spacing w:before="158"/>
        <w:ind w:left="875" w:right="20"/>
        <w:rPr>
          <w:rFonts w:hint="default" w:eastAsia="宋体"/>
          <w:highlight w:val="none"/>
          <w:lang w:val="en-US" w:eastAsia="zh-CN"/>
        </w:rPr>
      </w:pPr>
      <w:r>
        <w:rPr>
          <w:highlight w:val="none"/>
        </w:rPr>
        <w:t>招标代理机构：</w:t>
      </w:r>
      <w:r>
        <w:rPr>
          <w:rFonts w:hint="default"/>
          <w:highlight w:val="none"/>
          <w:u w:val="none"/>
          <w:lang w:val="en-US" w:eastAsia="zh-CN"/>
        </w:rPr>
        <w:t>广州市广园工程技术咨询有限公司</w:t>
      </w:r>
      <w:r>
        <w:rPr>
          <w:rFonts w:hint="default"/>
          <w:highlight w:val="none"/>
          <w:u w:val="none"/>
          <w:lang w:val="en-US" w:eastAsia="zh-CN"/>
        </w:rPr>
        <w:tab/>
      </w:r>
    </w:p>
    <w:p w14:paraId="18660A40">
      <w:pPr>
        <w:pStyle w:val="2"/>
        <w:wordWrap w:val="0"/>
        <w:topLinePunct/>
        <w:autoSpaceDE/>
        <w:autoSpaceDN/>
        <w:spacing w:before="158" w:line="240" w:lineRule="auto"/>
        <w:ind w:left="875" w:right="20"/>
        <w:rPr>
          <w:highlight w:val="none"/>
        </w:rPr>
      </w:pPr>
      <w:r>
        <w:rPr>
          <w:highlight w:val="none"/>
        </w:rPr>
        <w:t>地</w:t>
      </w:r>
      <w:r>
        <w:rPr>
          <w:highlight w:val="none"/>
        </w:rPr>
        <w:tab/>
      </w:r>
      <w:r>
        <w:rPr>
          <w:highlight w:val="none"/>
        </w:rPr>
        <w:t>址：</w:t>
      </w:r>
      <w:r>
        <w:rPr>
          <w:rFonts w:hint="eastAsia"/>
          <w:highlight w:val="none"/>
        </w:rPr>
        <w:t>广州市越秀区站南路15号之一</w:t>
      </w:r>
      <w:r>
        <w:rPr>
          <w:rFonts w:hint="default"/>
          <w:highlight w:val="none"/>
          <w:lang w:val="en-US" w:eastAsia="zh-CN"/>
        </w:rPr>
        <w:t>5</w:t>
      </w:r>
      <w:r>
        <w:rPr>
          <w:rFonts w:hint="eastAsia"/>
          <w:highlight w:val="none"/>
        </w:rPr>
        <w:t>楼</w:t>
      </w:r>
      <w:r>
        <w:rPr>
          <w:rFonts w:hint="default"/>
          <w:highlight w:val="none"/>
          <w:lang w:val="en-US" w:eastAsia="zh-CN"/>
        </w:rPr>
        <w:t>512房</w:t>
      </w:r>
    </w:p>
    <w:p w14:paraId="47C6B4F3">
      <w:pPr>
        <w:pStyle w:val="2"/>
        <w:wordWrap w:val="0"/>
        <w:topLinePunct/>
        <w:autoSpaceDE/>
        <w:autoSpaceDN/>
        <w:spacing w:before="158" w:line="240" w:lineRule="auto"/>
        <w:ind w:left="875" w:right="20"/>
        <w:rPr>
          <w:rFonts w:hint="default" w:eastAsia="宋体"/>
          <w:highlight w:val="none"/>
          <w:lang w:val="en-US" w:eastAsia="zh-CN"/>
        </w:rPr>
      </w:pPr>
      <w:r>
        <w:rPr>
          <w:highlight w:val="none"/>
        </w:rPr>
        <w:t>邮政编码：</w:t>
      </w:r>
      <w:r>
        <w:rPr>
          <w:rFonts w:hint="default"/>
          <w:highlight w:val="none"/>
          <w:u w:val="none"/>
          <w:lang w:val="en-US" w:eastAsia="zh-CN"/>
        </w:rPr>
        <w:t>510010</w:t>
      </w:r>
    </w:p>
    <w:p w14:paraId="7A198012">
      <w:pPr>
        <w:pStyle w:val="2"/>
        <w:wordWrap w:val="0"/>
        <w:topLinePunct/>
        <w:autoSpaceDE/>
        <w:autoSpaceDN/>
        <w:spacing w:before="158" w:line="240" w:lineRule="auto"/>
        <w:ind w:left="875" w:right="20"/>
        <w:rPr>
          <w:rFonts w:hint="default" w:eastAsia="宋体"/>
          <w:highlight w:val="none"/>
          <w:lang w:val="en-US" w:eastAsia="zh-CN"/>
        </w:rPr>
      </w:pPr>
      <w:r>
        <w:rPr>
          <w:highlight w:val="none"/>
        </w:rPr>
        <w:t>电子邮件:</w:t>
      </w:r>
      <w:r>
        <w:rPr>
          <w:rFonts w:hint="default"/>
          <w:highlight w:val="none"/>
          <w:lang w:val="en-US" w:eastAsia="zh-CN"/>
        </w:rPr>
        <w:t>287170020@qq.com</w:t>
      </w:r>
      <w:r>
        <w:rPr>
          <w:rFonts w:hint="default"/>
          <w:highlight w:val="none"/>
          <w:lang w:val="en-US" w:eastAsia="zh-CN"/>
        </w:rPr>
        <w:tab/>
      </w:r>
      <w:r>
        <w:rPr>
          <w:rFonts w:hint="default"/>
          <w:highlight w:val="none"/>
          <w:lang w:val="en-US" w:eastAsia="zh-CN"/>
        </w:rPr>
        <w:tab/>
      </w:r>
    </w:p>
    <w:p w14:paraId="6A069C38">
      <w:pPr>
        <w:pStyle w:val="2"/>
        <w:wordWrap w:val="0"/>
        <w:topLinePunct/>
        <w:autoSpaceDE/>
        <w:autoSpaceDN/>
        <w:spacing w:before="158" w:line="240" w:lineRule="auto"/>
        <w:ind w:left="875" w:right="20"/>
        <w:rPr>
          <w:rFonts w:hint="default" w:eastAsia="宋体"/>
          <w:highlight w:val="none"/>
          <w:lang w:val="en-US" w:eastAsia="zh-CN"/>
        </w:rPr>
      </w:pPr>
      <w:r>
        <w:rPr>
          <w:highlight w:val="none"/>
        </w:rPr>
        <w:t>联系人：</w:t>
      </w:r>
      <w:r>
        <w:rPr>
          <w:rFonts w:hint="default"/>
          <w:highlight w:val="none"/>
          <w:u w:val="none"/>
          <w:lang w:val="en-US" w:eastAsia="zh-CN"/>
        </w:rPr>
        <w:t>林工</w:t>
      </w:r>
      <w:r>
        <w:rPr>
          <w:rFonts w:hint="eastAsia"/>
          <w:highlight w:val="none"/>
          <w:u w:val="none"/>
          <w:lang w:val="en-US" w:eastAsia="zh-CN"/>
        </w:rPr>
        <w:t>、潘工</w:t>
      </w:r>
    </w:p>
    <w:p w14:paraId="5E014F5E">
      <w:pPr>
        <w:pStyle w:val="2"/>
        <w:wordWrap w:val="0"/>
        <w:topLinePunct/>
        <w:autoSpaceDE/>
        <w:autoSpaceDN/>
        <w:spacing w:before="158" w:line="240" w:lineRule="auto"/>
        <w:ind w:left="875" w:right="20"/>
        <w:rPr>
          <w:spacing w:val="0"/>
          <w:highlight w:val="none"/>
          <w:u w:val="none"/>
        </w:rPr>
      </w:pPr>
      <w:r>
        <w:rPr>
          <w:highlight w:val="none"/>
        </w:rPr>
        <w:t>电</w:t>
      </w:r>
      <w:r>
        <w:rPr>
          <w:highlight w:val="none"/>
        </w:rPr>
        <w:tab/>
      </w:r>
      <w:r>
        <w:rPr>
          <w:highlight w:val="none"/>
        </w:rPr>
        <w:t>话</w:t>
      </w:r>
      <w:r>
        <w:rPr>
          <w:spacing w:val="0"/>
          <w:highlight w:val="none"/>
        </w:rPr>
        <w:t>：</w:t>
      </w:r>
      <w:r>
        <w:rPr>
          <w:rFonts w:hint="default"/>
          <w:spacing w:val="0"/>
          <w:highlight w:val="none"/>
          <w:u w:val="none"/>
          <w:lang w:val="en-US" w:eastAsia="zh-CN"/>
        </w:rPr>
        <w:t>020-62655580/13433937614</w:t>
      </w:r>
      <w:r>
        <w:rPr>
          <w:spacing w:val="0"/>
          <w:highlight w:val="none"/>
          <w:u w:val="none"/>
        </w:rPr>
        <w:t xml:space="preserve"> </w:t>
      </w:r>
    </w:p>
    <w:p w14:paraId="4120EB86">
      <w:pPr>
        <w:pStyle w:val="2"/>
        <w:wordWrap w:val="0"/>
        <w:topLinePunct/>
        <w:autoSpaceDE/>
        <w:autoSpaceDN/>
        <w:spacing w:before="158" w:line="240" w:lineRule="auto"/>
        <w:ind w:left="875" w:right="20"/>
        <w:rPr>
          <w:rFonts w:hint="default"/>
          <w:spacing w:val="0"/>
          <w:highlight w:val="none"/>
          <w:u w:val="none"/>
          <w:lang w:val="en-US" w:eastAsia="zh-CN"/>
        </w:rPr>
      </w:pPr>
      <w:r>
        <w:rPr>
          <w:highlight w:val="none"/>
        </w:rPr>
        <w:t>传</w:t>
      </w:r>
      <w:r>
        <w:rPr>
          <w:highlight w:val="none"/>
        </w:rPr>
        <w:tab/>
      </w:r>
      <w:r>
        <w:rPr>
          <w:highlight w:val="none"/>
        </w:rPr>
        <w:t>真</w:t>
      </w:r>
      <w:r>
        <w:rPr>
          <w:spacing w:val="0"/>
          <w:highlight w:val="none"/>
        </w:rPr>
        <w:t>：</w:t>
      </w:r>
      <w:r>
        <w:rPr>
          <w:rFonts w:hint="default"/>
          <w:spacing w:val="0"/>
          <w:highlight w:val="none"/>
          <w:u w:val="none"/>
          <w:lang w:val="en-US" w:eastAsia="zh-CN"/>
        </w:rPr>
        <w:t>020-62655581</w:t>
      </w:r>
    </w:p>
    <w:p w14:paraId="559AAAD4">
      <w:pPr>
        <w:pStyle w:val="2"/>
        <w:wordWrap w:val="0"/>
        <w:topLinePunct/>
        <w:autoSpaceDE/>
        <w:autoSpaceDN/>
        <w:spacing w:before="158" w:line="240" w:lineRule="auto"/>
        <w:ind w:left="875" w:right="20"/>
        <w:rPr>
          <w:rFonts w:hint="default" w:eastAsia="宋体"/>
          <w:highlight w:val="none"/>
          <w:lang w:val="en-US" w:eastAsia="zh-CN"/>
        </w:rPr>
      </w:pPr>
    </w:p>
    <w:p w14:paraId="522773DD">
      <w:pPr>
        <w:pStyle w:val="2"/>
        <w:wordWrap w:val="0"/>
        <w:topLinePunct/>
        <w:autoSpaceDE/>
        <w:autoSpaceDN/>
        <w:spacing w:before="158" w:line="240" w:lineRule="auto"/>
        <w:ind w:left="875" w:right="20"/>
        <w:rPr>
          <w:rFonts w:hint="default" w:eastAsia="宋体"/>
          <w:highlight w:val="none"/>
          <w:lang w:val="en-US" w:eastAsia="zh-CN"/>
        </w:rPr>
      </w:pPr>
      <w:r>
        <w:rPr>
          <w:rFonts w:hint="default" w:eastAsia="宋体"/>
          <w:highlight w:val="none"/>
          <w:lang w:val="en-US" w:eastAsia="zh-CN"/>
        </w:rPr>
        <w:t>招标监督机构：广州市交通运输局建设管理处</w:t>
      </w:r>
    </w:p>
    <w:p w14:paraId="567A78A0">
      <w:pPr>
        <w:pStyle w:val="2"/>
        <w:wordWrap w:val="0"/>
        <w:topLinePunct/>
        <w:autoSpaceDE/>
        <w:autoSpaceDN/>
        <w:spacing w:before="158" w:line="240" w:lineRule="auto"/>
        <w:ind w:left="875" w:right="20"/>
        <w:rPr>
          <w:rFonts w:hint="default" w:eastAsia="宋体"/>
          <w:highlight w:val="none"/>
          <w:lang w:val="en-US" w:eastAsia="zh-CN"/>
        </w:rPr>
      </w:pPr>
      <w:r>
        <w:rPr>
          <w:rFonts w:hint="default" w:eastAsia="宋体"/>
          <w:highlight w:val="none"/>
          <w:lang w:val="en-US" w:eastAsia="zh-CN"/>
        </w:rPr>
        <w:t>监管电话：020-38180056</w:t>
      </w:r>
    </w:p>
    <w:p w14:paraId="0637D47E">
      <w:pPr>
        <w:pStyle w:val="2"/>
        <w:wordWrap w:val="0"/>
        <w:topLinePunct/>
        <w:autoSpaceDE/>
        <w:autoSpaceDN/>
        <w:spacing w:before="158" w:line="240" w:lineRule="auto"/>
        <w:ind w:left="875" w:right="20"/>
        <w:rPr>
          <w:rFonts w:hint="default" w:eastAsia="宋体"/>
          <w:highlight w:val="none"/>
          <w:lang w:val="en-US" w:eastAsia="zh-CN"/>
        </w:rPr>
      </w:pPr>
      <w:r>
        <w:rPr>
          <w:rFonts w:hint="default" w:eastAsia="宋体"/>
          <w:highlight w:val="none"/>
          <w:lang w:val="en-US" w:eastAsia="zh-CN"/>
        </w:rPr>
        <w:t xml:space="preserve">地    址：广州市天河区天河南二路1号  </w:t>
      </w:r>
    </w:p>
    <w:p w14:paraId="29B68F9B">
      <w:pPr>
        <w:pStyle w:val="2"/>
        <w:wordWrap w:val="0"/>
        <w:topLinePunct/>
        <w:autoSpaceDE/>
        <w:autoSpaceDN/>
        <w:rPr>
          <w:sz w:val="20"/>
          <w:highlight w:val="none"/>
        </w:rPr>
      </w:pPr>
    </w:p>
    <w:p w14:paraId="21D8592F">
      <w:pPr>
        <w:pStyle w:val="2"/>
        <w:wordWrap w:val="0"/>
        <w:topLinePunct/>
        <w:autoSpaceDE/>
        <w:autoSpaceDN/>
        <w:rPr>
          <w:sz w:val="17"/>
          <w:highlight w:val="none"/>
        </w:rPr>
      </w:pPr>
    </w:p>
    <w:p w14:paraId="6069B678">
      <w:pPr>
        <w:wordWrap w:val="0"/>
        <w:topLinePunct/>
        <w:autoSpaceDE/>
        <w:autoSpaceDN/>
        <w:spacing w:before="70" w:line="374" w:lineRule="auto"/>
        <w:ind w:left="841" w:right="5064" w:firstLine="0"/>
        <w:jc w:val="left"/>
        <w:rPr>
          <w:sz w:val="21"/>
          <w:highlight w:val="none"/>
        </w:rPr>
      </w:pPr>
    </w:p>
    <w:p w14:paraId="207C50BF">
      <w:pPr>
        <w:wordWrap w:val="0"/>
        <w:topLinePunct/>
        <w:autoSpaceDE/>
        <w:autoSpaceDN/>
        <w:spacing w:before="70" w:line="374" w:lineRule="auto"/>
        <w:ind w:left="841" w:right="20" w:firstLine="0"/>
        <w:jc w:val="right"/>
        <w:rPr>
          <w:rFonts w:hint="eastAsia"/>
          <w:sz w:val="24"/>
          <w:szCs w:val="24"/>
          <w:highlight w:val="none"/>
          <w:lang w:val="en-US" w:eastAsia="zh-CN"/>
        </w:rPr>
      </w:pPr>
      <w:r>
        <w:rPr>
          <w:rFonts w:hint="eastAsia"/>
          <w:sz w:val="24"/>
          <w:szCs w:val="24"/>
          <w:highlight w:val="none"/>
          <w:lang w:val="en-US" w:eastAsia="zh-CN"/>
        </w:rPr>
        <w:t>2025年   月   日</w:t>
      </w:r>
    </w:p>
    <w:p w14:paraId="20576D79">
      <w:pPr>
        <w:wordWrap w:val="0"/>
        <w:topLinePunct/>
        <w:autoSpaceDE/>
        <w:autoSpaceDN/>
        <w:spacing w:before="70" w:line="374" w:lineRule="auto"/>
        <w:ind w:left="841" w:right="20" w:firstLine="0"/>
        <w:jc w:val="right"/>
        <w:rPr>
          <w:sz w:val="21"/>
          <w:highlight w:val="none"/>
        </w:rPr>
      </w:pPr>
    </w:p>
    <w:p w14:paraId="1B7541C8">
      <w:pPr>
        <w:wordWrap w:val="0"/>
        <w:topLinePunct/>
        <w:autoSpaceDE/>
        <w:autoSpaceDN/>
        <w:spacing w:before="0" w:line="360" w:lineRule="auto"/>
        <w:ind w:left="0" w:right="0" w:firstLine="840" w:firstLineChars="400"/>
        <w:jc w:val="left"/>
        <w:rPr>
          <w:sz w:val="21"/>
          <w:highlight w:val="none"/>
        </w:rPr>
      </w:pPr>
      <w:r>
        <w:rPr>
          <w:sz w:val="21"/>
          <w:highlight w:val="none"/>
        </w:rPr>
        <w:t xml:space="preserve">附件 1：资格审查条件附录 </w:t>
      </w:r>
      <w:r>
        <w:rPr>
          <w:sz w:val="21"/>
          <w:highlight w:val="none"/>
          <w:u w:val="single"/>
        </w:rPr>
        <w:t>1</w:t>
      </w:r>
      <w:r>
        <w:rPr>
          <w:sz w:val="21"/>
          <w:highlight w:val="none"/>
        </w:rPr>
        <w:t xml:space="preserve"> 至附录 </w:t>
      </w:r>
      <w:r>
        <w:rPr>
          <w:sz w:val="21"/>
          <w:highlight w:val="none"/>
          <w:u w:val="single"/>
        </w:rPr>
        <w:t>7</w:t>
      </w:r>
    </w:p>
    <w:p w14:paraId="24D6644E">
      <w:pPr>
        <w:wordWrap w:val="0"/>
        <w:topLinePunct/>
        <w:autoSpaceDE/>
        <w:autoSpaceDN/>
        <w:spacing w:before="0" w:line="360" w:lineRule="auto"/>
        <w:ind w:left="841" w:right="0" w:firstLine="0"/>
        <w:jc w:val="left"/>
        <w:rPr>
          <w:sz w:val="21"/>
          <w:highlight w:val="none"/>
        </w:rPr>
      </w:pPr>
      <w:r>
        <w:rPr>
          <w:sz w:val="21"/>
          <w:highlight w:val="none"/>
        </w:rPr>
        <w:t>附件 2：评标办法</w:t>
      </w:r>
    </w:p>
    <w:p w14:paraId="7F2A9507">
      <w:pPr>
        <w:spacing w:before="0" w:line="360" w:lineRule="auto"/>
        <w:ind w:left="841"/>
        <w:rPr>
          <w:highlight w:val="none"/>
        </w:rPr>
      </w:pPr>
      <w:r>
        <w:rPr>
          <w:highlight w:val="none"/>
        </w:rPr>
        <w:t>以上附件可从发布公告的网站媒介上下载。</w:t>
      </w:r>
    </w:p>
    <w:sectPr>
      <w:headerReference r:id="rId5" w:type="default"/>
      <w:footerReference r:id="rId6" w:type="default"/>
      <w:pgSz w:w="11906" w:h="16838"/>
      <w:pgMar w:top="1383" w:right="1236" w:bottom="1383" w:left="123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953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14935" cy="131445"/>
              <wp:effectExtent l="0" t="0" r="0" b="0"/>
              <wp:wrapNone/>
              <wp:docPr id="15" name="文本框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419B2C9">
                          <w:pPr>
                            <w:pStyle w:val="3"/>
                            <w:rPr>
                              <w:rStyle w:val="7"/>
                            </w:rPr>
                          </w:pPr>
                          <w:r>
                            <w:fldChar w:fldCharType="begin"/>
                          </w:r>
                          <w:r>
                            <w:rPr>
                              <w:rStyle w:val="7"/>
                            </w:rPr>
                            <w:instrText xml:space="preserve"> PAGE  \* MERGEFORMAT </w:instrText>
                          </w:r>
                          <w:r>
                            <w:fldChar w:fldCharType="separate"/>
                          </w:r>
                          <w:r>
                            <w:rPr>
                              <w:rStyle w:val="7"/>
                            </w:rPr>
                            <w:t>63</w:t>
                          </w:r>
                          <w:r>
                            <w:fldChar w:fldCharType="end"/>
                          </w:r>
                        </w:p>
                      </w:txbxContent>
                    </wps:txbx>
                    <wps:bodyPr vert="horz" wrap="none" lIns="0" tIns="0" rIns="0" bIns="0" anchor="t" anchorCtr="0">
                      <a:spAutoFit/>
                    </wps:bodyPr>
                  </wps:wsp>
                </a:graphicData>
              </a:graphic>
            </wp:anchor>
          </w:drawing>
        </mc:Choice>
        <mc:Fallback>
          <w:pict>
            <v:shape id="文本框2" o:spid="_x0000_s1026" o:spt="202" type="#_x0000_t202" style="position:absolute;left:0pt;height:10.35pt;width:9.05pt;mso-position-horizontal:center;mso-position-horizontal-relative:margin;mso-position-vertical:top;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ukXrHbAQAAsAMAAA4AAABkcnMvZTJvRG9jLnhtbK1TwY7TMBC9I/EP&#10;lu80TbeLIGq6AqpFSAiQlv0A17EbS7bHst0m5QPgDzhx4b7f1e9g7CTdZbnsgUsyHo/fvPc8Xl31&#10;RpOD8EGBrWk5m1MiLIdG2V1Nb79ev3hFSYjMNkyDFTU9ikCv1s+frTpXiQW0oBvhCYLYUHWupm2M&#10;riqKwFthWJiBExY3JXjDIi79rmg86xDd6GIxn78sOvCN88BFCJjdDJt0RPRPAQQpFRcb4HsjbBxQ&#10;vdAsoqTQKhfoOrOVUvD4WcogItE1RaUxf7EJxtv0LdYrVu08c63iIwX2FAqPNBmmLDY9Q21YZGTv&#10;1T9QRnEPAWSccTDFICQ7girK+SNvblrmRNaCVgd3Nj38P1j+6fDFE9XgJFxSYpnBGz/9/HH6dXf6&#10;/X2R7OlcqLDqxmFd7N9Cj6VTPmAyqe6lN+mPegjuo7nHs7mij4SnQ+Xy9QX24LhVXpTL5WVCKe4P&#10;Ox/iewGGpKCmHu8uW8oOH0McSqeS1MvCtdI635+2fyUQM2WKxHxgmKLYb/tRzhaaI6rBR4B9WvDf&#10;KOlwBGpqceIp0R8sOpymZQr8FGyngFmOB2saKRnCdzFPVSIS3Jt9RHaZdGo99BsZ4UVm2ePQpUl5&#10;uM5V9w9t/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q6ResdsBAACwAwAADgAAAAAAAAAB&#10;ACAAAAAfAQAAZHJzL2Uyb0RvYy54bWxQSwUGAAAAAAYABgBZAQAAbAUAAAAA&#10;">
              <v:fill on="f" focussize="0,0"/>
              <v:stroke on="f"/>
              <v:imagedata o:title=""/>
              <o:lock v:ext="edit" aspectratio="f"/>
              <v:textbox inset="0mm,0mm,0mm,0mm" style="mso-fit-shape-to-text:t;">
                <w:txbxContent>
                  <w:p w14:paraId="6419B2C9">
                    <w:pPr>
                      <w:pStyle w:val="3"/>
                      <w:rPr>
                        <w:rStyle w:val="7"/>
                      </w:rPr>
                    </w:pPr>
                    <w:r>
                      <w:fldChar w:fldCharType="begin"/>
                    </w:r>
                    <w:r>
                      <w:rPr>
                        <w:rStyle w:val="7"/>
                      </w:rPr>
                      <w:instrText xml:space="preserve"> PAGE  \* MERGEFORMAT </w:instrText>
                    </w:r>
                    <w:r>
                      <w:fldChar w:fldCharType="separate"/>
                    </w:r>
                    <w:r>
                      <w:rPr>
                        <w:rStyle w:val="7"/>
                      </w:rP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3F8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39" w:hanging="244"/>
        <w:jc w:val="right"/>
      </w:pPr>
      <w:rPr>
        <w:rFonts w:hint="default" w:ascii="宋体" w:hAnsi="宋体" w:eastAsia="宋体" w:cs="宋体"/>
        <w:b/>
        <w:bCs/>
        <w:spacing w:val="0"/>
        <w:w w:val="99"/>
        <w:sz w:val="22"/>
        <w:szCs w:val="22"/>
      </w:rPr>
    </w:lvl>
    <w:lvl w:ilvl="1" w:tentative="0">
      <w:start w:val="1"/>
      <w:numFmt w:val="decimal"/>
      <w:lvlText w:val="%1.%2"/>
      <w:lvlJc w:val="left"/>
      <w:pPr>
        <w:ind w:left="1216" w:hanging="420"/>
        <w:jc w:val="left"/>
      </w:pPr>
      <w:rPr>
        <w:rFonts w:hint="default" w:ascii="宋体" w:hAnsi="宋体" w:eastAsia="宋体" w:cs="宋体"/>
        <w:w w:val="100"/>
        <w:sz w:val="24"/>
        <w:szCs w:val="24"/>
      </w:rPr>
    </w:lvl>
    <w:lvl w:ilvl="2" w:tentative="0">
      <w:start w:val="0"/>
      <w:numFmt w:val="bullet"/>
      <w:lvlText w:val="•"/>
      <w:lvlJc w:val="left"/>
      <w:pPr>
        <w:ind w:left="1220" w:hanging="420"/>
      </w:pPr>
      <w:rPr>
        <w:rFonts w:hint="default"/>
      </w:rPr>
    </w:lvl>
    <w:lvl w:ilvl="3" w:tentative="0">
      <w:start w:val="0"/>
      <w:numFmt w:val="bullet"/>
      <w:lvlText w:val="•"/>
      <w:lvlJc w:val="left"/>
      <w:pPr>
        <w:ind w:left="2280" w:hanging="420"/>
      </w:pPr>
      <w:rPr>
        <w:rFonts w:hint="default"/>
      </w:rPr>
    </w:lvl>
    <w:lvl w:ilvl="4" w:tentative="0">
      <w:start w:val="0"/>
      <w:numFmt w:val="bullet"/>
      <w:lvlText w:val="•"/>
      <w:lvlJc w:val="left"/>
      <w:pPr>
        <w:ind w:left="3340" w:hanging="420"/>
      </w:pPr>
      <w:rPr>
        <w:rFonts w:hint="default"/>
      </w:rPr>
    </w:lvl>
    <w:lvl w:ilvl="5" w:tentative="0">
      <w:start w:val="0"/>
      <w:numFmt w:val="bullet"/>
      <w:lvlText w:val="•"/>
      <w:lvlJc w:val="left"/>
      <w:pPr>
        <w:ind w:left="4400" w:hanging="420"/>
      </w:pPr>
      <w:rPr>
        <w:rFonts w:hint="default"/>
      </w:rPr>
    </w:lvl>
    <w:lvl w:ilvl="6" w:tentative="0">
      <w:start w:val="0"/>
      <w:numFmt w:val="bullet"/>
      <w:lvlText w:val="•"/>
      <w:lvlJc w:val="left"/>
      <w:pPr>
        <w:ind w:left="5460" w:hanging="420"/>
      </w:pPr>
      <w:rPr>
        <w:rFonts w:hint="default"/>
      </w:rPr>
    </w:lvl>
    <w:lvl w:ilvl="7" w:tentative="0">
      <w:start w:val="0"/>
      <w:numFmt w:val="bullet"/>
      <w:lvlText w:val="•"/>
      <w:lvlJc w:val="left"/>
      <w:pPr>
        <w:ind w:left="6520" w:hanging="420"/>
      </w:pPr>
      <w:rPr>
        <w:rFonts w:hint="default"/>
      </w:rPr>
    </w:lvl>
    <w:lvl w:ilvl="8" w:tentative="0">
      <w:start w:val="0"/>
      <w:numFmt w:val="bullet"/>
      <w:lvlText w:val="•"/>
      <w:lvlJc w:val="left"/>
      <w:pPr>
        <w:ind w:left="75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73F3F"/>
    <w:rsid w:val="001662F5"/>
    <w:rsid w:val="07BE4017"/>
    <w:rsid w:val="1C68506B"/>
    <w:rsid w:val="4D0724EA"/>
    <w:rsid w:val="56473F3F"/>
    <w:rsid w:val="5F41229A"/>
    <w:rsid w:val="711F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styleId="8">
    <w:name w:val="List Paragraph"/>
    <w:basedOn w:val="1"/>
    <w:qFormat/>
    <w:uiPriority w:val="1"/>
    <w:pPr>
      <w:ind w:left="656" w:firstLine="480"/>
    </w:pPr>
    <w:rPr>
      <w:rFonts w:ascii="宋体" w:hAnsi="宋体" w:eastAsia="宋体" w:cs="宋体"/>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3051</Words>
  <Characters>3234</Characters>
  <Lines>0</Lines>
  <Paragraphs>0</Paragraphs>
  <TotalTime>3</TotalTime>
  <ScaleCrop>false</ScaleCrop>
  <LinksUpToDate>false</LinksUpToDate>
  <CharactersWithSpaces>3410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2025-07-31T09:56:00Z</dcterms:created>
  <dc:creator>WPS_1470985716</dc:creator>
  <cp:lastModifiedBy>潘海航</cp:lastModifiedBy>
  <cp:lastPrinted>2025-08-04T03:34:00Z</cp:lastPrinted>
  <dcterms:modified xsi:type="dcterms:W3CDTF">2025-08-04T03:38:03Z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100C135B8F0C4A21B2F6649882F9ABA8_11</vt:lpwstr>
  </property>
  <property fmtid="{D5CDD505-2E9C-101B-9397-08002B2CF9AE}" pid="4" name="KSOTemplateDocerSaveRecord">
    <vt:lpwstr>eyJoZGlkIjoiNGEyYTc5Yzk4OWZiYjlkZTJjMGM4ZDk3ZmQ3YmUzMzUiLCJ1c2VySWQiOiIyMzQ2Nzk2NDMifQ==</vt:lpwstr>
  </property>
</Properties>
</file>