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广东省工程建设项目</w:t>
      </w:r>
      <w:bookmarkStart w:id="0" w:name="_GoBack"/>
      <w:bookmarkEnd w:id="0"/>
      <w:r>
        <w:rPr>
          <w:rFonts w:hint="eastAsia"/>
        </w:rPr>
        <w:t>招标公告</w:t>
      </w:r>
    </w:p>
    <w:tbl>
      <w:tblPr>
        <w:tblStyle w:val="5"/>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top w:type="dxa" w:w="0"/>
          <w:left w:type="dxa" w:w="108"/>
          <w:bottom w:type="dxa" w:w="0"/>
          <w:right w:type="dxa" w:w="108"/>
        </w:tblCellMar>
      </w:tblPr>
      <w:tblGrid>
        <w:gridCol w:w="1861"/>
        <w:gridCol w:w="1547"/>
        <w:gridCol w:w="118"/>
        <w:gridCol w:w="1473"/>
        <w:gridCol w:w="1737"/>
        <w:gridCol w:w="1786"/>
      </w:tblGrid>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394"/>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投资项目代码</w:t>
            </w:r>
          </w:p>
        </w:tc>
        <w:tc>
          <w:tcPr>
            <w:tcW w:type="dxa" w:w="6661"/>
            <w:gridSpan w:val="5"/>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2018-441400-04-01-637272</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371"/>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投资项目名称</w:t>
            </w:r>
          </w:p>
        </w:tc>
        <w:tc>
          <w:tcPr>
            <w:tcW w:type="dxa" w:w="6661"/>
            <w:gridSpan w:val="5"/>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汕昆高速公路揭阳新亨至梅州畲江段及梅汕高速公路梅州程江至畲江段改扩建工程</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383"/>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招标项目名称</w:t>
            </w:r>
          </w:p>
        </w:tc>
        <w:tc>
          <w:tcPr>
            <w:tcW w:type="dxa" w:w="6661"/>
            <w:gridSpan w:val="5"/>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汕昆高速公路揭阳新亨至梅州畲江段及梅汕高速公路梅州程江至畲江段改扩建工程北斗服务区工程施工</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929"/>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标段（包）名称</w:t>
            </w:r>
          </w:p>
        </w:tc>
        <w:tc>
          <w:tcPr>
            <w:tcW w:type="dxa" w:w="1547"/>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FWQ标</w:t>
            </w:r>
          </w:p>
        </w:tc>
        <w:tc>
          <w:tcPr>
            <w:tcW w:type="dxa" w:w="1591"/>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rPr>
              <w:t>公告性质</w:t>
            </w:r>
          </w:p>
        </w:tc>
        <w:tc>
          <w:tcPr>
            <w:tcW w:type="dxa" w:w="3523"/>
            <w:gridSpan w:val="2"/>
            <w:vAlign w:val="center"/>
          </w:tcPr>
          <w:p>
            <w:pPr>
              <w:jc w:val="center"/>
              <w:rPr>
                <w:rFonts w:ascii="宋体" w:cs="宋体" w:eastAsia="宋体" w:hAnsi="宋体" w:hint="eastAsia"/>
                <w:sz w:val="18"/>
                <w:szCs w:val="18"/>
                <w:vertAlign w:val="baseline"/>
                <w:lang w:eastAsia="zh-CN" w:val="en-US"/>
              </w:rPr>
            </w:pPr>
            <w:r>
              <w:rPr>
                <w:rFonts w:ascii="宋体" w:cs="宋体" w:eastAsia="宋体" w:hAnsi="宋体" w:hint="eastAsia"/>
                <w:sz w:val="18"/>
                <w:szCs w:val="18"/>
                <w:vertAlign w:val="baseline"/>
                <w:lang w:eastAsia="zh-CN" w:val="en-US"/>
              </w:rPr>
              <w:t>正常</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37"/>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资格审查方式</w:t>
            </w:r>
          </w:p>
        </w:tc>
        <w:tc>
          <w:tcPr>
            <w:tcW w:type="dxa" w:w="6661"/>
            <w:gridSpan w:val="5"/>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资格后审</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417"/>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招标项目实施</w:t>
            </w:r>
          </w:p>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(交货)地点</w:t>
            </w:r>
          </w:p>
        </w:tc>
        <w:tc>
          <w:tcPr>
            <w:tcW w:type="dxa" w:w="6661"/>
            <w:gridSpan w:val="5"/>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 xml:space="preserve"> 广东省梅州市</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360"/>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资金来源</w:t>
            </w:r>
          </w:p>
        </w:tc>
        <w:tc>
          <w:tcPr>
            <w:tcW w:type="dxa" w:w="1547"/>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企业自筹及银行贷款</w:t>
            </w:r>
          </w:p>
        </w:tc>
        <w:tc>
          <w:tcPr>
            <w:tcW w:type="dxa" w:w="1591"/>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b/>
                <w:bCs/>
                <w:sz w:val="18"/>
                <w:szCs w:val="18"/>
                <w:vertAlign w:val="baseline"/>
              </w:rPr>
              <w:t>资金来源构成</w:t>
            </w:r>
          </w:p>
        </w:tc>
        <w:tc>
          <w:tcPr>
            <w:tcW w:type="dxa" w:w="3523"/>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企业自筹25%，银行贷款75%</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746"/>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招标范围及规模</w:t>
            </w:r>
          </w:p>
        </w:tc>
        <w:tc>
          <w:tcPr>
            <w:tcW w:type="dxa" w:w="6661"/>
            <w:gridSpan w:val="5"/>
            <w:vAlign w:val="top"/>
          </w:tcPr>
          <w:p>
            <w:pPr>
              <w:jc w:val="both"/>
              <w:rPr>
                <w:sz w:val="18"/>
              </w:rPr>
            </w:pPr>
            <w:r>
              <w:rPr>
                <w:rFonts w:ascii="宋体" w:hAnsi="宋体" w:cs="宋体" w:eastAsia="宋体"/>
                <w:color w:val=""/>
                <w:sz w:val="18"/>
                <w:u w:val="none"/>
              </w:rPr>
              <w:t>2.1项目概况</w:t>
            </w:r>
          </w:p>
          <w:p>
            <w:pPr>
              <w:jc w:val="both"/>
              <w:rPr>
                <w:sz w:val="18"/>
              </w:rPr>
            </w:pPr>
            <w:r>
              <w:rPr>
                <w:rFonts w:ascii="宋体" w:hAnsi="宋体" w:cs="宋体" w:eastAsia="宋体"/>
                <w:color w:val=""/>
                <w:sz w:val="18"/>
                <w:u w:val="none"/>
              </w:rPr>
              <w:t xml:space="preserve">    本项目路线全长约87.557km。揭阳新亨至梅州畲江段起自揭阳市揭阳枢纽互通，接汕昆高速外砂至揭阳段，沿既有高速公路改扩建，经玉湖、汤坑、北斗，止于梅州市畲江枢纽互通南，接汕昆高速畲江至兴宁段。梅州程江至畲江段起于梅州市梅县区南口镇沾塘村，接G25长深高速公路和S12梅龙高速公路，设程江枢纽互通立交，经梅县区程江镇、梅南镇、水车镇，终于梅州市梅县区畲江镇连江村，接G78汕昆高速公路揭阳新亨至梅州畲江段，设畲江枢纽互通立交。</w:t>
            </w:r>
          </w:p>
          <w:p>
            <w:pPr>
              <w:jc w:val="both"/>
              <w:rPr>
                <w:sz w:val="18"/>
              </w:rPr>
            </w:pPr>
            <w:r>
              <w:rPr>
                <w:rFonts w:ascii="宋体" w:hAnsi="宋体" w:cs="宋体" w:eastAsia="宋体"/>
                <w:color w:val=""/>
                <w:sz w:val="18"/>
                <w:u w:val="none"/>
              </w:rPr>
              <w:t xml:space="preserve">    项目采用双向八车道高速公路进行改扩建，设计速度采用100公里/小时（利用原有隧道设计速度维持80公里/小时），整体式路基宽度为42米，新建桥涵设计汽车荷载等级为公路-I级。</w:t>
            </w:r>
          </w:p>
          <w:p>
            <w:pPr>
              <w:jc w:val="both"/>
              <w:rPr>
                <w:sz w:val="18"/>
              </w:rPr>
            </w:pPr>
            <w:r>
              <w:rPr>
                <w:rFonts w:ascii="宋体" w:hAnsi="宋体" w:cs="宋体" w:eastAsia="宋体"/>
                <w:color w:val=""/>
                <w:sz w:val="18"/>
                <w:u w:val="none"/>
              </w:rPr>
              <w:t>2.2招标范围</w:t>
            </w:r>
          </w:p>
          <w:p>
            <w:pPr>
              <w:jc w:val="both"/>
              <w:rPr>
                <w:sz w:val="18"/>
              </w:rPr>
            </w:pPr>
            <w:r>
              <w:rPr>
                <w:rFonts w:ascii="宋体" w:hAnsi="宋体" w:cs="宋体" w:eastAsia="宋体"/>
                <w:color w:val=""/>
                <w:sz w:val="18"/>
                <w:u w:val="none"/>
              </w:rPr>
              <w:t xml:space="preserve">    北斗服务区路面及房建工程，具体内容为场区内路面工程（含道路、广场、停车场等）24450.84平方米，新建服务综合楼、水电房、垃圾房及配套附属工程等，建筑总面积1813.71平方米。</w:t>
            </w:r>
          </w:p>
          <w:p>
            <w:pPr>
              <w:jc w:val="both"/>
              <w:rPr>
                <w:sz w:val="18"/>
              </w:rPr>
            </w:pPr>
            <w:r>
              <w:rPr>
                <w:rFonts w:ascii="宋体" w:hAnsi="宋体" w:cs="宋体" w:eastAsia="宋体"/>
                <w:color w:val=""/>
                <w:sz w:val="18"/>
                <w:u w:val="none"/>
              </w:rPr>
              <w:t xml:space="preserve">    计划工期：计划工期12个月，具体施工开工日期以监理人签发的开工令为准。</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666"/>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招标内容</w:t>
            </w:r>
          </w:p>
        </w:tc>
        <w:tc>
          <w:tcPr>
            <w:tcW w:type="dxa" w:w="6661"/>
            <w:gridSpan w:val="5"/>
            <w:vAlign w:val="top"/>
          </w:tcPr>
          <w:p>
            <w:pPr>
              <w:jc w:val="both"/>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416"/>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工期（交货期）</w:t>
            </w:r>
          </w:p>
        </w:tc>
        <w:tc>
          <w:tcPr>
            <w:tcW w:type="dxa" w:w="6661"/>
            <w:gridSpan w:val="5"/>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详见招标公告</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416"/>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最高投标限价</w:t>
            </w:r>
          </w:p>
        </w:tc>
        <w:tc>
          <w:tcPr>
            <w:tcW w:type="dxa" w:w="6661"/>
            <w:gridSpan w:val="5"/>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最高投标限价以补遗书形式发布，发布时间在投标截止时间15天前。</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416"/>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是否接受联合体投标</w:t>
            </w:r>
          </w:p>
        </w:tc>
        <w:tc>
          <w:tcPr>
            <w:tcW w:type="dxa" w:w="6661"/>
            <w:gridSpan w:val="5"/>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否</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22"/>
        </w:trPr>
        <w:tc>
          <w:tcPr>
            <w:tcW w:type="dxa" w:w="1861"/>
            <w:vMerge w:val="restart"/>
            <w:vAlign w:val="center"/>
          </w:tcPr>
          <w:p>
            <w:pPr>
              <w:jc w:val="right"/>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投标资格能力要求</w:t>
            </w:r>
          </w:p>
          <w:p>
            <w:pPr>
              <w:jc w:val="right"/>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(包括但不限于资质</w:t>
            </w:r>
          </w:p>
          <w:p>
            <w:pPr>
              <w:jc w:val="right"/>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人员、业绩等要求)</w:t>
            </w: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rPr>
              <w:t>投标人资格要求</w:t>
            </w:r>
          </w:p>
        </w:tc>
        <w:tc>
          <w:tcPr>
            <w:tcW w:type="dxa" w:w="4996"/>
            <w:gridSpan w:val="3"/>
            <w:vAlign w:val="center"/>
          </w:tcPr>
          <w:p>
            <w:pPr>
              <w:jc w:val="both"/>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FWQ标：同时具备建设行政主管部门核发的（1）公路工程施工总承包一级或以上资质；（2）建筑工程施工总承包二级或以上资质。</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462"/>
        </w:trPr>
        <w:tc>
          <w:tcPr>
            <w:tcW w:type="dxa" w:w="1861"/>
            <w:vMerge w:val="continue"/>
            <w:vAlign w:val="center"/>
          </w:tcPr>
          <w:p>
            <w:pPr>
              <w:jc w:val="center"/>
              <w:rPr>
                <w:rFonts w:ascii="宋体" w:cs="宋体" w:eastAsia="宋体" w:hAnsi="宋体" w:hint="eastAsia"/>
                <w:b/>
                <w:bCs/>
                <w:sz w:val="18"/>
                <w:szCs w:val="18"/>
                <w:vertAlign w:val="baseline"/>
              </w:rPr>
            </w:pP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rPr>
              <w:t>投标人业绩要求</w:t>
            </w:r>
          </w:p>
        </w:tc>
        <w:tc>
          <w:tcPr>
            <w:tcW w:type="dxa" w:w="4996"/>
            <w:gridSpan w:val="3"/>
            <w:vAlign w:val="center"/>
          </w:tcPr>
          <w:p>
            <w:pPr>
              <w:jc w:val="both"/>
              <w:rPr>
                <w:sz w:val="18"/>
              </w:rPr>
            </w:pPr>
            <w:r>
              <w:rPr>
                <w:rFonts w:ascii="宋体" w:hAnsi="宋体" w:cs="宋体" w:eastAsia="宋体"/>
                <w:color w:val=""/>
                <w:sz w:val="18"/>
                <w:u w:val="none"/>
              </w:rPr>
              <w:t>FWQ标：近五年内，独立完成过：</w:t>
            </w:r>
          </w:p>
          <w:p>
            <w:pPr>
              <w:jc w:val="both"/>
              <w:rPr>
                <w:sz w:val="18"/>
              </w:rPr>
            </w:pPr>
            <w:r>
              <w:rPr>
                <w:rFonts w:ascii="宋体" w:hAnsi="宋体" w:cs="宋体" w:eastAsia="宋体"/>
                <w:color w:val=""/>
                <w:sz w:val="18"/>
                <w:u w:val="none"/>
              </w:rPr>
              <w:t>（1）类似工程路面工程至少1个标段；</w:t>
            </w:r>
          </w:p>
          <w:p>
            <w:pPr>
              <w:jc w:val="both"/>
              <w:rPr>
                <w:sz w:val="18"/>
              </w:rPr>
            </w:pPr>
            <w:r>
              <w:rPr>
                <w:rFonts w:ascii="宋体" w:hAnsi="宋体" w:cs="宋体" w:eastAsia="宋体"/>
                <w:color w:val=""/>
                <w:sz w:val="18"/>
                <w:u w:val="none"/>
              </w:rPr>
              <w:t>（2）建筑面积累计3000㎡及以上的房建工程施工。</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1018"/>
        </w:trPr>
        <w:tc>
          <w:tcPr>
            <w:tcW w:type="dxa" w:w="1861"/>
            <w:vMerge w:val="restart"/>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是否采用电子</w:t>
            </w:r>
          </w:p>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招标投标方式</w:t>
            </w:r>
          </w:p>
        </w:tc>
        <w:tc>
          <w:tcPr>
            <w:tcW w:type="dxa" w:w="1665"/>
            <w:gridSpan w:val="2"/>
            <w:vMerge w:val="restart"/>
            <w:vAlign w:val="center"/>
          </w:tcPr>
          <w:p>
            <w:pPr>
              <w:jc w:val="center"/>
              <w:rPr>
                <w:rFonts w:ascii="宋体" w:cs="宋体" w:eastAsia="宋体" w:hAnsi="宋体" w:hint="eastAsia"/>
                <w:sz w:val="18"/>
                <w:szCs w:val="18"/>
                <w:vertAlign w:val="baseline"/>
                <w:lang w:eastAsia="zh-CN" w:val="en-US"/>
              </w:rPr>
            </w:pPr>
            <w:r>
              <w:rPr>
                <w:rFonts w:ascii="宋体" w:cs="宋体" w:eastAsia="宋体" w:hAnsi="宋体" w:hint="eastAsia"/>
                <w:sz w:val="18"/>
                <w:szCs w:val="18"/>
                <w:vertAlign w:val="baseline"/>
                <w:lang w:eastAsia="zh-CN" w:val="en-US"/>
              </w:rPr>
              <w:t>是</w:t>
            </w:r>
          </w:p>
        </w:tc>
        <w:tc>
          <w:tcPr>
            <w:tcW w:type="dxa" w:w="1473"/>
            <w:vMerge w:val="restart"/>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获取资格预审</w:t>
            </w:r>
          </w:p>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/招标文件的</w:t>
            </w:r>
          </w:p>
          <w:p>
            <w:pPr>
              <w:jc w:val="center"/>
              <w:rPr>
                <w:rFonts w:ascii="宋体" w:cs="宋体" w:eastAsia="宋体" w:hAnsi="宋体" w:hint="eastAsia"/>
                <w:sz w:val="18"/>
                <w:szCs w:val="18"/>
                <w:vertAlign w:val="baseline"/>
              </w:rPr>
            </w:pPr>
            <w:r>
              <w:rPr>
                <w:rFonts w:ascii="宋体" w:cs="宋体" w:eastAsia="宋体" w:hAnsi="宋体" w:hint="eastAsia"/>
                <w:b/>
                <w:bCs/>
                <w:sz w:val="18"/>
                <w:szCs w:val="18"/>
                <w:vertAlign w:val="baseline"/>
              </w:rPr>
              <w:t>方式</w:t>
            </w:r>
          </w:p>
        </w:tc>
        <w:tc>
          <w:tcPr>
            <w:tcW w:type="dxa" w:w="1737"/>
            <w:vAlign w:val="center"/>
          </w:tcPr>
          <w:p>
            <w:pPr>
              <w:jc w:val="both"/>
              <w:rPr>
                <w:rFonts w:ascii="宋体" w:cs="宋体" w:eastAsia="宋体" w:hAnsi="宋体" w:hint="eastAsia"/>
                <w:sz w:val="18"/>
                <w:szCs w:val="18"/>
                <w:vertAlign w:val="baseline"/>
              </w:rPr>
            </w:pPr>
            <w:r>
              <w:rPr>
                <w:rFonts w:ascii="宋体" w:cs="宋体" w:eastAsia="宋体" w:hAnsi="宋体" w:hint="eastAsia"/>
                <w:sz w:val="18"/>
                <w:szCs w:val="18"/>
                <w:vertAlign w:val="baseline"/>
              </w:rPr>
              <w:t>下载资格预审/招标文件的网络地址</w:t>
            </w:r>
          </w:p>
        </w:tc>
        <w:tc>
          <w:tcPr>
            <w:tcW w:type="dxa" w:w="1786"/>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广东省公路水运工程建设项目电子招投标交易平台（http://jtcbs.gdcd.gov.cn:30887/tenderlogin）</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808"/>
        </w:trPr>
        <w:tc>
          <w:tcPr>
            <w:tcW w:type="dxa" w:w="1861"/>
            <w:vMerge w:val="continue"/>
            <w:vAlign w:val="center"/>
          </w:tcPr>
          <w:p>
            <w:pPr>
              <w:jc w:val="center"/>
              <w:rPr>
                <w:rFonts w:ascii="宋体" w:cs="宋体" w:eastAsia="宋体" w:hAnsi="宋体" w:hint="eastAsia"/>
                <w:b/>
                <w:bCs/>
                <w:sz w:val="18"/>
                <w:szCs w:val="18"/>
                <w:vertAlign w:val="baseline"/>
              </w:rPr>
            </w:pPr>
          </w:p>
        </w:tc>
        <w:tc>
          <w:tcPr>
            <w:tcW w:type="dxa" w:w="1665"/>
            <w:gridSpan w:val="2"/>
            <w:vMerge w:val="continue"/>
            <w:vAlign w:val="center"/>
          </w:tcPr>
          <w:p>
            <w:pPr>
              <w:jc w:val="center"/>
              <w:rPr>
                <w:rFonts w:ascii="宋体" w:cs="宋体" w:eastAsia="宋体" w:hAnsi="宋体" w:hint="eastAsia"/>
                <w:sz w:val="18"/>
                <w:szCs w:val="18"/>
                <w:vertAlign w:val="baseline"/>
              </w:rPr>
            </w:pPr>
          </w:p>
        </w:tc>
        <w:tc>
          <w:tcPr>
            <w:tcW w:type="dxa" w:w="1473"/>
            <w:vMerge w:val="continue"/>
            <w:vAlign w:val="center"/>
          </w:tcPr>
          <w:p>
            <w:pPr>
              <w:jc w:val="center"/>
              <w:rPr>
                <w:rFonts w:ascii="宋体" w:cs="宋体" w:eastAsia="宋体" w:hAnsi="宋体" w:hint="eastAsia"/>
                <w:sz w:val="18"/>
                <w:szCs w:val="18"/>
                <w:vertAlign w:val="baseline"/>
              </w:rPr>
            </w:pPr>
          </w:p>
        </w:tc>
        <w:tc>
          <w:tcPr>
            <w:tcW w:type="dxa" w:w="1737"/>
            <w:vAlign w:val="center"/>
          </w:tcPr>
          <w:p>
            <w:pPr>
              <w:jc w:val="both"/>
              <w:rPr>
                <w:rFonts w:ascii="宋体" w:cs="宋体" w:eastAsia="宋体" w:hAnsi="宋体" w:hint="eastAsia"/>
                <w:sz w:val="18"/>
                <w:szCs w:val="18"/>
                <w:vertAlign w:val="baseline"/>
              </w:rPr>
            </w:pPr>
            <w:r>
              <w:rPr>
                <w:rFonts w:ascii="宋体" w:cs="宋体" w:eastAsia="宋体" w:hAnsi="宋体" w:hint="eastAsia"/>
                <w:sz w:val="18"/>
                <w:szCs w:val="18"/>
                <w:vertAlign w:val="baseline"/>
              </w:rPr>
              <w:t>获取纸质资格预审/招标文件的方式</w:t>
            </w:r>
          </w:p>
        </w:tc>
        <w:tc>
          <w:tcPr>
            <w:tcW w:type="dxa" w:w="1786"/>
            <w:vAlign w:val="center"/>
          </w:tcPr>
          <w:p>
            <w:pPr>
              <w:jc w:val="center"/>
              <w:rPr>
                <w:rFonts w:ascii="宋体" w:cs="宋体" w:eastAsia="宋体" w:hAnsi="宋体" w:hint="eastAsia"/>
                <w:sz w:val="18"/>
                <w:szCs w:val="18"/>
                <w:vertAlign w:val="baseline"/>
              </w:rPr>
            </w:pP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808"/>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获取资格预审/招标文件开始时间</w:t>
            </w:r>
          </w:p>
        </w:tc>
        <w:tc>
          <w:tcPr>
            <w:tcW w:type="dxa" w:w="1665"/>
            <w:gridSpan w:val="2"/>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2025年08月02日</w:t>
            </w:r>
          </w:p>
        </w:tc>
        <w:tc>
          <w:tcPr>
            <w:tcW w:type="dxa" w:w="1473"/>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获取资格预审</w:t>
            </w:r>
          </w:p>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/招标文件截</w:t>
            </w:r>
          </w:p>
          <w:p>
            <w:pPr>
              <w:jc w:val="center"/>
              <w:rPr>
                <w:rFonts w:ascii="宋体" w:cs="宋体" w:eastAsia="宋体" w:hAnsi="宋体" w:hint="eastAsia"/>
                <w:sz w:val="18"/>
                <w:szCs w:val="18"/>
                <w:vertAlign w:val="baseline"/>
              </w:rPr>
            </w:pPr>
            <w:r>
              <w:rPr>
                <w:rFonts w:ascii="宋体" w:cs="宋体" w:eastAsia="宋体" w:hAnsi="宋体" w:hint="eastAsia"/>
                <w:b/>
                <w:bCs/>
                <w:sz w:val="18"/>
                <w:szCs w:val="18"/>
                <w:vertAlign w:val="baseline"/>
              </w:rPr>
              <w:t>止时间</w:t>
            </w:r>
          </w:p>
        </w:tc>
        <w:tc>
          <w:tcPr>
            <w:tcW w:type="dxa" w:w="3523"/>
            <w:gridSpan w:val="2"/>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2025年08月08日</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808"/>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递交资格预审/投标文件截止时间</w:t>
            </w:r>
          </w:p>
        </w:tc>
        <w:tc>
          <w:tcPr>
            <w:tcW w:type="dxa" w:w="1665"/>
            <w:gridSpan w:val="2"/>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2025年08月29日09时00分</w:t>
            </w:r>
          </w:p>
        </w:tc>
        <w:tc>
          <w:tcPr>
            <w:tcW w:type="dxa" w:w="1473"/>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资格预审/投标文件递交方式</w:t>
            </w:r>
          </w:p>
        </w:tc>
        <w:tc>
          <w:tcPr>
            <w:tcW w:type="dxa" w:w="3523"/>
            <w:gridSpan w:val="2"/>
            <w:vAlign w:val="center"/>
          </w:tcPr>
          <w:p>
            <w:pPr>
              <w:jc w:val="both"/>
              <w:rPr>
                <w:sz w:val="18"/>
              </w:rPr>
            </w:pPr>
            <w:r>
              <w:rPr>
                <w:rFonts w:ascii="宋体" w:hAnsi="宋体" w:cs="宋体" w:eastAsia="宋体"/>
                <w:color w:val=""/>
                <w:sz w:val="18"/>
                <w:u w:val="none"/>
              </w:rPr>
              <w:t>投标文件电子文件统一采用网络上传的方式，投标人于2025年8月9日00时00分至2025年8月29日09时00分将电子文件完整上传。递交投标文件纸质文件截止时间为2025年8月29日09时00分，投标人应于2025年8月29日08时30分至2025年8月29日09时00分将投标文件纸质文件递交至广州公共资源交易中心相应的开标室，具体开标室见交易中心大厅公告（广州市天河区天润路333号）。</w:t>
            </w:r>
          </w:p>
          <w:p>
            <w:pPr>
              <w:jc w:val="both"/>
              <w:rPr>
                <w:sz w:val="18"/>
              </w:rPr>
            </w:pPr>
            <w:r>
              <w:rPr>
                <w:rFonts w:ascii="宋体" w:hAnsi="宋体" w:cs="宋体" w:eastAsia="宋体"/>
                <w:color w:val=""/>
                <w:sz w:val="18"/>
                <w:u w:val="none"/>
              </w:rPr>
              <w:t>5.3逾期送达的、未送达指定地点的或不按照招标文件要求密封的投标文件，招标人将予以拒收。</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80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开标时间</w:t>
            </w: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2025年08月29日09时00分</w:t>
            </w:r>
          </w:p>
        </w:tc>
        <w:tc>
          <w:tcPr>
            <w:tcW w:type="dxa" w:w="1473"/>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开标地点</w:t>
            </w:r>
          </w:p>
        </w:tc>
        <w:tc>
          <w:tcPr>
            <w:tcW w:type="dxa" w:w="3523"/>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rPr>
              <w:t>广州公共资源交易中心</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7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发布公告媒介</w:t>
            </w:r>
          </w:p>
        </w:tc>
        <w:tc>
          <w:tcPr>
            <w:tcW w:type="dxa" w:w="6661"/>
            <w:gridSpan w:val="5"/>
            <w:vAlign w:val="center"/>
          </w:tcPr>
          <w:p>
            <w:pPr>
              <w:jc w:val="both"/>
              <w:rPr>
                <w:sz w:val="18"/>
              </w:rPr>
            </w:pPr>
            <w:r>
              <w:rPr>
                <w:rFonts w:ascii="宋体" w:hAnsi="宋体" w:cs="宋体" w:eastAsia="宋体"/>
                <w:color w:val=""/>
                <w:sz w:val="18"/>
                <w:u w:val="none"/>
              </w:rPr>
              <w:t xml:space="preserve">  本次招标公告同时在广东省招标投标监管网、广州公共资源交易中心网站上发布。如公告详细内容不一致者，以广东省招标投标监管网公告为准。</w:t>
            </w:r>
          </w:p>
          <w:p>
            <w:pPr>
              <w:jc w:val="both"/>
              <w:rPr>
                <w:sz w:val="18"/>
              </w:rPr>
            </w:pPr>
            <w:r>
              <w:rPr>
                <w:rFonts w:ascii="宋体" w:hAnsi="宋体" w:cs="宋体" w:eastAsia="宋体"/>
                <w:color w:val=""/>
                <w:sz w:val="18"/>
                <w:u w:val="none"/>
              </w:rPr>
              <w:t> 7.在规定的投标登记期间，如某个标段投标登记并购买招标文件的投标人不足3家时，招标人有权选择以下任一方式：（1）在广东省招标投标监管网及广州公共资源交易中心网站发布公告延长上述投标人家数不足的标段投标登记时间</w:t>
            </w:r>
          </w:p>
          <w:p>
            <w:pPr>
              <w:jc w:val="both"/>
              <w:rPr>
                <w:sz w:val="18"/>
              </w:rPr>
            </w:pPr>
            <w:r>
              <w:rPr>
                <w:rFonts w:ascii="宋体" w:hAnsi="宋体" w:cs="宋体" w:eastAsia="宋体"/>
                <w:color w:val=""/>
                <w:sz w:val="18"/>
                <w:u w:val="none"/>
              </w:rPr>
              <w:t>，在延期投标登记时间内，已投标登记投标人的资料仍有效并可自行补充资料，未投标登记的投标人可根据公告的约定进行投标登记；（2）对上述投标人家数不足的标段依法重新组织招标或不再招标。</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80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招标人</w:t>
            </w: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广东省路桥建设发展有限公司路达分公司</w:t>
            </w:r>
          </w:p>
        </w:tc>
        <w:tc>
          <w:tcPr>
            <w:tcW w:type="dxa" w:w="1473"/>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联系地址</w:t>
            </w:r>
          </w:p>
        </w:tc>
        <w:tc>
          <w:tcPr>
            <w:tcW w:type="dxa" w:w="3523"/>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梅州市梅县区畲江镇汕梅高速公路管理中心</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0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招标人联系人</w:t>
            </w: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刘工</w:t>
            </w:r>
          </w:p>
        </w:tc>
        <w:tc>
          <w:tcPr>
            <w:tcW w:type="dxa" w:w="1473"/>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联系电话</w:t>
            </w:r>
          </w:p>
        </w:tc>
        <w:tc>
          <w:tcPr>
            <w:tcW w:type="dxa" w:w="3523"/>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13430170489</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8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招标代理机构</w:t>
            </w: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
            </w:r>
          </w:p>
        </w:tc>
        <w:tc>
          <w:tcPr>
            <w:tcW w:type="dxa" w:w="1473"/>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联系地址</w:t>
            </w:r>
          </w:p>
        </w:tc>
        <w:tc>
          <w:tcPr>
            <w:tcW w:type="dxa" w:w="3523"/>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8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招标代理联系人</w:t>
            </w: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
            </w:r>
          </w:p>
        </w:tc>
        <w:tc>
          <w:tcPr>
            <w:tcW w:type="dxa" w:w="1473"/>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联系电话</w:t>
            </w:r>
          </w:p>
        </w:tc>
        <w:tc>
          <w:tcPr>
            <w:tcW w:type="dxa" w:w="3523"/>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8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招标监督机构</w:t>
            </w: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广东省交通运输厅基建管理处</w:t>
            </w:r>
          </w:p>
        </w:tc>
        <w:tc>
          <w:tcPr>
            <w:tcW w:type="dxa" w:w="1473"/>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联系电话</w:t>
            </w:r>
          </w:p>
        </w:tc>
        <w:tc>
          <w:tcPr>
            <w:tcW w:type="dxa" w:w="3523"/>
            <w:gridSpan w:val="2"/>
            <w:vAlign w:val="center"/>
          </w:tcPr>
          <w:p>
            <w:pPr>
              <w:jc w:val="center"/>
              <w:rPr>
                <w:rFonts w:ascii="宋体" w:cs="宋体" w:eastAsia="宋体" w:hAnsi="宋体" w:hint="eastAsia"/>
                <w:sz w:val="18"/>
                <w:szCs w:val="18"/>
                <w:vertAlign w:val="baseline"/>
              </w:rPr>
            </w:pP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8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其他依法应当载明的内容</w:t>
            </w:r>
          </w:p>
        </w:tc>
        <w:tc>
          <w:tcPr>
            <w:tcW w:type="dxa" w:w="6661"/>
            <w:gridSpan w:val="5"/>
            <w:vAlign w:val="center"/>
          </w:tcPr>
          <w:p>
            <w:pPr>
              <w:jc w:val="center"/>
              <w:rPr>
                <w:rFonts w:ascii="宋体" w:cs="宋体" w:eastAsia="宋体" w:hAnsi="宋体" w:hint="eastAsia"/>
                <w:sz w:val="18"/>
                <w:szCs w:val="18"/>
                <w:vertAlign w:val="baseline"/>
              </w:rPr>
            </w:pPr>
          </w:p>
        </w:tc>
      </w:tr>
    </w:tbl>
    <w:p>
      <w:pPr>
        <w:rPr>
          <w:rFonts w:ascii="宋体" w:cs="宋体" w:eastAsia="宋体" w:hAnsi="宋体" w:hint="eastAsia"/>
        </w:rPr>
      </w:pPr>
    </w:p>
    <w:sectPr>
      <w:pgSz w:h="16838" w:w="11906"/>
      <w:pgMar w:bottom="1440" w:footer="992" w:gutter="0" w:header="851" w:left="1800" w:right="1800" w:top="1440"/>
      <w:cols w:num="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kYzBmYzViNmM1OWM4MGVhN2RmMzhiYTQ1MGQ4MTgifQ=="/>
  </w:docVars>
  <w:rsids>
    <w:rsidRoot w:val="00000000"/>
    <w:rsid w:val="028247F4"/>
    <w:rsid w:val="0396194E"/>
    <w:rsid w:val="04620439"/>
    <w:rsid w:val="05687A1E"/>
    <w:rsid w:val="05932FA0"/>
    <w:rsid w:val="072445B9"/>
    <w:rsid w:val="08B7634F"/>
    <w:rsid w:val="0A7B4003"/>
    <w:rsid w:val="0ADD625D"/>
    <w:rsid w:val="0B085689"/>
    <w:rsid w:val="0B66715B"/>
    <w:rsid w:val="0BEA32BC"/>
    <w:rsid w:val="0CC86D0F"/>
    <w:rsid w:val="11F8062F"/>
    <w:rsid w:val="133815F1"/>
    <w:rsid w:val="1424395D"/>
    <w:rsid w:val="151F6812"/>
    <w:rsid w:val="17BA3F9F"/>
    <w:rsid w:val="18FA3AAC"/>
    <w:rsid w:val="1903629F"/>
    <w:rsid w:val="1937087B"/>
    <w:rsid w:val="19BD16CC"/>
    <w:rsid w:val="1A8D6F59"/>
    <w:rsid w:val="1AE77ACD"/>
    <w:rsid w:val="1BA63D15"/>
    <w:rsid w:val="1E9A4F48"/>
    <w:rsid w:val="1F015BE8"/>
    <w:rsid w:val="1F6F644D"/>
    <w:rsid w:val="22240889"/>
    <w:rsid w:val="2288155B"/>
    <w:rsid w:val="244F43AD"/>
    <w:rsid w:val="24C5104D"/>
    <w:rsid w:val="25205A7B"/>
    <w:rsid w:val="25EF5485"/>
    <w:rsid w:val="26192901"/>
    <w:rsid w:val="26BB1EFF"/>
    <w:rsid w:val="27C844E7"/>
    <w:rsid w:val="2A3C3357"/>
    <w:rsid w:val="2AF66BF8"/>
    <w:rsid w:val="2BB24EAC"/>
    <w:rsid w:val="2C243739"/>
    <w:rsid w:val="2D1B36F8"/>
    <w:rsid w:val="2DAC7BED"/>
    <w:rsid w:val="2FBA5573"/>
    <w:rsid w:val="307C6264"/>
    <w:rsid w:val="32F5208D"/>
    <w:rsid w:val="33492641"/>
    <w:rsid w:val="33D47D4F"/>
    <w:rsid w:val="34BE7E51"/>
    <w:rsid w:val="358A56C2"/>
    <w:rsid w:val="35DF39AD"/>
    <w:rsid w:val="37CE29CF"/>
    <w:rsid w:val="385D5DEF"/>
    <w:rsid w:val="38E31CCA"/>
    <w:rsid w:val="396B18F5"/>
    <w:rsid w:val="3A0674A4"/>
    <w:rsid w:val="3ADC46EA"/>
    <w:rsid w:val="3CAF4612"/>
    <w:rsid w:val="3E972B6C"/>
    <w:rsid w:val="3FA50A7A"/>
    <w:rsid w:val="40185875"/>
    <w:rsid w:val="403666A1"/>
    <w:rsid w:val="40FD53A3"/>
    <w:rsid w:val="412F7925"/>
    <w:rsid w:val="42355B4F"/>
    <w:rsid w:val="43076734"/>
    <w:rsid w:val="4327700E"/>
    <w:rsid w:val="43AF4742"/>
    <w:rsid w:val="43ED593A"/>
    <w:rsid w:val="44093E52"/>
    <w:rsid w:val="44711472"/>
    <w:rsid w:val="450B3510"/>
    <w:rsid w:val="45F11042"/>
    <w:rsid w:val="46E719AA"/>
    <w:rsid w:val="473F6691"/>
    <w:rsid w:val="478F466E"/>
    <w:rsid w:val="485D29BF"/>
    <w:rsid w:val="48724017"/>
    <w:rsid w:val="49DC0844"/>
    <w:rsid w:val="4B1331CA"/>
    <w:rsid w:val="4BB26B7D"/>
    <w:rsid w:val="4C1A1186"/>
    <w:rsid w:val="4C235C4C"/>
    <w:rsid w:val="4EDF7A58"/>
    <w:rsid w:val="4F626994"/>
    <w:rsid w:val="4FAD422B"/>
    <w:rsid w:val="4FCD042A"/>
    <w:rsid w:val="50037A14"/>
    <w:rsid w:val="50C35086"/>
    <w:rsid w:val="50CD3B67"/>
    <w:rsid w:val="546E63A5"/>
    <w:rsid w:val="55F14746"/>
    <w:rsid w:val="57812F2D"/>
    <w:rsid w:val="587578B0"/>
    <w:rsid w:val="58B242BD"/>
    <w:rsid w:val="59E26240"/>
    <w:rsid w:val="5C321615"/>
    <w:rsid w:val="5C53318D"/>
    <w:rsid w:val="5CE9261B"/>
    <w:rsid w:val="5D301FF8"/>
    <w:rsid w:val="5DA84284"/>
    <w:rsid w:val="5ED93504"/>
    <w:rsid w:val="5F107065"/>
    <w:rsid w:val="60592C21"/>
    <w:rsid w:val="60EA79A6"/>
    <w:rsid w:val="612C2AD6"/>
    <w:rsid w:val="62944BFA"/>
    <w:rsid w:val="638D1ED6"/>
    <w:rsid w:val="63DA4A6C"/>
    <w:rsid w:val="65165D18"/>
    <w:rsid w:val="657C227E"/>
    <w:rsid w:val="65A2329F"/>
    <w:rsid w:val="676E4DB6"/>
    <w:rsid w:val="6779459B"/>
    <w:rsid w:val="686178A3"/>
    <w:rsid w:val="68BE495C"/>
    <w:rsid w:val="68CF4DBB"/>
    <w:rsid w:val="69C615E3"/>
    <w:rsid w:val="6A1B23CD"/>
    <w:rsid w:val="6A2230B3"/>
    <w:rsid w:val="6BDA0D35"/>
    <w:rsid w:val="6C1A459F"/>
    <w:rsid w:val="6C2E3313"/>
    <w:rsid w:val="6CA51AD2"/>
    <w:rsid w:val="6D01750D"/>
    <w:rsid w:val="6D747CDF"/>
    <w:rsid w:val="6E0F17B6"/>
    <w:rsid w:val="6E586D17"/>
    <w:rsid w:val="6F603095"/>
    <w:rsid w:val="706728F0"/>
    <w:rsid w:val="71CA611F"/>
    <w:rsid w:val="72AB7B7B"/>
    <w:rsid w:val="745B748A"/>
    <w:rsid w:val="74777E8B"/>
    <w:rsid w:val="751A73BE"/>
    <w:rsid w:val="764C2334"/>
    <w:rsid w:val="781B08C4"/>
    <w:rsid w:val="786170B2"/>
    <w:rsid w:val="7A276C5B"/>
    <w:rsid w:val="7A737ACF"/>
    <w:rsid w:val="7AB30DC5"/>
    <w:rsid w:val="7B0F7299"/>
    <w:rsid w:val="7B263107"/>
    <w:rsid w:val="7BE54F72"/>
    <w:rsid w:val="7C142DB9"/>
    <w:rsid w:val="7CBA4636"/>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IncludeSubdocsInStats/>
</w:settings>
</file>

<file path=word/styles.xml><?xml version="1.0" encoding="utf-8"?>
<w:style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psCustomData="http://www.wps.cn/officeDocument/2013/wpsCustomData" mc:Ignorable="w14">
  <w:docDefaults>
    <w:rPrDefault>
      <w:rPr>
        <w:rFonts w:ascii="Times New Roman" w:cs="Times New Roman" w:eastAsia="宋体" w:hAnsi="Times New Roman"/>
      </w:rPr>
    </w:rPrDefault>
    <w:pPrDefault/>
  </w:docDefaults>
  <w:latentStyles w:count="260"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semiHidden="0" w:uiPriority="0"/>
    <w:lsdException w:name="heading 3" w:qFormat="1" w:uiPriority="0"/>
    <w:lsdException w:name="heading 4" w:qFormat="1" w:uiPriority="0"/>
    <w:lsdException w:name="heading 5" w:qFormat="1" w:uiPriority="0"/>
    <w:lsdException w:name="heading 6" w:qFormat="1" w:uiPriority="0"/>
    <w:lsdException w:name="heading 7" w:qFormat="1" w:uiPriority="0"/>
    <w:lsdException w:name="heading 8" w:qFormat="1" w:uiPriority="0"/>
    <w:lsdException w:name="heading 9" w:qFormat="1" w:uiPriority="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qFormat="1" w:uiPriority="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qFormat="1" w:semiHidden="0" w:uiPriority="0" w:unhideWhenUsed="0"/>
    <w:lsdException w:name="Closing" w:semiHidden="0" w:uiPriority="0" w:unhideWhenUsed="0"/>
    <w:lsdException w:name="Signature" w:semiHidden="0" w:uiPriority="0" w:unhideWhenUsed="0"/>
    <w:lsdException w:name="Default Paragraph Font" w:qFormat="1"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qFormat="1"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qFormat="1" w:semiHidden="0" w:uiPriority="0" w:unhideWhenUsed="0"/>
    <w:lsdException w:name="Emphasis" w:qFormat="1"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qFormat="1"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default="1" w:styleId="1" w:type="paragraph">
    <w:name w:val="Normal"/>
    <w:qFormat/>
    <w:uiPriority w:val="0"/>
    <w:pPr>
      <w:widowControl w:val="0"/>
      <w:jc w:val="both"/>
    </w:pPr>
    <w:rPr>
      <w:rFonts w:asciiTheme="minorHAnsi" w:cstheme="minorBidi" w:eastAsiaTheme="minorEastAsia" w:hAnsiTheme="minorHAnsi"/>
      <w:kern w:val="2"/>
      <w:sz w:val="21"/>
      <w:szCs w:val="24"/>
      <w:lang w:bidi="ar-SA" w:eastAsia="zh-CN" w:val="en-US"/>
    </w:rPr>
  </w:style>
  <w:style w:styleId="2" w:type="paragraph">
    <w:name w:val="heading 2"/>
    <w:basedOn w:val="1"/>
    <w:next w:val="1"/>
    <w:unhideWhenUsed/>
    <w:qFormat/>
    <w:uiPriority w:val="0"/>
    <w:pPr>
      <w:keepNext/>
      <w:keepLines/>
      <w:spacing w:after="260" w:afterAutospacing="0" w:afterLines="0" w:before="260" w:beforeAutospacing="0" w:beforeLines="0" w:line="413" w:lineRule="auto"/>
      <w:outlineLvl w:val="1"/>
    </w:pPr>
    <w:rPr>
      <w:rFonts w:ascii="Arial" w:eastAsia="黑体" w:hAnsi="Arial"/>
      <w:b/>
      <w:sz w:val="32"/>
    </w:rPr>
  </w:style>
  <w:style w:default="1" w:styleId="6" w:type="character">
    <w:name w:val="Default Paragraph Font"/>
    <w:semiHidden/>
    <w:qFormat/>
    <w:uiPriority w:val="0"/>
  </w:style>
  <w:style w:default="1" w:styleId="4" w:type="table">
    <w:name w:val="Normal Table"/>
    <w:semiHidden/>
    <w:qFormat/>
    <w:uiPriority w:val="0"/>
    <w:tblPr>
      <w:tblCellMar>
        <w:top w:type="dxa" w:w="0"/>
        <w:left w:type="dxa" w:w="108"/>
        <w:bottom w:type="dxa" w:w="0"/>
        <w:right w:type="dxa" w:w="108"/>
      </w:tblCellMar>
    </w:tblPr>
  </w:style>
  <w:style w:styleId="3" w:type="paragraph">
    <w:name w:val="HTML Preformatted"/>
    <w:basedOn w:val="1"/>
    <w:uiPriority w:val="0"/>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jc w:val="left"/>
    </w:pPr>
    <w:rPr>
      <w:rFonts w:ascii="宋体" w:cs="宋体" w:eastAsia="宋体" w:hAnsi="宋体" w:hint="eastAsia"/>
      <w:kern w:val="0"/>
      <w:sz w:val="24"/>
      <w:szCs w:val="24"/>
      <w:lang w:bidi="ar" w:eastAsia="zh-CN" w:val="en-US"/>
    </w:rPr>
  </w:style>
  <w:style w:styleId="5" w:type="table">
    <w:name w:val="Table Grid"/>
    <w:basedOn w:val="4"/>
    <w:qFormat/>
    <w:uiPriority w:val="0"/>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2023-10-30T03:10:00Z</dcterms:created>
  <dc:creator>ct</dc:creator>
  <cp:lastModifiedBy>空白</cp:lastModifiedBy>
  <dcterms:modified xsi:type="dcterms:W3CDTF">2023-11-08T02:35:37Z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KSOProductBuildVer" pid="2">
    <vt:lpwstr>2052-12.1.0.15712</vt:lpwstr>
  </property>
  <property fmtid="{D5CDD505-2E9C-101B-9397-08002B2CF9AE}" name="ICV" pid="3">
    <vt:lpwstr>DE513D7F1DA64BA78ED3D63D32C30144_12</vt:lpwstr>
  </property>
</Properties>
</file>