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7B528">
      <w:pPr>
        <w:spacing w:line="360" w:lineRule="auto"/>
        <w:rPr>
          <w:rFonts w:ascii="宋体" w:hAnsi="宋体"/>
          <w:bCs/>
          <w:color w:val="auto"/>
          <w:sz w:val="44"/>
          <w:szCs w:val="44"/>
          <w:highlight w:val="none"/>
        </w:rPr>
      </w:pPr>
      <w:bookmarkStart w:id="20" w:name="_GoBack"/>
      <w:bookmarkStart w:id="0" w:name="_Toc32670"/>
      <w:bookmarkEnd w:id="0"/>
      <w:bookmarkStart w:id="1" w:name="_Toc363571535"/>
      <w:bookmarkEnd w:id="1"/>
      <w:bookmarkStart w:id="2" w:name="_Toc176925091"/>
      <w:bookmarkEnd w:id="2"/>
      <w:bookmarkStart w:id="3" w:name="_Toc176857811"/>
      <w:bookmarkEnd w:id="3"/>
      <w:bookmarkStart w:id="4" w:name="_Toc176923724"/>
      <w:bookmarkEnd w:id="4"/>
      <w:bookmarkStart w:id="5" w:name="_Toc176921260"/>
      <w:bookmarkEnd w:id="5"/>
      <w:bookmarkStart w:id="6" w:name="_Toc179860350"/>
      <w:bookmarkEnd w:id="6"/>
    </w:p>
    <w:p w14:paraId="0F9DAF54">
      <w:pPr>
        <w:spacing w:line="360" w:lineRule="auto"/>
        <w:jc w:val="center"/>
        <w:rPr>
          <w:rFonts w:hint="eastAsia" w:ascii="宋体" w:hAnsi="宋体" w:eastAsia="宋体" w:cs="宋体"/>
          <w:b/>
          <w:color w:val="auto"/>
          <w:sz w:val="52"/>
          <w:szCs w:val="52"/>
          <w:highlight w:val="none"/>
          <w:lang w:eastAsia="zh-CN"/>
        </w:rPr>
      </w:pPr>
      <w:r>
        <w:rPr>
          <w:rFonts w:hint="eastAsia" w:ascii="宋体" w:hAnsi="宋体" w:cs="宋体"/>
          <w:b/>
          <w:color w:val="auto"/>
          <w:sz w:val="52"/>
          <w:szCs w:val="52"/>
          <w:highlight w:val="none"/>
          <w:lang w:eastAsia="zh-CN"/>
        </w:rPr>
        <w:t>增城区仙村镇石新公路北侧20.02亩地块建设项目设计施工总承包</w:t>
      </w:r>
    </w:p>
    <w:p w14:paraId="2F5BDD4B">
      <w:pPr>
        <w:spacing w:line="360" w:lineRule="auto"/>
        <w:ind w:firstLine="3080" w:firstLineChars="700"/>
        <w:rPr>
          <w:rFonts w:ascii="宋体" w:hAnsi="宋体" w:cs="宋体"/>
          <w:color w:val="auto"/>
          <w:sz w:val="44"/>
          <w:szCs w:val="44"/>
          <w:highlight w:val="none"/>
        </w:rPr>
      </w:pPr>
    </w:p>
    <w:p w14:paraId="72454D6D">
      <w:pPr>
        <w:spacing w:line="360" w:lineRule="auto"/>
        <w:ind w:firstLine="3080" w:firstLineChars="700"/>
        <w:rPr>
          <w:rFonts w:ascii="宋体" w:hAnsi="宋体" w:cs="宋体"/>
          <w:color w:val="auto"/>
          <w:sz w:val="44"/>
          <w:szCs w:val="44"/>
          <w:highlight w:val="none"/>
        </w:rPr>
      </w:pPr>
    </w:p>
    <w:p w14:paraId="67B83DDD">
      <w:pPr>
        <w:spacing w:line="360" w:lineRule="auto"/>
        <w:ind w:firstLine="3080" w:firstLineChars="700"/>
        <w:rPr>
          <w:rFonts w:ascii="宋体" w:hAnsi="宋体" w:cs="宋体"/>
          <w:color w:val="auto"/>
          <w:sz w:val="44"/>
          <w:szCs w:val="44"/>
          <w:highlight w:val="none"/>
        </w:rPr>
      </w:pPr>
    </w:p>
    <w:p w14:paraId="222A3D73">
      <w:pPr>
        <w:spacing w:line="360" w:lineRule="auto"/>
        <w:ind w:firstLine="5040" w:firstLineChars="700"/>
        <w:rPr>
          <w:rFonts w:ascii="宋体" w:hAnsi="宋体" w:cs="宋体"/>
          <w:color w:val="auto"/>
          <w:sz w:val="72"/>
          <w:szCs w:val="72"/>
          <w:highlight w:val="none"/>
        </w:rPr>
      </w:pPr>
    </w:p>
    <w:p w14:paraId="49842969">
      <w:pPr>
        <w:spacing w:line="300" w:lineRule="auto"/>
        <w:jc w:val="center"/>
        <w:rPr>
          <w:rFonts w:hint="eastAsia" w:ascii="宋体" w:hAnsi="宋体" w:eastAsia="宋体" w:cs="宋体"/>
          <w:b/>
          <w:bCs/>
          <w:shadow/>
          <w:color w:val="auto"/>
          <w:spacing w:val="26"/>
          <w:sz w:val="84"/>
          <w:szCs w:val="84"/>
          <w:highlight w:val="none"/>
        </w:rPr>
      </w:pPr>
      <w:r>
        <w:rPr>
          <w:rFonts w:hint="eastAsia" w:ascii="宋体" w:hAnsi="宋体" w:eastAsia="宋体" w:cs="宋体"/>
          <w:b/>
          <w:bCs/>
          <w:shadow/>
          <w:color w:val="auto"/>
          <w:spacing w:val="26"/>
          <w:sz w:val="84"/>
          <w:szCs w:val="84"/>
          <w:highlight w:val="none"/>
        </w:rPr>
        <w:t>招标公告</w:t>
      </w:r>
    </w:p>
    <w:p w14:paraId="6E3589AB">
      <w:pPr>
        <w:spacing w:line="360" w:lineRule="auto"/>
        <w:jc w:val="center"/>
        <w:rPr>
          <w:rStyle w:val="33"/>
          <w:rFonts w:ascii="宋体" w:hAnsi="宋体" w:cs="宋体"/>
          <w:b/>
          <w:bCs/>
          <w:color w:val="auto"/>
          <w:sz w:val="44"/>
          <w:szCs w:val="44"/>
          <w:highlight w:val="none"/>
        </w:rPr>
      </w:pPr>
    </w:p>
    <w:p w14:paraId="16EF4DE0">
      <w:pPr>
        <w:spacing w:line="360" w:lineRule="auto"/>
        <w:jc w:val="center"/>
        <w:rPr>
          <w:rFonts w:ascii="宋体" w:hAnsi="宋体" w:cs="宋体"/>
          <w:color w:val="auto"/>
          <w:highlight w:val="none"/>
        </w:rPr>
      </w:pPr>
    </w:p>
    <w:p w14:paraId="758B3B73">
      <w:pPr>
        <w:spacing w:line="360" w:lineRule="auto"/>
        <w:jc w:val="center"/>
        <w:rPr>
          <w:rFonts w:ascii="宋体" w:hAnsi="宋体" w:cs="宋体"/>
          <w:color w:val="auto"/>
          <w:highlight w:val="none"/>
        </w:rPr>
      </w:pPr>
    </w:p>
    <w:p w14:paraId="7974AA01">
      <w:pPr>
        <w:spacing w:line="360" w:lineRule="auto"/>
        <w:jc w:val="center"/>
        <w:rPr>
          <w:rFonts w:ascii="宋体" w:hAnsi="宋体" w:cs="宋体"/>
          <w:color w:val="auto"/>
          <w:highlight w:val="none"/>
        </w:rPr>
      </w:pPr>
    </w:p>
    <w:p w14:paraId="0BAAD2B1">
      <w:pPr>
        <w:spacing w:line="360" w:lineRule="auto"/>
        <w:jc w:val="center"/>
        <w:rPr>
          <w:rFonts w:ascii="宋体" w:hAnsi="宋体" w:cs="宋体"/>
          <w:color w:val="auto"/>
          <w:highlight w:val="none"/>
        </w:rPr>
      </w:pPr>
    </w:p>
    <w:p w14:paraId="63440693">
      <w:pPr>
        <w:pStyle w:val="54"/>
        <w:jc w:val="both"/>
        <w:rPr>
          <w:rFonts w:ascii="宋体" w:hAnsi="宋体"/>
          <w:color w:val="auto"/>
          <w:highlight w:val="none"/>
        </w:rPr>
      </w:pPr>
    </w:p>
    <w:p w14:paraId="43BD1ED4">
      <w:pPr>
        <w:pStyle w:val="54"/>
        <w:rPr>
          <w:rFonts w:ascii="宋体" w:hAnsi="宋体"/>
          <w:color w:val="auto"/>
          <w:highlight w:val="none"/>
        </w:rPr>
      </w:pPr>
    </w:p>
    <w:p w14:paraId="4954744C">
      <w:pPr>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招标人：</w:t>
      </w:r>
      <w:r>
        <w:rPr>
          <w:rFonts w:hint="eastAsia" w:ascii="宋体" w:hAnsi="宋体" w:eastAsia="宋体" w:cs="宋体"/>
          <w:b/>
          <w:color w:val="auto"/>
          <w:sz w:val="32"/>
          <w:szCs w:val="32"/>
          <w:highlight w:val="none"/>
          <w:lang w:eastAsia="zh-CN"/>
        </w:rPr>
        <w:t>广州市增城区科源投资发展有限公司</w:t>
      </w:r>
    </w:p>
    <w:p w14:paraId="47FE53D0">
      <w:pPr>
        <w:spacing w:line="360" w:lineRule="auto"/>
        <w:ind w:firstLine="643" w:firstLineChars="20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招标代理机构：</w:t>
      </w:r>
      <w:r>
        <w:rPr>
          <w:rFonts w:hint="eastAsia" w:ascii="宋体" w:hAnsi="宋体" w:eastAsia="宋体" w:cs="宋体"/>
          <w:b/>
          <w:color w:val="auto"/>
          <w:sz w:val="32"/>
          <w:szCs w:val="32"/>
          <w:highlight w:val="none"/>
          <w:lang w:eastAsia="zh-CN"/>
        </w:rPr>
        <w:t>广州高新工程顾问有限公司</w:t>
      </w:r>
    </w:p>
    <w:p w14:paraId="02E221FE">
      <w:pPr>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日  期：202</w:t>
      </w:r>
      <w:r>
        <w:rPr>
          <w:rFonts w:hint="eastAsia" w:ascii="宋体" w:hAnsi="宋体" w:eastAsia="宋体" w:cs="宋体"/>
          <w:b/>
          <w:color w:val="auto"/>
          <w:sz w:val="32"/>
          <w:szCs w:val="32"/>
          <w:highlight w:val="none"/>
          <w:lang w:val="en-US" w:eastAsia="zh-CN"/>
        </w:rPr>
        <w:t xml:space="preserve">5 </w:t>
      </w:r>
      <w:r>
        <w:rPr>
          <w:rFonts w:hint="eastAsia" w:ascii="宋体" w:hAnsi="宋体" w:eastAsia="宋体" w:cs="宋体"/>
          <w:b/>
          <w:color w:val="auto"/>
          <w:sz w:val="32"/>
          <w:szCs w:val="32"/>
          <w:highlight w:val="none"/>
        </w:rPr>
        <w:t>年</w:t>
      </w:r>
      <w:r>
        <w:rPr>
          <w:rFonts w:hint="eastAsia" w:ascii="宋体" w:hAnsi="宋体" w:cs="宋体"/>
          <w:b/>
          <w:color w:val="auto"/>
          <w:sz w:val="32"/>
          <w:szCs w:val="32"/>
          <w:highlight w:val="none"/>
          <w:lang w:val="en-US" w:eastAsia="zh-CN"/>
        </w:rPr>
        <w:t>7</w:t>
      </w:r>
      <w:r>
        <w:rPr>
          <w:rFonts w:hint="eastAsia" w:ascii="宋体" w:hAnsi="宋体" w:eastAsia="宋体" w:cs="宋体"/>
          <w:b/>
          <w:color w:val="auto"/>
          <w:sz w:val="32"/>
          <w:szCs w:val="32"/>
          <w:highlight w:val="none"/>
        </w:rPr>
        <w:t>月</w:t>
      </w:r>
    </w:p>
    <w:p w14:paraId="383EAF11">
      <w:pPr>
        <w:pStyle w:val="19"/>
        <w:adjustRightInd w:val="0"/>
        <w:snapToGrid w:val="0"/>
        <w:spacing w:after="0" w:line="360" w:lineRule="auto"/>
        <w:jc w:val="center"/>
        <w:rPr>
          <w:rFonts w:ascii="宋体" w:hAnsi="宋体"/>
          <w:bCs/>
          <w:color w:val="auto"/>
          <w:sz w:val="28"/>
          <w:szCs w:val="28"/>
          <w:highlight w:val="none"/>
          <w:u w:val="single"/>
        </w:rPr>
      </w:pPr>
    </w:p>
    <w:p w14:paraId="1D65EC58">
      <w:pPr>
        <w:pStyle w:val="19"/>
        <w:adjustRightInd w:val="0"/>
        <w:snapToGrid w:val="0"/>
        <w:spacing w:after="0" w:line="360" w:lineRule="auto"/>
        <w:jc w:val="center"/>
        <w:rPr>
          <w:rFonts w:hint="eastAsia" w:ascii="宋体" w:hAnsi="宋体"/>
          <w:b/>
          <w:color w:val="auto"/>
          <w:sz w:val="28"/>
          <w:szCs w:val="28"/>
          <w:highlight w:val="none"/>
          <w:lang w:eastAsia="zh-CN"/>
        </w:rPr>
        <w:sectPr>
          <w:headerReference r:id="rId3" w:type="default"/>
          <w:footerReference r:id="rId4" w:type="default"/>
          <w:pgSz w:w="11906" w:h="16838"/>
          <w:pgMar w:top="1418" w:right="1417" w:bottom="1418" w:left="1417" w:header="851" w:footer="992" w:gutter="0"/>
          <w:cols w:space="720" w:num="1"/>
          <w:docGrid w:type="lines" w:linePitch="312" w:charSpace="0"/>
        </w:sectPr>
      </w:pPr>
    </w:p>
    <w:p w14:paraId="57CEF5F2">
      <w:pPr>
        <w:pStyle w:val="19"/>
        <w:adjustRightInd w:val="0"/>
        <w:snapToGrid w:val="0"/>
        <w:spacing w:after="0" w:line="360" w:lineRule="auto"/>
        <w:jc w:val="center"/>
        <w:rPr>
          <w:rFonts w:hint="eastAsia" w:ascii="宋体" w:hAnsi="宋体" w:eastAsia="宋体" w:cs="宋体"/>
          <w:b/>
          <w:color w:val="auto"/>
          <w:sz w:val="28"/>
          <w:szCs w:val="28"/>
          <w:highlight w:val="none"/>
          <w:lang w:eastAsia="zh-CN"/>
        </w:rPr>
      </w:pPr>
      <w:r>
        <w:rPr>
          <w:rFonts w:hint="eastAsia" w:ascii="宋体" w:hAnsi="宋体"/>
          <w:b/>
          <w:color w:val="auto"/>
          <w:sz w:val="28"/>
          <w:szCs w:val="28"/>
          <w:highlight w:val="none"/>
          <w:lang w:eastAsia="zh-CN"/>
        </w:rPr>
        <w:t>增城区仙村镇石新公路北侧20.02亩地块建设项目设计施工总承包</w:t>
      </w:r>
    </w:p>
    <w:p w14:paraId="39BE1C6E">
      <w:pPr>
        <w:pStyle w:val="19"/>
        <w:adjustRightInd w:val="0"/>
        <w:snapToGrid w:val="0"/>
        <w:spacing w:after="0"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招标公告</w:t>
      </w:r>
    </w:p>
    <w:p w14:paraId="55D17E1B">
      <w:pPr>
        <w:spacing w:line="360" w:lineRule="auto"/>
        <w:rPr>
          <w:rFonts w:hint="eastAsia" w:ascii="宋体" w:hAnsi="宋体" w:cs="宋体"/>
          <w:color w:val="auto"/>
          <w:sz w:val="24"/>
          <w:highlight w:val="none"/>
          <w:lang w:val="en-US" w:eastAsia="zh-CN"/>
        </w:rPr>
      </w:pPr>
    </w:p>
    <w:p w14:paraId="27C9E49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本招标项目</w:t>
      </w:r>
      <w:r>
        <w:rPr>
          <w:rFonts w:hint="eastAsia" w:ascii="宋体" w:hAnsi="宋体" w:cs="宋体"/>
          <w:color w:val="auto"/>
          <w:sz w:val="24"/>
          <w:highlight w:val="none"/>
          <w:u w:val="single"/>
          <w:lang w:val="en-US" w:eastAsia="zh-CN"/>
        </w:rPr>
        <w:t>增城区仙村镇石新公路北侧20.02亩地块建设项目设计施工总承包</w:t>
      </w:r>
      <w:r>
        <w:rPr>
          <w:rFonts w:hint="eastAsia" w:ascii="宋体" w:hAnsi="宋体" w:cs="宋体"/>
          <w:color w:val="auto"/>
          <w:sz w:val="24"/>
          <w:highlight w:val="none"/>
          <w:lang w:val="en-US" w:eastAsia="zh-CN"/>
        </w:rPr>
        <w:t>已由</w:t>
      </w:r>
      <w:r>
        <w:rPr>
          <w:rFonts w:hint="eastAsia" w:ascii="宋体" w:hAnsi="宋体" w:cs="宋体"/>
          <w:color w:val="auto"/>
          <w:sz w:val="24"/>
          <w:highlight w:val="none"/>
          <w:u w:val="single"/>
          <w:lang w:val="en-US" w:eastAsia="zh-CN"/>
        </w:rPr>
        <w:t>广州市增城区发展</w:t>
      </w:r>
      <w:r>
        <w:rPr>
          <w:rFonts w:hint="eastAsia" w:ascii="宋体" w:hAnsi="宋体" w:cs="宋体"/>
          <w:color w:val="auto"/>
          <w:sz w:val="24"/>
          <w:highlight w:val="none"/>
          <w:u w:val="single"/>
          <w:lang w:val="en-US" w:eastAsia="zh-CN"/>
        </w:rPr>
        <w:t>和改革局</w:t>
      </w:r>
      <w:r>
        <w:rPr>
          <w:rFonts w:hint="eastAsia" w:ascii="宋体" w:hAnsi="宋体" w:cs="宋体"/>
          <w:color w:val="auto"/>
          <w:sz w:val="24"/>
          <w:highlight w:val="none"/>
          <w:lang w:val="en-US" w:eastAsia="zh-CN"/>
        </w:rPr>
        <w:t>以投资项目代码：</w:t>
      </w:r>
      <w:r>
        <w:rPr>
          <w:rFonts w:hint="eastAsia" w:ascii="宋体" w:hAnsi="宋体" w:cs="宋体"/>
          <w:color w:val="auto"/>
          <w:sz w:val="24"/>
          <w:highlight w:val="none"/>
          <w:u w:val="single"/>
          <w:lang w:val="en-US" w:eastAsia="zh-CN"/>
        </w:rPr>
        <w:t>2506-440118-04-01-314234</w:t>
      </w:r>
      <w:r>
        <w:rPr>
          <w:rFonts w:hint="eastAsia" w:ascii="宋体" w:hAnsi="宋体" w:cs="宋体"/>
          <w:color w:val="auto"/>
          <w:sz w:val="24"/>
          <w:highlight w:val="none"/>
        </w:rPr>
        <w:t>批准建设，招标人为</w:t>
      </w:r>
      <w:r>
        <w:rPr>
          <w:rFonts w:hint="eastAsia" w:ascii="宋体" w:hAnsi="宋体" w:cs="宋体"/>
          <w:color w:val="auto"/>
          <w:sz w:val="24"/>
          <w:highlight w:val="none"/>
          <w:u w:val="single"/>
          <w:lang w:eastAsia="zh-CN"/>
        </w:rPr>
        <w:t>广州市增城区科源投资发展有限公司</w:t>
      </w:r>
      <w:r>
        <w:rPr>
          <w:rFonts w:hint="eastAsia" w:ascii="宋体" w:hAnsi="宋体" w:cs="宋体"/>
          <w:color w:val="auto"/>
          <w:sz w:val="24"/>
          <w:highlight w:val="none"/>
        </w:rPr>
        <w:t>，建设资金为</w:t>
      </w:r>
      <w:r>
        <w:rPr>
          <w:rFonts w:hint="eastAsia" w:ascii="宋体" w:hAnsi="宋体" w:cs="宋体"/>
          <w:color w:val="auto"/>
          <w:sz w:val="24"/>
          <w:highlight w:val="none"/>
          <w:u w:val="single"/>
          <w:lang w:val="en-US" w:eastAsia="zh-CN"/>
        </w:rPr>
        <w:t>企业自筹</w:t>
      </w:r>
      <w:r>
        <w:rPr>
          <w:rFonts w:hint="eastAsia" w:ascii="宋体" w:hAnsi="宋体" w:cs="宋体"/>
          <w:color w:val="auto"/>
          <w:sz w:val="24"/>
          <w:highlight w:val="none"/>
        </w:rPr>
        <w:t>，出资比例为100%。项目已具备招标条件，现对该项目的</w:t>
      </w:r>
      <w:r>
        <w:rPr>
          <w:rFonts w:hint="eastAsia" w:ascii="宋体" w:hAnsi="宋体" w:cs="宋体"/>
          <w:color w:val="auto"/>
          <w:sz w:val="24"/>
          <w:highlight w:val="none"/>
          <w:lang w:val="en-US" w:eastAsia="zh-CN"/>
        </w:rPr>
        <w:t>设计施工总承包</w:t>
      </w:r>
      <w:r>
        <w:rPr>
          <w:rFonts w:hint="eastAsia" w:ascii="宋体" w:hAnsi="宋体" w:cs="宋体"/>
          <w:color w:val="auto"/>
          <w:sz w:val="24"/>
          <w:highlight w:val="none"/>
        </w:rPr>
        <w:t>进行公开招标。</w:t>
      </w:r>
    </w:p>
    <w:p w14:paraId="65475CCC">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一、项目名称：</w:t>
      </w:r>
      <w:r>
        <w:rPr>
          <w:rFonts w:hint="eastAsia" w:ascii="宋体" w:hAnsi="宋体" w:cs="宋体"/>
          <w:color w:val="auto"/>
          <w:kern w:val="0"/>
          <w:sz w:val="24"/>
          <w:szCs w:val="24"/>
          <w:highlight w:val="none"/>
          <w:u w:val="single"/>
          <w:lang w:eastAsia="zh-CN"/>
        </w:rPr>
        <w:t>增城区仙村镇石新公路北侧20.02亩地块建设项目设计施工总承包</w:t>
      </w:r>
    </w:p>
    <w:p w14:paraId="7DBFE715">
      <w:pPr>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二、招标单位：</w:t>
      </w:r>
      <w:r>
        <w:rPr>
          <w:rFonts w:hint="eastAsia" w:ascii="宋体" w:hAnsi="宋体"/>
          <w:color w:val="auto"/>
          <w:kern w:val="0"/>
          <w:sz w:val="24"/>
          <w:szCs w:val="20"/>
          <w:highlight w:val="none"/>
          <w:u w:val="single"/>
          <w:lang w:eastAsia="zh-CN"/>
        </w:rPr>
        <w:t>广州市增城区科源投资发展有限公司</w:t>
      </w:r>
    </w:p>
    <w:p w14:paraId="5F75C2AF">
      <w:pPr>
        <w:widowControl/>
        <w:spacing w:line="360" w:lineRule="auto"/>
        <w:ind w:firstLine="960" w:firstLineChars="400"/>
        <w:jc w:val="left"/>
        <w:rPr>
          <w:rFonts w:hint="eastAsia" w:ascii="宋体" w:hAnsi="宋体"/>
          <w:color w:val="auto"/>
          <w:kern w:val="0"/>
          <w:sz w:val="24"/>
          <w:szCs w:val="20"/>
          <w:highlight w:val="none"/>
          <w:u w:val="single"/>
          <w:lang w:val="en-US" w:eastAsia="zh-CN"/>
        </w:rPr>
      </w:pPr>
      <w:r>
        <w:rPr>
          <w:rFonts w:hint="eastAsia" w:ascii="宋体" w:hAnsi="宋体" w:cs="宋体"/>
          <w:color w:val="auto"/>
          <w:kern w:val="0"/>
          <w:sz w:val="24"/>
          <w:szCs w:val="24"/>
          <w:highlight w:val="none"/>
        </w:rPr>
        <w:t>联系人：</w:t>
      </w:r>
      <w:r>
        <w:rPr>
          <w:rFonts w:hint="eastAsia" w:ascii="宋体" w:hAnsi="宋体" w:cs="宋体"/>
          <w:color w:val="auto"/>
          <w:kern w:val="0"/>
          <w:sz w:val="24"/>
          <w:szCs w:val="24"/>
          <w:highlight w:val="none"/>
          <w:u w:val="single"/>
        </w:rPr>
        <w:t>谭工</w:t>
      </w: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联系电话：</w:t>
      </w:r>
      <w:r>
        <w:rPr>
          <w:rFonts w:hint="eastAsia" w:ascii="宋体" w:hAnsi="宋体"/>
          <w:color w:val="auto"/>
          <w:kern w:val="0"/>
          <w:sz w:val="24"/>
          <w:szCs w:val="20"/>
          <w:highlight w:val="none"/>
          <w:u w:val="single"/>
          <w:lang w:val="en-US" w:eastAsia="zh-CN"/>
        </w:rPr>
        <w:t>13560010069</w:t>
      </w:r>
    </w:p>
    <w:p w14:paraId="4CE5EFD1">
      <w:pPr>
        <w:widowControl/>
        <w:spacing w:line="360" w:lineRule="auto"/>
        <w:ind w:firstLine="960" w:firstLineChars="400"/>
        <w:jc w:val="left"/>
        <w:rPr>
          <w:rFonts w:hint="default" w:ascii="宋体" w:hAnsi="宋体"/>
          <w:color w:val="auto"/>
          <w:kern w:val="0"/>
          <w:sz w:val="24"/>
          <w:szCs w:val="20"/>
          <w:highlight w:val="none"/>
          <w:u w:val="single"/>
          <w:lang w:val="en-US" w:eastAsia="zh-CN"/>
        </w:rPr>
      </w:pPr>
      <w:r>
        <w:rPr>
          <w:rFonts w:hint="eastAsia" w:ascii="宋体" w:hAnsi="宋体"/>
          <w:color w:val="auto"/>
          <w:sz w:val="24"/>
          <w:szCs w:val="24"/>
          <w:highlight w:val="none"/>
        </w:rPr>
        <w:t>联系地址：</w:t>
      </w:r>
      <w:r>
        <w:rPr>
          <w:rFonts w:hint="default" w:ascii="宋体" w:hAnsi="宋体"/>
          <w:color w:val="auto"/>
          <w:kern w:val="0"/>
          <w:sz w:val="24"/>
          <w:szCs w:val="20"/>
          <w:highlight w:val="none"/>
          <w:u w:val="single"/>
          <w:lang w:val="en-US" w:eastAsia="zh-CN"/>
        </w:rPr>
        <w:t>广州市增城区仙村镇仙村大道174号215房</w:t>
      </w:r>
      <w:r>
        <w:rPr>
          <w:rFonts w:hint="eastAsia" w:ascii="宋体" w:hAnsi="宋体"/>
          <w:color w:val="auto"/>
          <w:kern w:val="0"/>
          <w:sz w:val="24"/>
          <w:szCs w:val="20"/>
          <w:highlight w:val="none"/>
          <w:u w:val="single"/>
          <w:lang w:val="en-US" w:eastAsia="zh-CN"/>
        </w:rPr>
        <w:t xml:space="preserve">           </w:t>
      </w:r>
    </w:p>
    <w:p w14:paraId="2722944F">
      <w:pPr>
        <w:widowControl/>
        <w:spacing w:line="360" w:lineRule="auto"/>
        <w:ind w:firstLine="960" w:firstLineChars="4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招标代理机构：</w:t>
      </w:r>
      <w:r>
        <w:rPr>
          <w:rFonts w:hint="eastAsia" w:ascii="宋体" w:hAnsi="宋体"/>
          <w:color w:val="auto"/>
          <w:kern w:val="0"/>
          <w:sz w:val="24"/>
          <w:szCs w:val="20"/>
          <w:highlight w:val="none"/>
          <w:u w:val="single"/>
          <w:lang w:eastAsia="zh-CN"/>
        </w:rPr>
        <w:t>广州高新工程顾问有限公司</w:t>
      </w:r>
    </w:p>
    <w:p w14:paraId="34F482FE">
      <w:pPr>
        <w:widowControl/>
        <w:spacing w:line="360" w:lineRule="auto"/>
        <w:ind w:firstLine="960" w:firstLineChars="400"/>
        <w:jc w:val="left"/>
        <w:rPr>
          <w:rFonts w:hint="eastAsia" w:ascii="宋体" w:hAnsi="宋体" w:eastAsia="宋体"/>
          <w:color w:val="auto"/>
          <w:kern w:val="0"/>
          <w:sz w:val="24"/>
          <w:szCs w:val="20"/>
          <w:highlight w:val="none"/>
          <w:u w:val="single"/>
          <w:lang w:eastAsia="zh-CN"/>
        </w:rPr>
      </w:pPr>
      <w:r>
        <w:rPr>
          <w:rFonts w:hint="eastAsia" w:ascii="宋体" w:hAnsi="宋体" w:cs="宋体"/>
          <w:color w:val="auto"/>
          <w:kern w:val="0"/>
          <w:sz w:val="24"/>
          <w:szCs w:val="24"/>
          <w:highlight w:val="none"/>
        </w:rPr>
        <w:t>联系人：</w:t>
      </w:r>
      <w:r>
        <w:rPr>
          <w:rFonts w:hint="eastAsia" w:ascii="宋体" w:hAnsi="宋体"/>
          <w:color w:val="auto"/>
          <w:kern w:val="0"/>
          <w:sz w:val="24"/>
          <w:szCs w:val="20"/>
          <w:highlight w:val="none"/>
          <w:u w:val="single"/>
          <w:lang w:eastAsia="zh-CN"/>
        </w:rPr>
        <w:t>梁工</w:t>
      </w:r>
    </w:p>
    <w:p w14:paraId="3AA5B28B">
      <w:pPr>
        <w:widowControl/>
        <w:spacing w:line="360" w:lineRule="auto"/>
        <w:ind w:firstLine="960" w:firstLineChars="400"/>
        <w:jc w:val="left"/>
        <w:rPr>
          <w:rFonts w:hint="eastAsia" w:ascii="宋体" w:hAnsi="宋体" w:eastAsia="宋体"/>
          <w:color w:val="auto"/>
          <w:kern w:val="0"/>
          <w:sz w:val="24"/>
          <w:szCs w:val="20"/>
          <w:highlight w:val="none"/>
          <w:u w:val="single"/>
          <w:lang w:eastAsia="zh-CN"/>
        </w:rPr>
      </w:pPr>
      <w:r>
        <w:rPr>
          <w:rFonts w:hint="eastAsia" w:ascii="宋体" w:hAnsi="宋体" w:cs="宋体"/>
          <w:color w:val="auto"/>
          <w:kern w:val="0"/>
          <w:sz w:val="24"/>
          <w:szCs w:val="24"/>
          <w:highlight w:val="none"/>
        </w:rPr>
        <w:t>联系电话：</w:t>
      </w:r>
      <w:r>
        <w:rPr>
          <w:rFonts w:hint="eastAsia" w:ascii="宋体" w:hAnsi="宋体"/>
          <w:color w:val="auto"/>
          <w:kern w:val="0"/>
          <w:sz w:val="24"/>
          <w:szCs w:val="20"/>
          <w:highlight w:val="none"/>
          <w:u w:val="single"/>
          <w:lang w:eastAsia="zh-CN"/>
        </w:rPr>
        <w:t>15602223515/020-85530825-611</w:t>
      </w:r>
    </w:p>
    <w:p w14:paraId="45682012">
      <w:pPr>
        <w:widowControl/>
        <w:spacing w:line="360" w:lineRule="auto"/>
        <w:ind w:firstLine="960" w:firstLineChars="400"/>
        <w:jc w:val="left"/>
        <w:rPr>
          <w:rFonts w:hint="eastAsia" w:ascii="宋体" w:hAnsi="宋体" w:eastAsia="宋体"/>
          <w:color w:val="auto"/>
          <w:kern w:val="0"/>
          <w:sz w:val="24"/>
          <w:szCs w:val="20"/>
          <w:highlight w:val="none"/>
          <w:u w:val="single"/>
          <w:lang w:eastAsia="zh-CN"/>
        </w:rPr>
      </w:pPr>
      <w:r>
        <w:rPr>
          <w:rFonts w:hint="eastAsia" w:ascii="宋体" w:hAnsi="宋体" w:cs="宋体"/>
          <w:color w:val="auto"/>
          <w:kern w:val="0"/>
          <w:sz w:val="24"/>
          <w:szCs w:val="24"/>
          <w:highlight w:val="none"/>
        </w:rPr>
        <w:t>联系</w:t>
      </w:r>
      <w:r>
        <w:rPr>
          <w:rFonts w:hint="eastAsia" w:ascii="宋体" w:hAnsi="宋体"/>
          <w:color w:val="auto"/>
          <w:sz w:val="24"/>
          <w:szCs w:val="24"/>
          <w:highlight w:val="none"/>
        </w:rPr>
        <w:t>地址：</w:t>
      </w:r>
      <w:r>
        <w:rPr>
          <w:rFonts w:hint="eastAsia" w:ascii="宋体" w:hAnsi="宋体"/>
          <w:color w:val="auto"/>
          <w:sz w:val="24"/>
          <w:szCs w:val="24"/>
          <w:highlight w:val="none"/>
          <w:lang w:eastAsia="zh-CN"/>
        </w:rPr>
        <w:t>广州市天河区华观路1933号万科云A栋503</w:t>
      </w:r>
    </w:p>
    <w:p w14:paraId="46A32E2D">
      <w:pPr>
        <w:widowControl/>
        <w:spacing w:line="360" w:lineRule="auto"/>
        <w:ind w:firstLine="960" w:firstLineChars="400"/>
        <w:jc w:val="left"/>
        <w:rPr>
          <w:rFonts w:ascii="宋体" w:hAnsi="宋体"/>
          <w:color w:val="auto"/>
          <w:sz w:val="24"/>
          <w:szCs w:val="24"/>
          <w:highlight w:val="none"/>
          <w:u w:val="single"/>
        </w:rPr>
      </w:pPr>
      <w:r>
        <w:rPr>
          <w:rFonts w:hint="eastAsia" w:ascii="宋体" w:hAnsi="宋体" w:cs="宋体"/>
          <w:color w:val="auto"/>
          <w:kern w:val="0"/>
          <w:sz w:val="24"/>
          <w:szCs w:val="24"/>
          <w:highlight w:val="none"/>
        </w:rPr>
        <w:t>招标</w:t>
      </w:r>
      <w:r>
        <w:rPr>
          <w:rFonts w:hint="eastAsia" w:ascii="宋体" w:hAnsi="宋体"/>
          <w:color w:val="auto"/>
          <w:sz w:val="24"/>
          <w:szCs w:val="24"/>
          <w:highlight w:val="none"/>
        </w:rPr>
        <w:t>监督机构：</w:t>
      </w:r>
      <w:r>
        <w:rPr>
          <w:rFonts w:hint="eastAsia" w:ascii="宋体" w:hAnsi="宋体"/>
          <w:color w:val="auto"/>
          <w:sz w:val="24"/>
          <w:szCs w:val="24"/>
          <w:highlight w:val="none"/>
          <w:u w:val="single"/>
        </w:rPr>
        <w:t>广州市增城区建设工程招标管理办公室</w:t>
      </w:r>
    </w:p>
    <w:p w14:paraId="0B298204">
      <w:pPr>
        <w:widowControl/>
        <w:spacing w:line="360" w:lineRule="auto"/>
        <w:ind w:firstLine="960" w:firstLineChars="400"/>
        <w:jc w:val="left"/>
        <w:rPr>
          <w:rFonts w:hint="eastAsia" w:ascii="宋体" w:hAnsi="宋体"/>
          <w:color w:val="auto"/>
          <w:sz w:val="24"/>
          <w:szCs w:val="24"/>
          <w:highlight w:val="none"/>
          <w:u w:val="single"/>
        </w:rPr>
      </w:pPr>
      <w:r>
        <w:rPr>
          <w:rFonts w:hint="eastAsia" w:ascii="宋体" w:hAnsi="宋体" w:cs="宋体"/>
          <w:color w:val="auto"/>
          <w:kern w:val="0"/>
          <w:sz w:val="24"/>
          <w:szCs w:val="24"/>
          <w:highlight w:val="none"/>
        </w:rPr>
        <w:t>投诉</w:t>
      </w:r>
      <w:r>
        <w:rPr>
          <w:rFonts w:hint="eastAsia" w:ascii="宋体" w:hAnsi="宋体"/>
          <w:color w:val="auto"/>
          <w:sz w:val="24"/>
          <w:szCs w:val="24"/>
          <w:highlight w:val="none"/>
        </w:rPr>
        <w:t>电话：</w:t>
      </w:r>
      <w:r>
        <w:rPr>
          <w:rFonts w:hint="eastAsia" w:ascii="宋体" w:hAnsi="宋体"/>
          <w:color w:val="auto"/>
          <w:sz w:val="24"/>
          <w:szCs w:val="24"/>
          <w:highlight w:val="none"/>
          <w:u w:val="single"/>
        </w:rPr>
        <w:t>020-32821156</w:t>
      </w:r>
    </w:p>
    <w:p w14:paraId="1BAEEF6A">
      <w:pPr>
        <w:widowControl/>
        <w:spacing w:line="360" w:lineRule="auto"/>
        <w:ind w:firstLine="960" w:firstLineChars="400"/>
        <w:jc w:val="left"/>
        <w:rPr>
          <w:rFonts w:ascii="宋体" w:hAnsi="宋体"/>
          <w:color w:val="auto"/>
          <w:sz w:val="24"/>
          <w:szCs w:val="24"/>
          <w:highlight w:val="none"/>
        </w:rPr>
      </w:pPr>
      <w:r>
        <w:rPr>
          <w:rFonts w:hint="eastAsia" w:ascii="宋体" w:hAnsi="宋体" w:cs="宋体"/>
          <w:color w:val="auto"/>
          <w:kern w:val="0"/>
          <w:sz w:val="24"/>
          <w:szCs w:val="24"/>
          <w:highlight w:val="none"/>
        </w:rPr>
        <w:t>联系</w:t>
      </w:r>
      <w:r>
        <w:rPr>
          <w:rFonts w:hint="eastAsia" w:ascii="宋体" w:hAnsi="宋体"/>
          <w:color w:val="auto"/>
          <w:sz w:val="24"/>
          <w:szCs w:val="24"/>
          <w:highlight w:val="none"/>
        </w:rPr>
        <w:t>地址：</w:t>
      </w:r>
      <w:r>
        <w:rPr>
          <w:rFonts w:hint="eastAsia" w:ascii="宋体" w:hAnsi="宋体"/>
          <w:color w:val="auto"/>
          <w:sz w:val="24"/>
          <w:szCs w:val="24"/>
          <w:highlight w:val="none"/>
          <w:u w:val="single"/>
        </w:rPr>
        <w:t>广州市增城区荔城街挂绿路12号建设局4楼</w:t>
      </w:r>
    </w:p>
    <w:p w14:paraId="21236670">
      <w:pPr>
        <w:spacing w:line="360" w:lineRule="auto"/>
        <w:ind w:firstLine="480" w:firstLineChars="200"/>
        <w:rPr>
          <w:rFonts w:ascii="宋体" w:hAnsi="宋体"/>
          <w:color w:val="auto"/>
          <w:sz w:val="24"/>
          <w:szCs w:val="24"/>
          <w:highlight w:val="none"/>
          <w:u w:val="single"/>
        </w:rPr>
      </w:pPr>
      <w:r>
        <w:rPr>
          <w:rFonts w:hint="eastAsia" w:ascii="宋体" w:hAnsi="宋体" w:cs="宋体"/>
          <w:color w:val="auto"/>
          <w:sz w:val="24"/>
          <w:szCs w:val="24"/>
          <w:highlight w:val="none"/>
        </w:rPr>
        <w:t>三、建设地点：</w:t>
      </w:r>
      <w:r>
        <w:rPr>
          <w:rFonts w:hint="eastAsia" w:ascii="宋体" w:hAnsi="宋体"/>
          <w:color w:val="auto"/>
          <w:sz w:val="24"/>
          <w:szCs w:val="24"/>
          <w:highlight w:val="none"/>
          <w:u w:val="single"/>
          <w:lang w:eastAsia="zh-CN"/>
        </w:rPr>
        <w:t>广州市增城区仙村镇石新公路北侧</w:t>
      </w:r>
    </w:p>
    <w:p w14:paraId="661DA19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四、项目概况：</w:t>
      </w:r>
    </w:p>
    <w:p w14:paraId="4998660F">
      <w:pPr>
        <w:keepNext w:val="0"/>
        <w:keepLines w:val="0"/>
        <w:widowControl/>
        <w:suppressLineNumbers w:val="0"/>
        <w:spacing w:line="360" w:lineRule="auto"/>
        <w:ind w:left="0" w:leftChars="0" w:firstLine="420" w:firstLineChars="17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1、建设内容及规模：</w:t>
      </w:r>
    </w:p>
    <w:p w14:paraId="72A69272">
      <w:pPr>
        <w:keepNext w:val="0"/>
        <w:keepLines w:val="0"/>
        <w:pageBreakBefore w:val="0"/>
        <w:widowControl/>
        <w:kinsoku/>
        <w:wordWrap/>
        <w:overflowPunct/>
        <w:topLinePunct w:val="0"/>
        <w:autoSpaceDE/>
        <w:autoSpaceDN/>
        <w:bidi w:val="0"/>
        <w:adjustRightInd/>
        <w:snapToGrid/>
        <w:spacing w:before="0" w:line="360" w:lineRule="auto"/>
        <w:ind w:right="0" w:firstLine="420" w:firstLineChars="175"/>
        <w:jc w:val="left"/>
        <w:textAlignment w:val="auto"/>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lang w:val="en-US" w:eastAsia="zh-CN"/>
        </w:rPr>
        <w:t>主要建设1座三级加油站和1栋商业综合体，包括新建一层加油站房240平方米，加油站棚650平方米，安装4台6枪加油机，安装2个30立方米汽油罐，2个30立方米柴油罐，配套建设集油沟、隔油池、场内地面硬化等辅助基础设施；新建1栋8层的商业综合体，建筑面积7186.12平方米，地上计容建筑面积6892.12平方米，地下不计容建筑面积294平方米，配套建设地上停车位39个，安装120kW双枪充电桩10台，以及消防设施、供配电设施及配电房、防雷设施、给排水设施、车行道路、灌木绿化等工程内容。（具体以本工程设计完善并确认后的施工图纸及工程量清单和发包人要求为准）。</w:t>
      </w:r>
    </w:p>
    <w:p w14:paraId="4E682CEE">
      <w:pPr>
        <w:spacing w:line="360" w:lineRule="auto"/>
        <w:ind w:firstLine="480" w:firstLineChars="200"/>
        <w:jc w:val="left"/>
        <w:rPr>
          <w:rFonts w:ascii="宋体" w:hAnsi="宋体" w:cs="宋体"/>
          <w:color w:val="auto"/>
          <w:sz w:val="24"/>
          <w:szCs w:val="24"/>
          <w:highlight w:val="none"/>
        </w:rPr>
      </w:pPr>
      <w:r>
        <w:rPr>
          <w:rFonts w:hint="eastAsia" w:ascii="宋体" w:hAnsi="宋体"/>
          <w:color w:val="auto"/>
          <w:sz w:val="24"/>
          <w:szCs w:val="24"/>
          <w:highlight w:val="none"/>
          <w:u w:val="single"/>
        </w:rPr>
        <w:t>项目总投资</w:t>
      </w:r>
      <w:r>
        <w:rPr>
          <w:rFonts w:hint="eastAsia" w:ascii="宋体" w:hAnsi="宋体"/>
          <w:color w:val="auto"/>
          <w:sz w:val="24"/>
          <w:szCs w:val="24"/>
          <w:highlight w:val="none"/>
          <w:u w:val="single"/>
          <w:lang w:val="en-US" w:eastAsia="zh-CN"/>
        </w:rPr>
        <w:t>9542.984238</w:t>
      </w:r>
      <w:r>
        <w:rPr>
          <w:rFonts w:hint="eastAsia" w:ascii="宋体" w:hAnsi="宋体"/>
          <w:color w:val="auto"/>
          <w:sz w:val="24"/>
          <w:szCs w:val="24"/>
          <w:highlight w:val="none"/>
          <w:u w:val="single"/>
        </w:rPr>
        <w:t>万元</w:t>
      </w:r>
      <w:r>
        <w:rPr>
          <w:rFonts w:hint="eastAsia" w:ascii="宋体" w:hAnsi="宋体"/>
          <w:color w:val="auto"/>
          <w:sz w:val="24"/>
          <w:szCs w:val="24"/>
          <w:highlight w:val="none"/>
          <w:u w:val="single"/>
          <w:lang w:eastAsia="zh-CN"/>
        </w:rPr>
        <w:t>。</w:t>
      </w:r>
    </w:p>
    <w:p w14:paraId="0D7481A2">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2、计划工期：总工期</w:t>
      </w:r>
      <w:r>
        <w:rPr>
          <w:rFonts w:hint="eastAsia" w:ascii="宋体" w:hAnsi="宋体"/>
          <w:color w:val="auto"/>
          <w:sz w:val="24"/>
          <w:szCs w:val="24"/>
          <w:highlight w:val="none"/>
          <w:u w:val="single"/>
          <w:lang w:val="en-US" w:eastAsia="zh-CN"/>
        </w:rPr>
        <w:t>545</w:t>
      </w:r>
      <w:r>
        <w:rPr>
          <w:rFonts w:hint="eastAsia" w:ascii="宋体" w:hAnsi="宋体"/>
          <w:color w:val="auto"/>
          <w:sz w:val="24"/>
          <w:szCs w:val="24"/>
          <w:highlight w:val="none"/>
        </w:rPr>
        <w:t>日历天，其中：</w:t>
      </w:r>
    </w:p>
    <w:p w14:paraId="499DCDE3">
      <w:pPr>
        <w:numPr>
          <w:ilvl w:val="0"/>
          <w:numId w:val="1"/>
        </w:num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设计工期</w:t>
      </w:r>
      <w:r>
        <w:rPr>
          <w:rFonts w:hint="eastAsia" w:ascii="宋体" w:hAnsi="宋体"/>
          <w:color w:val="auto"/>
          <w:sz w:val="24"/>
          <w:szCs w:val="24"/>
          <w:highlight w:val="none"/>
          <w:lang w:eastAsia="zh-CN"/>
        </w:rPr>
        <w:t>：</w:t>
      </w:r>
      <w:r>
        <w:rPr>
          <w:rFonts w:ascii="宋体" w:hAnsi="宋体" w:eastAsia="宋体" w:cs="宋体"/>
          <w:color w:val="auto"/>
          <w:spacing w:val="-4"/>
          <w:sz w:val="24"/>
          <w:szCs w:val="24"/>
          <w:highlight w:val="none"/>
          <w:u w:val="single" w:color="auto"/>
        </w:rPr>
        <w:t>具体设计工期在合同中详细约定，并以满足施工进度要求为准</w:t>
      </w:r>
      <w:r>
        <w:rPr>
          <w:rFonts w:hint="eastAsia" w:ascii="宋体" w:hAnsi="宋体"/>
          <w:color w:val="auto"/>
          <w:sz w:val="24"/>
          <w:szCs w:val="24"/>
          <w:highlight w:val="none"/>
        </w:rPr>
        <w:t>；</w:t>
      </w:r>
    </w:p>
    <w:p w14:paraId="45F0537C">
      <w:pPr>
        <w:numPr>
          <w:ilvl w:val="0"/>
          <w:numId w:val="1"/>
        </w:numPr>
        <w:spacing w:line="360" w:lineRule="auto"/>
        <w:ind w:left="0" w:leftChars="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施工工期</w:t>
      </w:r>
      <w:r>
        <w:rPr>
          <w:rFonts w:hint="eastAsia" w:ascii="宋体" w:hAnsi="宋体"/>
          <w:color w:val="auto"/>
          <w:sz w:val="24"/>
          <w:szCs w:val="24"/>
          <w:highlight w:val="none"/>
          <w:lang w:eastAsia="zh-CN"/>
        </w:rPr>
        <w:t>：</w:t>
      </w:r>
      <w:r>
        <w:rPr>
          <w:rFonts w:ascii="宋体" w:hAnsi="宋体" w:eastAsia="宋体" w:cs="宋体"/>
          <w:color w:val="auto"/>
          <w:spacing w:val="-4"/>
          <w:sz w:val="24"/>
          <w:szCs w:val="24"/>
          <w:highlight w:val="none"/>
          <w:u w:val="single" w:color="auto"/>
        </w:rPr>
        <w:t>具体</w:t>
      </w:r>
      <w:r>
        <w:rPr>
          <w:rFonts w:hint="eastAsia" w:ascii="宋体" w:hAnsi="宋体" w:cs="宋体"/>
          <w:color w:val="auto"/>
          <w:spacing w:val="-4"/>
          <w:sz w:val="24"/>
          <w:szCs w:val="24"/>
          <w:highlight w:val="none"/>
          <w:u w:val="single" w:color="auto"/>
          <w:lang w:val="en-US" w:eastAsia="zh-CN"/>
        </w:rPr>
        <w:t>施工</w:t>
      </w:r>
      <w:r>
        <w:rPr>
          <w:rFonts w:ascii="宋体" w:hAnsi="宋体" w:eastAsia="宋体" w:cs="宋体"/>
          <w:color w:val="auto"/>
          <w:spacing w:val="-4"/>
          <w:sz w:val="24"/>
          <w:szCs w:val="24"/>
          <w:highlight w:val="none"/>
          <w:u w:val="single" w:color="auto"/>
        </w:rPr>
        <w:t>工期在合同中详细约定，并以满足施工进度要求为准</w:t>
      </w:r>
      <w:r>
        <w:rPr>
          <w:rFonts w:hint="eastAsia" w:ascii="宋体" w:hAnsi="宋体"/>
          <w:color w:val="auto"/>
          <w:sz w:val="24"/>
          <w:szCs w:val="24"/>
          <w:highlight w:val="none"/>
        </w:rPr>
        <w:t>。</w:t>
      </w:r>
    </w:p>
    <w:p w14:paraId="3286A239">
      <w:pPr>
        <w:numPr>
          <w:ilvl w:val="0"/>
          <w:numId w:val="0"/>
        </w:numPr>
        <w:spacing w:line="360" w:lineRule="auto"/>
        <w:ind w:leftChars="200"/>
        <w:rPr>
          <w:rFonts w:hint="default"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注：按以上总工期，各项目实施的具体工期分配按合同执行。</w:t>
      </w:r>
    </w:p>
    <w:p w14:paraId="2FBF839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五、标段划分及各标段招标内容、规模：</w:t>
      </w:r>
    </w:p>
    <w:p w14:paraId="612896B1">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kern w:val="0"/>
          <w:sz w:val="24"/>
          <w:szCs w:val="24"/>
          <w:highlight w:val="none"/>
        </w:rPr>
        <w:t>本工程划分为</w:t>
      </w:r>
      <w:r>
        <w:rPr>
          <w:rFonts w:hint="eastAsia" w:ascii="宋体" w:hAnsi="宋体" w:cs="宋体"/>
          <w:color w:val="auto"/>
          <w:kern w:val="0"/>
          <w:sz w:val="24"/>
          <w:szCs w:val="24"/>
          <w:highlight w:val="none"/>
          <w:u w:val="single"/>
        </w:rPr>
        <w:t>1</w:t>
      </w:r>
      <w:r>
        <w:rPr>
          <w:rFonts w:hint="eastAsia" w:ascii="宋体" w:hAnsi="宋体" w:cs="宋体"/>
          <w:color w:val="auto"/>
          <w:kern w:val="0"/>
          <w:sz w:val="24"/>
          <w:szCs w:val="24"/>
          <w:highlight w:val="none"/>
        </w:rPr>
        <w:t>个标段。</w:t>
      </w:r>
    </w:p>
    <w:p w14:paraId="6D29E5C8">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sz w:val="24"/>
          <w:szCs w:val="24"/>
          <w:highlight w:val="none"/>
        </w:rPr>
        <w:t>招标内容：</w:t>
      </w:r>
      <w:r>
        <w:rPr>
          <w:rFonts w:hint="eastAsia" w:ascii="宋体" w:hAnsi="宋体"/>
          <w:bCs/>
          <w:color w:val="auto"/>
          <w:sz w:val="24"/>
          <w:szCs w:val="24"/>
          <w:highlight w:val="none"/>
          <w:u w:val="single"/>
        </w:rPr>
        <w:t>设计施工总承包</w:t>
      </w:r>
      <w:r>
        <w:rPr>
          <w:rFonts w:hint="eastAsia" w:ascii="宋体" w:hAnsi="宋体" w:cs="宋体"/>
          <w:color w:val="auto"/>
          <w:sz w:val="24"/>
          <w:szCs w:val="24"/>
          <w:highlight w:val="none"/>
          <w:u w:val="single"/>
        </w:rPr>
        <w:t>，包括但不限于以下内容</w:t>
      </w:r>
      <w:r>
        <w:rPr>
          <w:rFonts w:hint="eastAsia" w:ascii="宋体" w:hAnsi="宋体" w:cs="宋体"/>
          <w:color w:val="auto"/>
          <w:sz w:val="24"/>
          <w:szCs w:val="24"/>
          <w:highlight w:val="none"/>
        </w:rPr>
        <w:t>：</w:t>
      </w:r>
    </w:p>
    <w:p w14:paraId="7B610F8E">
      <w:p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2.1设计部分</w:t>
      </w:r>
    </w:p>
    <w:p w14:paraId="559EBBFC">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包括但不限于完成设计方案（非概念方案或创意发挥的方案）、初步设计文件、施工图设计、配合各类专业工程深化图纸设计审查、配合竣工图审查、概算编制、配合完成初步设计审查和施工图审查（如有）、配合开展前期报建报批、配合相关评审工作、施工配合服务及后续服务工作、设计变更管理（如有）、设计分包管理等（如有）。具体详见合同、设计任务书及发包人要求。</w:t>
      </w:r>
    </w:p>
    <w:p w14:paraId="459EA70F">
      <w:p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2.2施工部分</w:t>
      </w:r>
    </w:p>
    <w:p w14:paraId="5364191D">
      <w:pPr>
        <w:spacing w:line="360" w:lineRule="auto"/>
        <w:ind w:firstLine="484" w:firstLineChars="200"/>
        <w:rPr>
          <w:rFonts w:ascii="宋体" w:hAnsi="宋体" w:eastAsia="宋体" w:cs="宋体"/>
          <w:color w:val="auto"/>
          <w:spacing w:val="1"/>
          <w:sz w:val="24"/>
          <w:szCs w:val="24"/>
          <w:highlight w:val="none"/>
          <w:u w:val="single" w:color="auto"/>
          <w:lang w:eastAsia="zh-CN"/>
        </w:rPr>
      </w:pPr>
      <w:r>
        <w:rPr>
          <w:rFonts w:hint="eastAsia" w:ascii="宋体" w:hAnsi="宋体" w:eastAsia="宋体" w:cs="宋体"/>
          <w:color w:val="auto"/>
          <w:spacing w:val="1"/>
          <w:sz w:val="24"/>
          <w:szCs w:val="24"/>
          <w:highlight w:val="none"/>
          <w:u w:val="single" w:color="auto"/>
          <w:lang w:eastAsia="zh-CN"/>
        </w:rPr>
        <w:t>按照招标文件及合同约定的范围和发包人批复的施工图进行施工总承包，包括但不限于包工、包料、包设备、包报建、包深化设计、包质量、包安全生产、包文明施工、包工期、包承包范围内工程验收通过、包移交、包结算、包资料整理、包施工总承包管理和现场整体组织、包专业协调及配合、包保修、包竣工图编制（在投标下浮率中综合考虑）、并配合相关部门结（决）算审计、竣工验收阶段的行政主管部门审批和竣工验收资料归档等工作等。</w:t>
      </w:r>
      <w:r>
        <w:rPr>
          <w:rFonts w:hint="eastAsia" w:ascii="宋体" w:hAnsi="宋体" w:eastAsia="宋体" w:cs="宋体"/>
          <w:color w:val="auto"/>
          <w:spacing w:val="1"/>
          <w:sz w:val="24"/>
          <w:szCs w:val="24"/>
          <w:highlight w:val="none"/>
          <w:u w:val="single" w:color="auto"/>
          <w:lang w:val="en-US" w:eastAsia="zh-CN"/>
        </w:rPr>
        <w:t>具体详见合同的要求。</w:t>
      </w:r>
      <w:r>
        <w:rPr>
          <w:rFonts w:hint="eastAsia" w:ascii="宋体" w:hAnsi="宋体" w:eastAsia="宋体" w:cs="宋体"/>
          <w:color w:val="auto"/>
          <w:spacing w:val="1"/>
          <w:sz w:val="24"/>
          <w:szCs w:val="24"/>
          <w:highlight w:val="none"/>
          <w:u w:val="single" w:color="auto"/>
          <w:lang w:eastAsia="zh-CN"/>
        </w:rPr>
        <w:t>包括不限于以下：</w:t>
      </w:r>
    </w:p>
    <w:p w14:paraId="3245C33A">
      <w:pPr>
        <w:spacing w:line="360" w:lineRule="auto"/>
        <w:ind w:firstLine="484" w:firstLineChars="200"/>
        <w:rPr>
          <w:rFonts w:ascii="宋体" w:hAnsi="宋体" w:eastAsia="宋体" w:cs="宋体"/>
          <w:color w:val="auto"/>
          <w:spacing w:val="1"/>
          <w:sz w:val="24"/>
          <w:szCs w:val="24"/>
          <w:highlight w:val="none"/>
          <w:u w:val="single" w:color="auto"/>
          <w:lang w:eastAsia="zh-CN"/>
        </w:rPr>
      </w:pPr>
      <w:r>
        <w:rPr>
          <w:rFonts w:ascii="宋体" w:hAnsi="宋体" w:eastAsia="宋体" w:cs="宋体"/>
          <w:color w:val="auto"/>
          <w:spacing w:val="1"/>
          <w:sz w:val="24"/>
          <w:szCs w:val="24"/>
          <w:highlight w:val="none"/>
          <w:u w:val="single" w:color="auto"/>
        </w:rPr>
        <w:t>建筑工程、结构工程、电气工程</w:t>
      </w:r>
      <w:r>
        <w:rPr>
          <w:rFonts w:hint="eastAsia" w:ascii="宋体" w:hAnsi="宋体" w:eastAsia="宋体" w:cs="宋体"/>
          <w:color w:val="auto"/>
          <w:spacing w:val="1"/>
          <w:sz w:val="24"/>
          <w:szCs w:val="24"/>
          <w:highlight w:val="none"/>
          <w:u w:val="single" w:color="auto"/>
          <w:lang w:eastAsia="zh-CN"/>
        </w:rPr>
        <w:t>（含充电桩建设）</w:t>
      </w:r>
      <w:r>
        <w:rPr>
          <w:rFonts w:ascii="宋体" w:hAnsi="宋体" w:eastAsia="宋体" w:cs="宋体"/>
          <w:color w:val="auto"/>
          <w:spacing w:val="1"/>
          <w:sz w:val="24"/>
          <w:szCs w:val="24"/>
          <w:highlight w:val="none"/>
          <w:u w:val="single" w:color="auto"/>
        </w:rPr>
        <w:t>、弱电工程、</w:t>
      </w:r>
      <w:r>
        <w:rPr>
          <w:rFonts w:hint="eastAsia" w:ascii="宋体" w:hAnsi="宋体" w:eastAsia="宋体" w:cs="宋体"/>
          <w:color w:val="auto"/>
          <w:spacing w:val="1"/>
          <w:sz w:val="24"/>
          <w:szCs w:val="24"/>
          <w:highlight w:val="none"/>
          <w:u w:val="single" w:color="auto"/>
          <w:lang w:eastAsia="zh-CN"/>
        </w:rPr>
        <w:t>围墙工程、场地平整、</w:t>
      </w:r>
      <w:r>
        <w:rPr>
          <w:rFonts w:ascii="宋体" w:hAnsi="宋体" w:eastAsia="宋体" w:cs="宋体"/>
          <w:color w:val="auto"/>
          <w:spacing w:val="1"/>
          <w:sz w:val="24"/>
          <w:szCs w:val="24"/>
          <w:highlight w:val="none"/>
          <w:u w:val="single" w:color="auto"/>
        </w:rPr>
        <w:t>给排水工程、消防工程、空调</w:t>
      </w:r>
      <w:r>
        <w:rPr>
          <w:rFonts w:hint="eastAsia" w:ascii="宋体" w:hAnsi="宋体" w:eastAsia="宋体" w:cs="宋体"/>
          <w:color w:val="auto"/>
          <w:spacing w:val="1"/>
          <w:sz w:val="24"/>
          <w:szCs w:val="24"/>
          <w:highlight w:val="none"/>
          <w:u w:val="single" w:color="auto"/>
          <w:lang w:eastAsia="zh-CN"/>
        </w:rPr>
        <w:t>、</w:t>
      </w:r>
      <w:r>
        <w:rPr>
          <w:rFonts w:ascii="宋体" w:hAnsi="宋体" w:eastAsia="宋体" w:cs="宋体"/>
          <w:color w:val="auto"/>
          <w:spacing w:val="1"/>
          <w:sz w:val="24"/>
          <w:szCs w:val="24"/>
          <w:highlight w:val="none"/>
          <w:u w:val="single" w:color="auto"/>
        </w:rPr>
        <w:t>通风工程、电梯工程、精装修工程</w:t>
      </w:r>
      <w:r>
        <w:rPr>
          <w:rFonts w:hint="eastAsia" w:ascii="宋体" w:hAnsi="宋体" w:eastAsia="宋体" w:cs="宋体"/>
          <w:color w:val="auto"/>
          <w:spacing w:val="1"/>
          <w:sz w:val="24"/>
          <w:szCs w:val="24"/>
          <w:highlight w:val="none"/>
          <w:u w:val="single" w:color="auto"/>
          <w:lang w:eastAsia="zh-CN"/>
        </w:rPr>
        <w:t>（不含酒店户内二次装修部分）</w:t>
      </w:r>
      <w:r>
        <w:rPr>
          <w:rFonts w:ascii="宋体" w:hAnsi="宋体" w:eastAsia="宋体" w:cs="宋体"/>
          <w:color w:val="auto"/>
          <w:spacing w:val="1"/>
          <w:sz w:val="24"/>
          <w:szCs w:val="24"/>
          <w:highlight w:val="none"/>
          <w:u w:val="single" w:color="auto"/>
        </w:rPr>
        <w:t>、室外工程、场地准备、规划验收、消防验收</w:t>
      </w:r>
      <w:r>
        <w:rPr>
          <w:rFonts w:hint="eastAsia" w:ascii="宋体" w:hAnsi="宋体" w:eastAsia="宋体" w:cs="宋体"/>
          <w:color w:val="auto"/>
          <w:spacing w:val="1"/>
          <w:sz w:val="24"/>
          <w:szCs w:val="24"/>
          <w:highlight w:val="none"/>
          <w:u w:val="single" w:color="auto"/>
          <w:lang w:eastAsia="zh-CN"/>
        </w:rPr>
        <w:t>、</w:t>
      </w:r>
      <w:r>
        <w:rPr>
          <w:rFonts w:ascii="宋体" w:hAnsi="宋体" w:eastAsia="宋体" w:cs="宋体"/>
          <w:color w:val="auto"/>
          <w:spacing w:val="1"/>
          <w:sz w:val="24"/>
          <w:szCs w:val="24"/>
          <w:highlight w:val="none"/>
          <w:u w:val="single" w:color="auto"/>
        </w:rPr>
        <w:t>环保验收、防雷报建及验收、人防验收、临水临电接驳报装及验收、临时路口报 建及验收、临时排水排污报建及验收、永久用水、永久用电接驳报装及验收、永久路口报建及验收、排水排污报建及验收等工作。</w:t>
      </w:r>
    </w:p>
    <w:p w14:paraId="4C7FF9B7">
      <w:pPr>
        <w:spacing w:line="360" w:lineRule="auto"/>
        <w:ind w:firstLine="484" w:firstLineChars="200"/>
        <w:rPr>
          <w:rFonts w:ascii="宋体" w:hAnsi="宋体" w:eastAsia="宋体" w:cs="宋体"/>
          <w:color w:val="auto"/>
          <w:spacing w:val="2"/>
          <w:sz w:val="24"/>
          <w:szCs w:val="24"/>
          <w:highlight w:val="none"/>
          <w:u w:val="single" w:color="auto"/>
        </w:rPr>
      </w:pPr>
      <w:r>
        <w:rPr>
          <w:rFonts w:ascii="宋体" w:hAnsi="宋体" w:eastAsia="宋体" w:cs="宋体"/>
          <w:color w:val="auto"/>
          <w:spacing w:val="1"/>
          <w:sz w:val="24"/>
          <w:szCs w:val="24"/>
          <w:highlight w:val="none"/>
          <w:u w:val="single" w:color="auto"/>
        </w:rPr>
        <w:t>其它：1）负责属于承包人范围内的报批报建，派出专人负责按发包人要</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u w:val="single" w:color="auto"/>
        </w:rPr>
        <w:t>求做好项目的相关报批报建工作、与相关权属单位及施工</w:t>
      </w:r>
      <w:r>
        <w:rPr>
          <w:rFonts w:ascii="宋体" w:hAnsi="宋体" w:eastAsia="宋体" w:cs="宋体"/>
          <w:color w:val="auto"/>
          <w:spacing w:val="3"/>
          <w:sz w:val="24"/>
          <w:szCs w:val="24"/>
          <w:highlight w:val="none"/>
          <w:u w:val="single" w:color="auto"/>
        </w:rPr>
        <w:t>全过程的沟通协调，满足相</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u w:val="single" w:color="auto"/>
        </w:rPr>
        <w:t>关权属单位接收本工程的要求直至工程竣工验收、项目移</w:t>
      </w:r>
      <w:r>
        <w:rPr>
          <w:rFonts w:ascii="宋体" w:hAnsi="宋体" w:eastAsia="宋体" w:cs="宋体"/>
          <w:color w:val="auto"/>
          <w:spacing w:val="3"/>
          <w:sz w:val="24"/>
          <w:szCs w:val="24"/>
          <w:highlight w:val="none"/>
          <w:u w:val="single" w:color="auto"/>
        </w:rPr>
        <w:t>交为止。凡工程中涉及到劳</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u w:val="single" w:color="auto"/>
        </w:rPr>
        <w:t>动、消防、环保、规划、节能、人防、防雷、质量安全、</w:t>
      </w:r>
      <w:r>
        <w:rPr>
          <w:rFonts w:ascii="宋体" w:hAnsi="宋体" w:eastAsia="宋体" w:cs="宋体"/>
          <w:color w:val="auto"/>
          <w:spacing w:val="3"/>
          <w:sz w:val="24"/>
          <w:szCs w:val="24"/>
          <w:highlight w:val="none"/>
          <w:u w:val="single" w:color="auto"/>
        </w:rPr>
        <w:t>卫生防疫等有关部门检查及</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u w:val="single" w:color="auto"/>
        </w:rPr>
        <w:t>验收的项目，及时做好检查、验收准备工作。验收通过后，</w:t>
      </w:r>
      <w:r>
        <w:rPr>
          <w:rFonts w:ascii="宋体" w:hAnsi="宋体" w:eastAsia="宋体" w:cs="宋体"/>
          <w:color w:val="auto"/>
          <w:spacing w:val="3"/>
          <w:sz w:val="24"/>
          <w:szCs w:val="24"/>
          <w:highlight w:val="none"/>
          <w:u w:val="single" w:color="auto"/>
        </w:rPr>
        <w:t>向发包人提交验收报告，</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u w:val="single" w:color="auto"/>
        </w:rPr>
        <w:t>办理竣工备案等。发包人根据工程实施情况，有权对本合</w:t>
      </w:r>
      <w:r>
        <w:rPr>
          <w:rFonts w:ascii="宋体" w:hAnsi="宋体" w:eastAsia="宋体" w:cs="宋体"/>
          <w:color w:val="auto"/>
          <w:spacing w:val="3"/>
          <w:sz w:val="24"/>
          <w:szCs w:val="24"/>
          <w:highlight w:val="none"/>
          <w:u w:val="single" w:color="auto"/>
        </w:rPr>
        <w:t>同的实施范围和内容进行调</w:t>
      </w: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u w:val="single" w:color="auto"/>
        </w:rPr>
        <w:t>整；2）除政府相关部门规定收取的报批报建费用由发包人支付外，其余由承包人自行</w:t>
      </w:r>
      <w:r>
        <w:rPr>
          <w:rFonts w:ascii="宋体" w:hAnsi="宋体" w:eastAsia="宋体" w:cs="宋体"/>
          <w:color w:val="auto"/>
          <w:spacing w:val="12"/>
          <w:sz w:val="24"/>
          <w:szCs w:val="24"/>
          <w:highlight w:val="none"/>
        </w:rPr>
        <w:t xml:space="preserve"> </w:t>
      </w:r>
      <w:r>
        <w:rPr>
          <w:rFonts w:ascii="宋体" w:hAnsi="宋体" w:eastAsia="宋体" w:cs="宋体"/>
          <w:color w:val="auto"/>
          <w:spacing w:val="2"/>
          <w:sz w:val="24"/>
          <w:szCs w:val="24"/>
          <w:highlight w:val="none"/>
          <w:u w:val="single" w:color="auto"/>
        </w:rPr>
        <w:t>承担，发包人不另外支付。</w:t>
      </w:r>
    </w:p>
    <w:p w14:paraId="13BE1EAF">
      <w:p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3、质量标准</w:t>
      </w:r>
    </w:p>
    <w:p w14:paraId="7FABD9CA">
      <w:pPr>
        <w:spacing w:line="360" w:lineRule="auto"/>
        <w:ind w:firstLine="480" w:firstLineChars="200"/>
        <w:rPr>
          <w:rFonts w:ascii="宋体" w:hAnsi="宋体" w:cs="宋体"/>
          <w:bCs/>
          <w:color w:val="auto"/>
          <w:sz w:val="24"/>
          <w:szCs w:val="24"/>
          <w:highlight w:val="none"/>
          <w:u w:val="single"/>
        </w:rPr>
      </w:pPr>
      <w:r>
        <w:rPr>
          <w:rFonts w:hint="eastAsia" w:ascii="宋体" w:hAnsi="宋体" w:cs="宋体"/>
          <w:bCs/>
          <w:color w:val="auto"/>
          <w:sz w:val="24"/>
          <w:szCs w:val="24"/>
          <w:highlight w:val="none"/>
        </w:rPr>
        <w:t>3.1设计质量标准：</w:t>
      </w:r>
      <w:r>
        <w:rPr>
          <w:rFonts w:hint="eastAsia" w:ascii="宋体" w:hAnsi="宋体" w:cs="宋体"/>
          <w:bCs/>
          <w:color w:val="auto"/>
          <w:sz w:val="24"/>
          <w:szCs w:val="24"/>
          <w:highlight w:val="none"/>
          <w:u w:val="single"/>
        </w:rPr>
        <w:t>设计达到有关施工图的深度要求及相关专业设计规范的深度，达到法律规定，以及国家、行业和地方的规范和标准；符合本项目设计任务书的要求。</w:t>
      </w:r>
    </w:p>
    <w:p w14:paraId="7ECF1FC0">
      <w:pPr>
        <w:spacing w:line="360" w:lineRule="auto"/>
        <w:ind w:firstLine="480" w:firstLineChars="200"/>
        <w:rPr>
          <w:rFonts w:ascii="宋体" w:hAnsi="宋体" w:cs="宋体"/>
          <w:bCs/>
          <w:color w:val="auto"/>
          <w:sz w:val="24"/>
          <w:szCs w:val="24"/>
          <w:highlight w:val="none"/>
          <w:u w:val="single"/>
        </w:rPr>
      </w:pPr>
      <w:r>
        <w:rPr>
          <w:rFonts w:hint="eastAsia" w:ascii="宋体" w:hAnsi="宋体" w:cs="宋体"/>
          <w:bCs/>
          <w:color w:val="auto"/>
          <w:sz w:val="24"/>
          <w:szCs w:val="24"/>
          <w:highlight w:val="none"/>
        </w:rPr>
        <w:t>3.2施工质量标准：</w:t>
      </w:r>
      <w:r>
        <w:rPr>
          <w:rFonts w:hint="eastAsia" w:ascii="宋体" w:hAnsi="宋体" w:cs="宋体"/>
          <w:bCs/>
          <w:color w:val="auto"/>
          <w:sz w:val="24"/>
          <w:szCs w:val="24"/>
          <w:highlight w:val="none"/>
          <w:u w:val="single"/>
        </w:rPr>
        <w:t>符合设计图纸要求和国家、省、市相关法律法规规定要求及行业颁发的工程质量合格标准。一次性验收100%合格，确保无渗漏工程。</w:t>
      </w:r>
    </w:p>
    <w:p w14:paraId="6B02153D">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六、资金来源：</w:t>
      </w:r>
      <w:r>
        <w:rPr>
          <w:rFonts w:hint="eastAsia" w:ascii="宋体" w:hAnsi="宋体" w:cs="宋体"/>
          <w:color w:val="auto"/>
          <w:sz w:val="24"/>
          <w:szCs w:val="24"/>
          <w:highlight w:val="none"/>
          <w:u w:val="single"/>
          <w:lang w:val="en-US" w:eastAsia="zh-CN"/>
        </w:rPr>
        <w:t xml:space="preserve">企业自筹 </w:t>
      </w:r>
      <w:r>
        <w:rPr>
          <w:rFonts w:hint="eastAsia" w:ascii="宋体" w:hAnsi="宋体" w:cs="宋体"/>
          <w:color w:val="auto"/>
          <w:sz w:val="24"/>
          <w:szCs w:val="24"/>
          <w:highlight w:val="none"/>
          <w:u w:val="single"/>
        </w:rPr>
        <w:t>。</w:t>
      </w:r>
    </w:p>
    <w:p w14:paraId="49F5B52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七、招标文件的获取</w:t>
      </w:r>
    </w:p>
    <w:p w14:paraId="72346E7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 凡有意参加投标者，请于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607EB36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分（北京时间，下同）登录广州公共资源交易中心网站（网址：http://www.gzggzy.cn/）（电子招标投标交易平台）下载电子招标文件。招标文件一经在电子招标投标交易平台发布，视为送达给所有投标人。</w:t>
      </w:r>
    </w:p>
    <w:p w14:paraId="77B47CA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八、发布招标公告、投标文件递交、开标时间</w:t>
      </w:r>
    </w:p>
    <w:p w14:paraId="621F32D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1、招标公告发布日期（含本日）：自</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p>
    <w:p w14:paraId="61EF2F9C">
      <w:pPr>
        <w:spacing w:line="360" w:lineRule="auto"/>
        <w:ind w:left="0" w:leftChars="0" w:firstLine="0" w:firstLineChars="0"/>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p>
    <w:p w14:paraId="3002600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注：发布招标公告的时间为招标公告发出之日起至递交投标文件截止时间止。</w:t>
      </w:r>
    </w:p>
    <w:p w14:paraId="662A6C5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2、投标文件递交的截止时间为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投标人应在截止时间前通过广州公共资源交易中心交易平台网站递交电子投标文件。递交文件前，应按照广州公共资源交易中心交易平台关于全流程电子化项目的相关指南选择参与投标的项目（即投标登记）。投标人完成电子投标文件上传后，交易平台即时向投标人发出递交回执通知。递交时间以递交回执通知载明的传输时间为准。</w:t>
      </w:r>
    </w:p>
    <w:p w14:paraId="048A4AB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3、递交电子投标文件备用光盘时间：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分，递交地点：广州公共资源交易中心</w:t>
      </w:r>
      <w:r>
        <w:rPr>
          <w:rFonts w:hint="eastAsia" w:ascii="宋体" w:hAnsi="宋体" w:cs="宋体"/>
          <w:color w:val="auto"/>
          <w:sz w:val="24"/>
          <w:szCs w:val="24"/>
          <w:highlight w:val="none"/>
          <w:lang w:val="en-US" w:eastAsia="zh-CN"/>
        </w:rPr>
        <w:t>增城交易部</w:t>
      </w:r>
      <w:r>
        <w:rPr>
          <w:rFonts w:hint="eastAsia" w:ascii="宋体" w:hAnsi="宋体" w:cs="宋体"/>
          <w:color w:val="auto"/>
          <w:sz w:val="24"/>
          <w:szCs w:val="24"/>
          <w:highlight w:val="none"/>
        </w:rPr>
        <w:t>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开标室。电子光盘需按规定封装。投标人在将数据刻录到光盘之后，投标前自行检查文件是否可以读取。</w:t>
      </w:r>
    </w:p>
    <w:p w14:paraId="4861793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4、开标时间：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p>
    <w:p w14:paraId="5E7517C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5、递交投标文件截止时间及开标时间是否有变化，请密切留意广州公共资源交易中心网站的相关信息。</w:t>
      </w:r>
    </w:p>
    <w:p w14:paraId="4D1E792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6、逾期送达的投标文件，交易平台将予以拒收。</w:t>
      </w:r>
    </w:p>
    <w:p w14:paraId="251B7031">
      <w:p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九、投标人合格条件：</w:t>
      </w:r>
    </w:p>
    <w:p w14:paraId="28ABCE2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1、投标人参加投标的意思表达清楚，投标人代表被授权有效；</w:t>
      </w:r>
    </w:p>
    <w:p w14:paraId="6210C3D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2、投标人（联合体投标的，指联合体各成员）均具有独立法人资格，按国家法律经营；</w:t>
      </w:r>
    </w:p>
    <w:p w14:paraId="38373F1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3、投标人（联合体投标的，指联合体各成员）持有建设行政主管部门颁发的有效期内的企业资质证书；</w:t>
      </w:r>
    </w:p>
    <w:p w14:paraId="3A7B4F1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4、投标人（联合体投标的，由联合体主办方提供）持有建设行政主管部门颁发的有效期内的安全生产许可证； </w:t>
      </w:r>
    </w:p>
    <w:p w14:paraId="2795C5A7">
      <w:pPr>
        <w:pStyle w:val="51"/>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kern w:val="2"/>
          <w:sz w:val="24"/>
          <w:szCs w:val="24"/>
          <w:highlight w:val="none"/>
        </w:rPr>
        <w:t>投标人同时具有承接本工程所需的设计</w:t>
      </w:r>
      <w:r>
        <w:rPr>
          <w:rFonts w:hint="eastAsia" w:ascii="宋体" w:hAnsi="宋体" w:eastAsia="宋体" w:cs="宋体"/>
          <w:color w:val="auto"/>
          <w:sz w:val="24"/>
          <w:szCs w:val="24"/>
          <w:highlight w:val="none"/>
        </w:rPr>
        <w:t>类和施工</w:t>
      </w:r>
      <w:r>
        <w:rPr>
          <w:rFonts w:hint="eastAsia" w:ascii="宋体" w:hAnsi="宋体" w:eastAsia="宋体" w:cs="宋体"/>
          <w:color w:val="auto"/>
          <w:kern w:val="2"/>
          <w:sz w:val="24"/>
          <w:szCs w:val="24"/>
          <w:highlight w:val="none"/>
        </w:rPr>
        <w:t>类资质：</w:t>
      </w:r>
    </w:p>
    <w:p w14:paraId="7507A213">
      <w:pPr>
        <w:widowControl/>
        <w:spacing w:line="360" w:lineRule="auto"/>
        <w:ind w:firstLine="480" w:firstLineChars="200"/>
        <w:rPr>
          <w:rFonts w:hint="eastAsia" w:ascii="宋体" w:hAnsi="宋体" w:cs="宋体"/>
          <w:color w:val="auto"/>
          <w:kern w:val="0"/>
          <w:sz w:val="24"/>
          <w:szCs w:val="24"/>
          <w:highlight w:val="none"/>
          <w:u w:val="single"/>
        </w:rPr>
      </w:pPr>
      <w:bookmarkStart w:id="7" w:name="_Hlk67648709"/>
      <w:r>
        <w:rPr>
          <w:rFonts w:hint="eastAsia" w:ascii="宋体" w:hAnsi="宋体"/>
          <w:color w:val="auto"/>
          <w:sz w:val="24"/>
          <w:szCs w:val="24"/>
          <w:highlight w:val="none"/>
          <w:u w:val="single"/>
        </w:rPr>
        <w:t>5.</w:t>
      </w:r>
      <w:bookmarkEnd w:id="7"/>
      <w:r>
        <w:rPr>
          <w:rFonts w:hint="eastAsia" w:ascii="宋体" w:hAnsi="宋体"/>
          <w:color w:val="auto"/>
          <w:sz w:val="24"/>
          <w:szCs w:val="24"/>
          <w:highlight w:val="none"/>
          <w:u w:val="single"/>
        </w:rPr>
        <w:t>1</w:t>
      </w:r>
      <w:r>
        <w:rPr>
          <w:rFonts w:hint="eastAsia" w:ascii="宋体" w:hAnsi="宋体" w:cs="宋体"/>
          <w:color w:val="auto"/>
          <w:kern w:val="0"/>
          <w:sz w:val="24"/>
          <w:szCs w:val="24"/>
          <w:highlight w:val="none"/>
          <w:u w:val="single"/>
        </w:rPr>
        <w:t>工程设计资质：</w:t>
      </w:r>
    </w:p>
    <w:p w14:paraId="7CD6BE80">
      <w:pPr>
        <w:widowControl/>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工程设计综合资质甲级</w:t>
      </w:r>
      <w:r>
        <w:rPr>
          <w:rFonts w:hint="eastAsia" w:ascii="宋体" w:hAnsi="宋体" w:cs="宋体"/>
          <w:color w:val="auto"/>
          <w:sz w:val="24"/>
          <w:szCs w:val="24"/>
          <w:highlight w:val="none"/>
          <w:u w:val="single"/>
          <w:lang w:eastAsia="zh-CN"/>
        </w:rPr>
        <w:t>。</w:t>
      </w:r>
    </w:p>
    <w:p w14:paraId="7B3FD118">
      <w:pPr>
        <w:widowControl/>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2</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rPr>
        <w:t>同时具有建筑行业或建筑行业（建筑工程）专业设计</w:t>
      </w:r>
      <w:r>
        <w:rPr>
          <w:rFonts w:hint="eastAsia" w:ascii="宋体" w:hAnsi="宋体" w:cs="宋体"/>
          <w:color w:val="auto"/>
          <w:sz w:val="24"/>
          <w:szCs w:val="24"/>
          <w:highlight w:val="none"/>
          <w:u w:val="single"/>
          <w:lang w:val="en-US" w:eastAsia="zh-CN"/>
        </w:rPr>
        <w:t>乙</w:t>
      </w:r>
      <w:r>
        <w:rPr>
          <w:rFonts w:hint="eastAsia" w:ascii="宋体" w:hAnsi="宋体" w:cs="宋体"/>
          <w:color w:val="auto"/>
          <w:kern w:val="0"/>
          <w:sz w:val="24"/>
          <w:szCs w:val="24"/>
          <w:highlight w:val="none"/>
          <w:u w:val="single"/>
        </w:rPr>
        <w:t>级及以上、化工石化医药行业或化工石化医药行业（储运）专业设计乙级及以上资质</w:t>
      </w:r>
    </w:p>
    <w:p w14:paraId="37CC5629">
      <w:pPr>
        <w:widowControl/>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kern w:val="0"/>
          <w:sz w:val="24"/>
          <w:szCs w:val="24"/>
          <w:highlight w:val="none"/>
          <w:u w:val="single"/>
          <w:lang w:val="en-US" w:eastAsia="zh-CN"/>
        </w:rPr>
        <w:t>具备以上（1）或（2）任意一项设计资质即可</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证书须在有效期内，设计资质允许联合体</w:t>
      </w:r>
      <w:r>
        <w:rPr>
          <w:rFonts w:hint="eastAsia" w:ascii="宋体" w:hAnsi="宋体" w:cs="宋体"/>
          <w:color w:val="auto"/>
          <w:sz w:val="24"/>
          <w:szCs w:val="24"/>
          <w:highlight w:val="none"/>
          <w:u w:val="single"/>
        </w:rPr>
        <w:t>。</w:t>
      </w:r>
    </w:p>
    <w:p w14:paraId="3512291A">
      <w:pPr>
        <w:widowControl/>
        <w:spacing w:line="360" w:lineRule="auto"/>
        <w:ind w:firstLine="480" w:firstLineChars="200"/>
        <w:rPr>
          <w:rFonts w:ascii="宋体" w:hAnsi="宋体"/>
          <w:color w:val="auto"/>
          <w:sz w:val="24"/>
          <w:szCs w:val="24"/>
          <w:highlight w:val="none"/>
          <w:u w:val="single"/>
        </w:rPr>
      </w:pPr>
      <w:r>
        <w:rPr>
          <w:rFonts w:hint="eastAsia" w:ascii="宋体" w:hAnsi="宋体" w:cs="宋体"/>
          <w:color w:val="auto"/>
          <w:sz w:val="24"/>
          <w:szCs w:val="24"/>
          <w:highlight w:val="none"/>
          <w:u w:val="single"/>
        </w:rPr>
        <w:t>香港企业独立参加投标的，须在广东省住房和城乡建设主管部门备案且备案的业务范围为符合本招标项目对工程设计资质的要求。</w:t>
      </w:r>
    </w:p>
    <w:p w14:paraId="14BFABDB">
      <w:pPr>
        <w:pStyle w:val="51"/>
        <w:adjustRightInd w:val="0"/>
        <w:snapToGrid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注：(1)国内申请人具体资质要求按照《建设工程勘察设计管理条例》（国务院令[2000]293号）、《建设工程勘察设计资质管理规定》（建设部令第160号）、</w:t>
      </w:r>
      <w:r>
        <w:rPr>
          <w:rFonts w:hint="eastAsia" w:ascii="宋体" w:hAnsi="宋体" w:eastAsia="宋体" w:cs="宋体"/>
          <w:b/>
          <w:bCs/>
          <w:color w:val="auto"/>
          <w:sz w:val="24"/>
          <w:szCs w:val="24"/>
          <w:highlight w:val="none"/>
          <w:u w:val="single"/>
          <w:shd w:val="clear" w:color="auto" w:fill="FFFFFF"/>
        </w:rPr>
        <w:t>《工程勘察、工程设计资质分级标准补充规定》（建设[2001]178号）</w:t>
      </w:r>
      <w:r>
        <w:rPr>
          <w:rFonts w:hint="eastAsia" w:ascii="宋体" w:hAnsi="宋体" w:eastAsia="宋体" w:cs="宋体"/>
          <w:color w:val="auto"/>
          <w:sz w:val="24"/>
          <w:szCs w:val="24"/>
          <w:highlight w:val="none"/>
          <w:u w:val="single"/>
        </w:rPr>
        <w:t>、《工程设计资质标准》（建市〔2007〕86号）</w:t>
      </w:r>
      <w:r>
        <w:rPr>
          <w:rFonts w:hint="eastAsia" w:ascii="宋体" w:hAnsi="宋体" w:eastAsia="宋体" w:cs="宋体"/>
          <w:b/>
          <w:bCs/>
          <w:color w:val="auto"/>
          <w:sz w:val="24"/>
          <w:szCs w:val="24"/>
          <w:highlight w:val="none"/>
          <w:u w:val="single"/>
          <w:shd w:val="clear" w:color="auto" w:fill="FFFFFF"/>
        </w:rPr>
        <w:t>、</w:t>
      </w:r>
      <w:r>
        <w:rPr>
          <w:rFonts w:hint="eastAsia" w:ascii="宋体" w:hAnsi="宋体" w:eastAsia="宋体" w:cs="宋体"/>
          <w:color w:val="auto"/>
          <w:sz w:val="24"/>
          <w:szCs w:val="24"/>
          <w:highlight w:val="none"/>
          <w:u w:val="single"/>
        </w:rPr>
        <w:t>《建设工程勘察设计资质管理规定实施意见》（建市[2007]202号）、《住房城乡建设部关于促进建筑工程设计事务所发展有关事项的通知》（建市（2016）261号）、《住房和城乡建设部办公厅关于做好建筑业“证照分离”改革衔接有关工作的通知》（建办市〔2021〕30号）、</w:t>
      </w:r>
      <w:r>
        <w:rPr>
          <w:rFonts w:hint="eastAsia" w:ascii="宋体" w:hAnsi="宋体" w:eastAsia="宋体"/>
          <w:color w:val="auto"/>
          <w:sz w:val="24"/>
          <w:highlight w:val="none"/>
          <w:u w:val="single"/>
        </w:rPr>
        <w:t>《住房和城乡建设部办公厅关于建设工程企业资质有关事宜的通知》（建办市函〔2022〕361号）</w:t>
      </w:r>
      <w:r>
        <w:rPr>
          <w:rFonts w:hint="eastAsia" w:ascii="宋体" w:hAnsi="宋体" w:eastAsia="宋体" w:cs="宋体"/>
          <w:color w:val="auto"/>
          <w:sz w:val="24"/>
          <w:szCs w:val="24"/>
          <w:highlight w:val="none"/>
          <w:u w:val="single"/>
        </w:rPr>
        <w:t>、《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的要求设置。</w:t>
      </w:r>
      <w:r>
        <w:rPr>
          <w:rFonts w:hint="eastAsia" w:ascii="宋体" w:hAnsi="宋体" w:eastAsia="宋体"/>
          <w:b/>
          <w:bCs/>
          <w:color w:val="auto"/>
          <w:sz w:val="24"/>
          <w:szCs w:val="24"/>
          <w:highlight w:val="none"/>
          <w:u w:val="single"/>
        </w:rPr>
        <w:t>地方各级住房和城乡建设主管部门核发的建设工程企业资质证书延续有关政策按各省级住房和城乡建设主管部门规定执行。</w:t>
      </w:r>
    </w:p>
    <w:p w14:paraId="1830A922">
      <w:pPr>
        <w:pStyle w:val="51"/>
        <w:adjustRightInd w:val="0"/>
        <w:snapToGrid w:val="0"/>
        <w:spacing w:line="360" w:lineRule="auto"/>
        <w:ind w:firstLine="480" w:firstLineChars="200"/>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(2)香港企业备案的业务范围依据《广东省住房和城乡建设厅关于印发香港工程建设咨询企业和专业人士在粤港澳大湾区内地城市开业执业试点管理暂行办法的通知》（粤建规范〔2020〕1号，详见链接：</w:t>
      </w:r>
      <w:r>
        <w:rPr>
          <w:color w:val="auto"/>
          <w:highlight w:val="none"/>
        </w:rPr>
        <w:fldChar w:fldCharType="begin"/>
      </w:r>
      <w:r>
        <w:rPr>
          <w:color w:val="auto"/>
          <w:highlight w:val="none"/>
        </w:rPr>
        <w:instrText xml:space="preserve"> HYPERLINK "http://zfcxjst.gd.gov.cn/xxgk/wjtz/content/post_3137220.html）确定。" </w:instrText>
      </w:r>
      <w:r>
        <w:rPr>
          <w:color w:val="auto"/>
          <w:highlight w:val="none"/>
        </w:rPr>
        <w:fldChar w:fldCharType="separate"/>
      </w:r>
      <w:r>
        <w:rPr>
          <w:rStyle w:val="31"/>
          <w:rFonts w:hint="eastAsia" w:ascii="宋体" w:hAnsi="宋体" w:cs="宋体"/>
          <w:color w:val="auto"/>
          <w:sz w:val="24"/>
          <w:szCs w:val="24"/>
          <w:highlight w:val="none"/>
        </w:rPr>
        <w:t>http://zfcxjst.gd.gov.cn/xxgk/wjtz/content/post_3137220.html）确定。</w:t>
      </w:r>
      <w:r>
        <w:rPr>
          <w:rStyle w:val="31"/>
          <w:rFonts w:hint="eastAsia" w:ascii="宋体" w:hAnsi="宋体" w:cs="宋体"/>
          <w:color w:val="auto"/>
          <w:sz w:val="24"/>
          <w:szCs w:val="24"/>
          <w:highlight w:val="none"/>
        </w:rPr>
        <w:fldChar w:fldCharType="end"/>
      </w:r>
    </w:p>
    <w:p w14:paraId="1DD53626">
      <w:pPr>
        <w:pStyle w:val="51"/>
        <w:adjustRightInd w:val="0"/>
        <w:snapToGrid w:val="0"/>
        <w:spacing w:line="360" w:lineRule="auto"/>
        <w:ind w:firstLine="54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香港企业经备案且备案的业务范围满足招标文件要求的，可作设计方参与投标，同时提供相应资质证书及备案证明资料复印件。外国或澳门、台湾的设计企业必须选择一家符合上述条件的企业进行合作设计。香港企业如不单独参加投标，也必须选择一家符合上述条件的企业进行合作设计。</w:t>
      </w:r>
    </w:p>
    <w:p w14:paraId="178B1D82">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5.2施工资质：</w:t>
      </w:r>
      <w:r>
        <w:rPr>
          <w:rFonts w:hint="eastAsia" w:ascii="宋体" w:hAnsi="宋体"/>
          <w:color w:val="auto"/>
          <w:sz w:val="24"/>
          <w:szCs w:val="24"/>
          <w:highlight w:val="none"/>
          <w:u w:val="single"/>
        </w:rPr>
        <w:t>建筑工程施工总承包</w:t>
      </w:r>
      <w:r>
        <w:rPr>
          <w:rFonts w:hint="eastAsia" w:ascii="宋体" w:hAnsi="宋体"/>
          <w:color w:val="auto"/>
          <w:sz w:val="24"/>
          <w:szCs w:val="24"/>
          <w:highlight w:val="none"/>
          <w:u w:val="single"/>
          <w:lang w:val="en-US" w:eastAsia="zh-CN"/>
        </w:rPr>
        <w:t>二级</w:t>
      </w:r>
      <w:r>
        <w:rPr>
          <w:rFonts w:hint="eastAsia" w:ascii="宋体" w:hAnsi="宋体" w:cs="宋体"/>
          <w:color w:val="auto"/>
          <w:sz w:val="24"/>
          <w:szCs w:val="24"/>
          <w:highlight w:val="none"/>
          <w:u w:val="single"/>
          <w:lang w:val="en-US" w:eastAsia="zh-CN"/>
        </w:rPr>
        <w:t>（或以上）</w:t>
      </w:r>
      <w:r>
        <w:rPr>
          <w:rFonts w:hint="eastAsia" w:ascii="宋体" w:hAnsi="宋体"/>
          <w:color w:val="auto"/>
          <w:sz w:val="24"/>
          <w:szCs w:val="24"/>
          <w:highlight w:val="none"/>
          <w:u w:val="single"/>
        </w:rPr>
        <w:t>上资质</w:t>
      </w:r>
      <w:r>
        <w:rPr>
          <w:rFonts w:hint="eastAsia" w:ascii="宋体" w:hAnsi="宋体" w:cs="宋体"/>
          <w:color w:val="auto"/>
          <w:kern w:val="0"/>
          <w:sz w:val="24"/>
          <w:szCs w:val="24"/>
          <w:highlight w:val="none"/>
        </w:rPr>
        <w:t>；</w:t>
      </w:r>
    </w:p>
    <w:p w14:paraId="4EF7C590">
      <w:pPr>
        <w:pStyle w:val="51"/>
        <w:adjustRightInd w:val="0"/>
        <w:snapToGrid w:val="0"/>
        <w:spacing w:line="360" w:lineRule="auto"/>
        <w:ind w:firstLine="539"/>
        <w:rPr>
          <w:rFonts w:ascii="宋体" w:hAnsi="宋体" w:eastAsia="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olor w:val="auto"/>
          <w:sz w:val="24"/>
          <w:szCs w:val="24"/>
          <w:highlight w:val="none"/>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Pr>
          <w:rFonts w:hint="eastAsia" w:ascii="宋体" w:hAnsi="宋体" w:eastAsia="宋体" w:cs="宋体"/>
          <w:color w:val="auto"/>
          <w:sz w:val="24"/>
          <w:szCs w:val="24"/>
          <w:highlight w:val="none"/>
        </w:rPr>
        <w:t>的要求设置。</w:t>
      </w:r>
    </w:p>
    <w:p w14:paraId="12630E24">
      <w:pPr>
        <w:pStyle w:val="51"/>
        <w:adjustRightInd w:val="0"/>
        <w:snapToGrid w:val="0"/>
        <w:spacing w:line="360" w:lineRule="auto"/>
        <w:ind w:firstLine="539"/>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投标人还应当符合</w:t>
      </w:r>
      <w:r>
        <w:rPr>
          <w:rFonts w:hint="eastAsia" w:ascii="宋体" w:hAnsi="宋体" w:eastAsia="宋体"/>
          <w:color w:val="auto"/>
          <w:sz w:val="24"/>
          <w:szCs w:val="24"/>
          <w:highlight w:val="none"/>
        </w:rPr>
        <w:t>《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w:t>
      </w:r>
      <w:r>
        <w:rPr>
          <w:rFonts w:hint="eastAsia" w:ascii="宋体" w:hAnsi="宋体" w:eastAsia="宋体" w:cs="宋体"/>
          <w:color w:val="auto"/>
          <w:sz w:val="24"/>
          <w:szCs w:val="24"/>
          <w:highlight w:val="none"/>
        </w:rPr>
        <w:t>《住房城乡建设部建筑市场监管司关于建设工程企业资质延续有关事项的通知》（建司局函市〔2023〕116号）、《住房城乡建设部办公厅关于做好有关建设工程企业资质证书换领和延续工作的通知》（建办市〔2023〕47号）、《广东省住房和城乡建设厅关于建设工程企业资质延续有关事项的通知》（粤建许函〔2023〕820号）等相关规定。</w:t>
      </w:r>
      <w:r>
        <w:rPr>
          <w:rFonts w:hint="eastAsia" w:ascii="宋体" w:hAnsi="宋体" w:eastAsia="宋体"/>
          <w:b/>
          <w:bCs/>
          <w:color w:val="auto"/>
          <w:sz w:val="24"/>
          <w:szCs w:val="24"/>
          <w:highlight w:val="none"/>
          <w:u w:val="single"/>
        </w:rPr>
        <w:t>地方各级住房和城乡建设主管部门核发的建设工程企业资质证书延续有关政策按各省级住房和城乡建设主管部门规定执行。</w:t>
      </w:r>
    </w:p>
    <w:p w14:paraId="7D2232F9">
      <w:pPr>
        <w:pStyle w:val="51"/>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6、投标人拟担任本工程：</w:t>
      </w:r>
    </w:p>
    <w:p w14:paraId="240A67A1">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6.1拟派项目负责人（兼施工负责人，联合体投标的，由联合体主办方提供）要求：</w:t>
      </w:r>
      <w:r>
        <w:rPr>
          <w:rFonts w:hint="eastAsia" w:ascii="宋体" w:hAnsi="宋体" w:cs="宋体"/>
          <w:color w:val="auto"/>
          <w:sz w:val="24"/>
          <w:szCs w:val="24"/>
          <w:highlight w:val="none"/>
          <w:u w:val="single"/>
        </w:rPr>
        <w:t>建筑工程专业</w:t>
      </w:r>
      <w:r>
        <w:rPr>
          <w:rFonts w:hint="eastAsia" w:ascii="宋体" w:hAnsi="宋体" w:cs="宋体"/>
          <w:color w:val="auto"/>
          <w:sz w:val="24"/>
          <w:szCs w:val="24"/>
          <w:highlight w:val="none"/>
          <w:u w:val="single"/>
          <w:lang w:val="en-US" w:eastAsia="zh-CN"/>
        </w:rPr>
        <w:t>二</w:t>
      </w:r>
      <w:r>
        <w:rPr>
          <w:rFonts w:hint="eastAsia" w:ascii="宋体" w:hAnsi="宋体" w:cs="宋体"/>
          <w:color w:val="auto"/>
          <w:sz w:val="24"/>
          <w:szCs w:val="24"/>
          <w:highlight w:val="none"/>
          <w:u w:val="single"/>
        </w:rPr>
        <w:t>级</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或以上</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注册建造师，且持有有效的安全生产考核合格证（B类）或建筑施工企业项目负责人安全生产考核合格证书；投标登记时对投标人该项目负责人进行锁定；拟投入人员应为本单位正式员工。</w:t>
      </w:r>
    </w:p>
    <w:p w14:paraId="3E3657FE">
      <w:pPr>
        <w:pStyle w:val="51"/>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6.2设计负责人（</w:t>
      </w:r>
      <w:r>
        <w:rPr>
          <w:rFonts w:hint="eastAsia" w:ascii="宋体" w:hAnsi="宋体" w:eastAsia="宋体" w:cs="宋体"/>
          <w:color w:val="auto"/>
          <w:sz w:val="24"/>
          <w:szCs w:val="24"/>
          <w:highlight w:val="none"/>
          <w:u w:val="single"/>
        </w:rPr>
        <w:t>联合体投标的，由联合体设计方提供</w:t>
      </w:r>
      <w:r>
        <w:rPr>
          <w:rFonts w:hint="eastAsia" w:ascii="宋体" w:hAnsi="宋体" w:eastAsia="宋体" w:cs="宋体"/>
          <w:color w:val="auto"/>
          <w:sz w:val="24"/>
          <w:szCs w:val="24"/>
          <w:highlight w:val="none"/>
        </w:rPr>
        <w:t>）的人员为：</w:t>
      </w:r>
      <w:r>
        <w:rPr>
          <w:rFonts w:hint="eastAsia" w:ascii="宋体" w:hAnsi="宋体" w:eastAsia="宋体" w:cs="宋体"/>
          <w:color w:val="auto"/>
          <w:sz w:val="24"/>
          <w:szCs w:val="24"/>
          <w:highlight w:val="none"/>
          <w:u w:val="single"/>
          <w:shd w:val="clear" w:color="auto" w:fill="FFFFFF"/>
          <w:lang w:val="en-US" w:eastAsia="zh-CN"/>
        </w:rPr>
        <w:t>一级注册建筑师或备案的业务范围相当于一级注册建筑师的香港专业人士</w:t>
      </w:r>
      <w:r>
        <w:rPr>
          <w:rFonts w:hint="eastAsia" w:ascii="宋体" w:hAnsi="宋体" w:eastAsia="宋体" w:cs="宋体"/>
          <w:color w:val="auto"/>
          <w:sz w:val="24"/>
          <w:szCs w:val="24"/>
          <w:highlight w:val="none"/>
          <w:u w:val="single"/>
        </w:rPr>
        <w:t>；拟投入人员应为本单位正式员工</w:t>
      </w:r>
      <w:r>
        <w:rPr>
          <w:rFonts w:hint="eastAsia" w:ascii="宋体" w:hAnsi="宋体" w:eastAsia="宋体" w:cs="宋体"/>
          <w:color w:val="auto"/>
          <w:sz w:val="24"/>
          <w:szCs w:val="24"/>
          <w:highlight w:val="none"/>
        </w:rPr>
        <w:t>。</w:t>
      </w:r>
    </w:p>
    <w:p w14:paraId="45DA7035">
      <w:pPr>
        <w:pStyle w:val="51"/>
        <w:spacing w:line="360" w:lineRule="auto"/>
        <w:ind w:firstLine="480" w:firstLineChars="200"/>
        <w:rPr>
          <w:rFonts w:ascii="宋体" w:eastAsia="宋体" w:cs="宋体"/>
          <w:color w:val="auto"/>
          <w:sz w:val="24"/>
          <w:szCs w:val="24"/>
          <w:highlight w:val="none"/>
        </w:rPr>
      </w:pPr>
      <w:r>
        <w:rPr>
          <w:rFonts w:hint="eastAsia" w:ascii="宋体" w:hAnsi="宋体" w:eastAsia="宋体" w:cs="宋体"/>
          <w:color w:val="auto"/>
          <w:sz w:val="24"/>
          <w:szCs w:val="24"/>
          <w:highlight w:val="none"/>
        </w:rPr>
        <w:t>设计单位为香港企业独立参加投标的，香港专业人士</w:t>
      </w:r>
      <w:r>
        <w:rPr>
          <w:rFonts w:hint="eastAsia" w:ascii="宋体" w:eastAsia="宋体" w:cs="宋体"/>
          <w:color w:val="auto"/>
          <w:sz w:val="24"/>
          <w:szCs w:val="24"/>
          <w:highlight w:val="none"/>
        </w:rPr>
        <w:t>须提供香港建筑师注册管理局注册的建筑师证书扫描件并提供在广东省住房和城乡建设主管部门备案证明扫描件。</w:t>
      </w:r>
    </w:p>
    <w:p w14:paraId="680F7F49">
      <w:pPr>
        <w:pStyle w:val="51"/>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6.3投标人拟担任本工程技术负责人</w:t>
      </w:r>
      <w:r>
        <w:rPr>
          <w:rFonts w:hint="eastAsia" w:ascii="宋体" w:hAnsi="宋体" w:eastAsia="宋体" w:cs="宋体"/>
          <w:color w:val="auto"/>
          <w:sz w:val="24"/>
          <w:szCs w:val="24"/>
          <w:highlight w:val="none"/>
          <w:u w:val="single"/>
        </w:rPr>
        <w:t>（联合体投标的，由联合体主办方提供）</w:t>
      </w:r>
      <w:r>
        <w:rPr>
          <w:rFonts w:hint="eastAsia" w:ascii="宋体" w:hAnsi="宋体" w:eastAsia="宋体" w:cs="宋体"/>
          <w:color w:val="auto"/>
          <w:sz w:val="24"/>
          <w:szCs w:val="24"/>
          <w:highlight w:val="none"/>
        </w:rPr>
        <w:t>的资格要求为：</w:t>
      </w:r>
      <w:r>
        <w:rPr>
          <w:rFonts w:hint="eastAsia" w:ascii="宋体" w:hAnsi="宋体" w:eastAsia="宋体" w:cs="宋体"/>
          <w:color w:val="auto"/>
          <w:sz w:val="24"/>
          <w:szCs w:val="24"/>
          <w:highlight w:val="none"/>
          <w:u w:val="single"/>
        </w:rPr>
        <w:t>建筑工程相关专业</w:t>
      </w:r>
      <w:r>
        <w:rPr>
          <w:rFonts w:hint="eastAsia" w:ascii="宋体" w:hAnsi="宋体" w:eastAsia="宋体" w:cs="宋体"/>
          <w:color w:val="auto"/>
          <w:sz w:val="24"/>
          <w:szCs w:val="24"/>
          <w:highlight w:val="none"/>
          <w:u w:val="single"/>
          <w:lang w:val="en-US" w:eastAsia="zh-CN"/>
        </w:rPr>
        <w:t>中</w:t>
      </w:r>
      <w:r>
        <w:rPr>
          <w:rFonts w:hint="eastAsia" w:ascii="宋体" w:hAnsi="宋体" w:eastAsia="宋体" w:cs="宋体"/>
          <w:color w:val="auto"/>
          <w:sz w:val="24"/>
          <w:szCs w:val="24"/>
          <w:highlight w:val="none"/>
          <w:u w:val="single"/>
        </w:rPr>
        <w:t>级或以上技术职称。拟投入人员应为本单位正式员工</w:t>
      </w:r>
      <w:r>
        <w:rPr>
          <w:rFonts w:hint="eastAsia" w:ascii="宋体" w:hAnsi="宋体" w:eastAsia="宋体" w:cs="宋体"/>
          <w:color w:val="auto"/>
          <w:sz w:val="24"/>
          <w:szCs w:val="24"/>
          <w:highlight w:val="none"/>
        </w:rPr>
        <w:t>。</w:t>
      </w:r>
    </w:p>
    <w:p w14:paraId="35931226">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注：①</w:t>
      </w:r>
      <w:r>
        <w:rPr>
          <w:rFonts w:hint="eastAsia" w:ascii="宋体" w:hAnsi="宋体" w:cs="宋体"/>
          <w:color w:val="auto"/>
          <w:kern w:val="0"/>
          <w:sz w:val="24"/>
          <w:szCs w:val="24"/>
          <w:highlight w:val="none"/>
          <w:u w:val="single"/>
        </w:rPr>
        <w:t>项目负责人在任职期间不得担任专职安全员，项目专职安全员在任职期间也不得担任项目负责人。</w:t>
      </w:r>
      <w:r>
        <w:rPr>
          <w:rFonts w:hint="eastAsia" w:ascii="宋体" w:hAnsi="宋体" w:cs="宋体"/>
          <w:color w:val="auto"/>
          <w:sz w:val="24"/>
          <w:szCs w:val="24"/>
          <w:highlight w:val="none"/>
          <w:u w:val="single"/>
        </w:rPr>
        <w:t>项目负责人（兼施工负责人）、设计负责人、技术负责人及专职</w:t>
      </w:r>
      <w:r>
        <w:rPr>
          <w:rFonts w:hint="eastAsia" w:ascii="宋体" w:hAnsi="宋体" w:cs="宋体"/>
          <w:color w:val="auto"/>
          <w:sz w:val="24"/>
          <w:szCs w:val="24"/>
          <w:highlight w:val="none"/>
          <w:u w:val="single"/>
        </w:rPr>
        <w:t>安全员不能为同一人</w:t>
      </w:r>
      <w:r>
        <w:rPr>
          <w:rFonts w:hint="eastAsia" w:ascii="宋体" w:hAnsi="宋体" w:cs="宋体"/>
          <w:color w:val="auto"/>
          <w:kern w:val="0"/>
          <w:sz w:val="24"/>
          <w:szCs w:val="24"/>
          <w:highlight w:val="none"/>
          <w:u w:val="single"/>
        </w:rPr>
        <w:t>。</w:t>
      </w:r>
    </w:p>
    <w:p w14:paraId="662C1498">
      <w:pPr>
        <w:adjustRightInd w:val="0"/>
        <w:snapToGrid w:val="0"/>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②香港专业人士备案的业务范围依据《广东省住房和城乡建设厅关于印发香港工程建设咨询企业和专业人士在粤港澳大湾区内地城市开业执业试点管理暂行办法的通知》（粤建规范〔2020〕1号）确定。</w:t>
      </w:r>
    </w:p>
    <w:p w14:paraId="441EEE6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③根据《住房和城乡建设部办公厅关于全面实行一级建造师电子注册证书的通知》（建办市〔2021〕40号），自2022年1月1日起，一级建造师统一使用电子证书，纸质证书作废，具体操作流程可查阅《住房和城乡建设部一级建造师电子证照申领和使用手册》。</w:t>
      </w:r>
    </w:p>
    <w:p w14:paraId="2AC52CFC">
      <w:pPr>
        <w:pStyle w:val="51"/>
        <w:spacing w:line="360" w:lineRule="auto"/>
        <w:ind w:firstLine="480" w:firstLineChars="200"/>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695B9663">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7、</w:t>
      </w:r>
      <w:r>
        <w:rPr>
          <w:rFonts w:hint="eastAsia" w:ascii="宋体" w:hAnsi="宋体" w:cs="宋体"/>
          <w:color w:val="auto"/>
          <w:sz w:val="24"/>
          <w:szCs w:val="24"/>
          <w:highlight w:val="none"/>
        </w:rPr>
        <w:t>专职安全人员</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u w:val="single"/>
        </w:rPr>
        <w:t>联合体投标的，由联合体主办方提供</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须持有在有效期内的安全生产考核合格证书（C类）或建筑施工企业专职安全生产管理人员安全生产考核合格证书（C3）。</w:t>
      </w:r>
    </w:p>
    <w:p w14:paraId="79A541CE">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根据《建筑施工企业主要负责人、项目负责人和专职安全生产管理人员安全生产管理规定》（住房和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w:t>
      </w:r>
    </w:p>
    <w:p w14:paraId="53DA86F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8、投标人已按照招标公告附件一的内容签署盖章的投标人声明。</w:t>
      </w:r>
    </w:p>
    <w:p w14:paraId="01790A81">
      <w:pPr>
        <w:spacing w:line="360" w:lineRule="auto"/>
        <w:ind w:firstLine="480" w:firstLineChars="200"/>
        <w:outlineLvl w:val="0"/>
        <w:rPr>
          <w:rFonts w:ascii="宋体" w:hAnsi="宋体" w:cs="宋体"/>
          <w:color w:val="auto"/>
          <w:sz w:val="24"/>
          <w:szCs w:val="24"/>
          <w:highlight w:val="none"/>
        </w:rPr>
      </w:pPr>
      <w:bookmarkStart w:id="8" w:name="_Toc245023997"/>
      <w:bookmarkStart w:id="9" w:name="_Toc266881397"/>
      <w:bookmarkStart w:id="10" w:name="_Toc249846223"/>
      <w:bookmarkStart w:id="11" w:name="_Toc249845968"/>
      <w:bookmarkStart w:id="12" w:name="_Toc266093545"/>
      <w:bookmarkStart w:id="13" w:name="_Toc253143216"/>
      <w:r>
        <w:rPr>
          <w:rFonts w:hint="eastAsia" w:ascii="宋体" w:hAnsi="宋体" w:cs="宋体"/>
          <w:color w:val="auto"/>
          <w:sz w:val="24"/>
          <w:szCs w:val="24"/>
          <w:highlight w:val="none"/>
        </w:rPr>
        <w:t>9、关于联合体投标：</w:t>
      </w:r>
      <w:bookmarkEnd w:id="8"/>
      <w:bookmarkEnd w:id="9"/>
      <w:bookmarkEnd w:id="10"/>
      <w:bookmarkEnd w:id="11"/>
      <w:bookmarkEnd w:id="12"/>
      <w:bookmarkEnd w:id="13"/>
    </w:p>
    <w:p w14:paraId="1B9496A3">
      <w:pPr>
        <w:shd w:val="clear" w:color="auto" w:fill="FFFFFF"/>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9.1允许联合体投标，应以承担施工任务的一方为主办方，并签订联合体共同投标协议书。联合体共同投标协议书应明确约定各方拟承担的工作和责任。（注：组成联合体承接按资质标准划分为同一类工程的投标人，在资格审查环节，其资质按联合体成员中最低者确定。）</w:t>
      </w:r>
    </w:p>
    <w:p w14:paraId="2E639F4B">
      <w:pP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rPr>
        <w:t>9.2</w:t>
      </w:r>
      <w:r>
        <w:rPr>
          <w:rFonts w:hint="eastAsia" w:ascii="宋体" w:hAnsi="宋体" w:cs="宋体"/>
          <w:color w:val="auto"/>
          <w:sz w:val="24"/>
          <w:szCs w:val="24"/>
          <w:highlight w:val="none"/>
          <w:u w:val="single"/>
        </w:rPr>
        <w:t>投标人拟任本工程的项目负责人（兼施工负责人）、设计负责人、技术负责人、专职安全人员</w:t>
      </w:r>
      <w:r>
        <w:rPr>
          <w:rFonts w:hint="eastAsia" w:ascii="宋体" w:hAnsi="宋体" w:cs="宋体"/>
          <w:color w:val="auto"/>
          <w:kern w:val="0"/>
          <w:sz w:val="24"/>
          <w:szCs w:val="24"/>
          <w:highlight w:val="none"/>
          <w:u w:val="single"/>
        </w:rPr>
        <w:t>必须是联合体中对应分工成员的正式员工。</w:t>
      </w:r>
      <w:r>
        <w:rPr>
          <w:rFonts w:hint="eastAsia" w:ascii="宋体" w:hAnsi="宋体" w:cs="宋体"/>
          <w:color w:val="auto"/>
          <w:sz w:val="24"/>
          <w:szCs w:val="24"/>
          <w:highlight w:val="none"/>
          <w:u w:val="single"/>
        </w:rPr>
        <w:t>以上人员不得重复兼任。</w:t>
      </w:r>
    </w:p>
    <w:p w14:paraId="3EE2C871">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9.3联合体的资格条件按联合体任务分工进行评审（</w:t>
      </w:r>
      <w:r>
        <w:rPr>
          <w:rFonts w:hint="eastAsia" w:ascii="宋体" w:hAnsi="宋体" w:cs="宋体"/>
          <w:color w:val="auto"/>
          <w:sz w:val="24"/>
          <w:szCs w:val="24"/>
          <w:highlight w:val="none"/>
          <w:u w:val="single"/>
        </w:rPr>
        <w:t>其中工程施工资质、安全生产许可证、项目负责人（兼施工负责人）、技术负责人、专职安全人员以承接施工任务的主办方为准；工程设计资质及设计负责人以承接设计任务的成员单位为准）。</w:t>
      </w:r>
    </w:p>
    <w:p w14:paraId="1D305E1F">
      <w:pPr>
        <w:spacing w:line="360" w:lineRule="auto"/>
        <w:ind w:firstLine="480" w:firstLineChars="200"/>
        <w:outlineLvl w:val="0"/>
        <w:rPr>
          <w:rFonts w:ascii="宋体" w:hAnsi="宋体" w:cs="宋体"/>
          <w:color w:val="auto"/>
          <w:sz w:val="24"/>
          <w:szCs w:val="24"/>
          <w:highlight w:val="none"/>
        </w:rPr>
      </w:pPr>
      <w:r>
        <w:rPr>
          <w:rFonts w:hint="eastAsia" w:ascii="宋体" w:hAnsi="宋体" w:cs="宋体"/>
          <w:color w:val="auto"/>
          <w:sz w:val="24"/>
          <w:szCs w:val="24"/>
          <w:highlight w:val="none"/>
        </w:rPr>
        <w:t>9.4联合体各方不得再以自己名义单独或加入其他联合体参加本项目的投标。</w:t>
      </w:r>
    </w:p>
    <w:p w14:paraId="63979CEF">
      <w:pPr>
        <w:wordWrap w:val="0"/>
        <w:spacing w:line="360" w:lineRule="auto"/>
        <w:ind w:firstLine="480" w:firstLineChars="200"/>
        <w:outlineLvl w:val="0"/>
        <w:rPr>
          <w:rFonts w:ascii="宋体" w:hAnsi="宋体" w:cs="宋体"/>
          <w:color w:val="auto"/>
          <w:sz w:val="24"/>
          <w:szCs w:val="24"/>
          <w:highlight w:val="none"/>
          <w:u w:val="single"/>
        </w:rPr>
      </w:pPr>
      <w:r>
        <w:rPr>
          <w:rFonts w:hint="eastAsia" w:ascii="宋体" w:hAnsi="宋体" w:cs="宋体"/>
          <w:color w:val="auto"/>
          <w:sz w:val="24"/>
          <w:szCs w:val="24"/>
          <w:highlight w:val="none"/>
        </w:rPr>
        <w:t>10、</w:t>
      </w:r>
      <w:bookmarkStart w:id="14" w:name="_Toc266093546"/>
      <w:bookmarkStart w:id="15" w:name="_Toc249845969"/>
      <w:bookmarkStart w:id="16" w:name="_Toc253143217"/>
      <w:bookmarkStart w:id="17" w:name="_Toc266881398"/>
      <w:bookmarkStart w:id="18" w:name="_Toc245023998"/>
      <w:bookmarkStart w:id="19" w:name="_Toc249846224"/>
      <w:r>
        <w:rPr>
          <w:rFonts w:hint="eastAsia" w:ascii="宋体" w:hAnsi="宋体" w:cs="宋体"/>
          <w:color w:val="auto"/>
          <w:sz w:val="24"/>
          <w:szCs w:val="24"/>
          <w:highlight w:val="none"/>
          <w:u w:val="single"/>
        </w:rPr>
        <w:t>资格审查前，投标人（联合体投标的，指联合体各方）须在广州市住建行业信用管理平台建立企业信用档案，拟担任本工程项目负责人（兼施工负责人）、设计负责人、专职安全人员须是本企业信用档案中的在册人员。企业</w:t>
      </w:r>
      <w:r>
        <w:rPr>
          <w:rFonts w:hint="eastAsia" w:ascii="宋体" w:hAnsi="宋体"/>
          <w:color w:val="auto"/>
          <w:sz w:val="24"/>
          <w:szCs w:val="24"/>
          <w:highlight w:val="none"/>
          <w:u w:val="single"/>
        </w:rPr>
        <w:t>信用档案</w:t>
      </w:r>
      <w:r>
        <w:rPr>
          <w:rFonts w:hint="eastAsia" w:ascii="宋体" w:hAnsi="宋体" w:cs="宋体"/>
          <w:color w:val="auto"/>
          <w:sz w:val="24"/>
          <w:szCs w:val="24"/>
          <w:highlight w:val="none"/>
          <w:u w:val="single"/>
        </w:rPr>
        <w:t>取自投标截止时间投标人在</w:t>
      </w:r>
      <w:r>
        <w:rPr>
          <w:rFonts w:hint="eastAsia" w:ascii="宋体" w:hAnsi="宋体"/>
          <w:color w:val="auto"/>
          <w:sz w:val="24"/>
          <w:szCs w:val="24"/>
          <w:highlight w:val="none"/>
          <w:u w:val="single"/>
        </w:rPr>
        <w:t>信用管理平台</w:t>
      </w:r>
      <w:r>
        <w:rPr>
          <w:rFonts w:hint="eastAsia" w:ascii="宋体" w:hAnsi="宋体" w:cs="宋体"/>
          <w:color w:val="auto"/>
          <w:sz w:val="24"/>
          <w:szCs w:val="24"/>
          <w:highlight w:val="none"/>
          <w:u w:val="single"/>
        </w:rPr>
        <w:t>内的信息，投标人无需提交相关资料，若招标人延长递交投标文件截止时间的，</w:t>
      </w:r>
      <w:r>
        <w:rPr>
          <w:rFonts w:hint="eastAsia" w:ascii="宋体" w:hAnsi="宋体"/>
          <w:color w:val="auto"/>
          <w:sz w:val="24"/>
          <w:szCs w:val="24"/>
          <w:highlight w:val="none"/>
          <w:u w:val="single"/>
        </w:rPr>
        <w:t>信用档案</w:t>
      </w:r>
      <w:r>
        <w:rPr>
          <w:rFonts w:hint="eastAsia" w:ascii="宋体" w:hAnsi="宋体" w:cs="宋体"/>
          <w:color w:val="auto"/>
          <w:sz w:val="24"/>
          <w:szCs w:val="24"/>
          <w:highlight w:val="none"/>
          <w:u w:val="single"/>
        </w:rPr>
        <w:t>信息的评审时点也相应延长。信用档案办理详见《广州市住房和城乡建设局关于正式启用广州市住建行业信用管理平台的通知》http://zfcj.gz.gov.cn/zjyw/xyjs/content/mpost_8041415.html）</w:t>
      </w:r>
    </w:p>
    <w:p w14:paraId="4A6C5637">
      <w:pPr>
        <w:spacing w:line="360" w:lineRule="auto"/>
        <w:ind w:firstLine="480" w:firstLineChars="200"/>
        <w:outlineLvl w:val="0"/>
        <w:rPr>
          <w:rFonts w:ascii="宋体" w:hAnsi="宋体" w:cs="宋体"/>
          <w:color w:val="auto"/>
          <w:sz w:val="24"/>
          <w:szCs w:val="24"/>
          <w:highlight w:val="none"/>
        </w:rPr>
      </w:pPr>
      <w:r>
        <w:rPr>
          <w:rFonts w:hint="eastAsia" w:ascii="宋体" w:hAnsi="宋体" w:cs="宋体"/>
          <w:color w:val="auto"/>
          <w:sz w:val="24"/>
          <w:szCs w:val="24"/>
          <w:highlight w:val="none"/>
        </w:rPr>
        <w:t>11、投标人（</w:t>
      </w:r>
      <w:r>
        <w:rPr>
          <w:rFonts w:hint="eastAsia" w:ascii="宋体" w:hAnsi="宋体" w:cs="宋体"/>
          <w:color w:val="auto"/>
          <w:sz w:val="24"/>
          <w:szCs w:val="24"/>
          <w:highlight w:val="none"/>
          <w:u w:val="single"/>
        </w:rPr>
        <w:t>联合体投标的，指联合体各方</w:t>
      </w:r>
      <w:r>
        <w:rPr>
          <w:rFonts w:hint="eastAsia" w:ascii="宋体" w:hAnsi="宋体" w:cs="宋体"/>
          <w:color w:val="auto"/>
          <w:sz w:val="24"/>
          <w:szCs w:val="24"/>
          <w:highlight w:val="none"/>
        </w:rPr>
        <w:t>）未出现以下情形：与其它投标人（</w:t>
      </w:r>
      <w:r>
        <w:rPr>
          <w:rFonts w:hint="eastAsia" w:ascii="宋体" w:hAnsi="宋体" w:cs="宋体"/>
          <w:color w:val="auto"/>
          <w:sz w:val="24"/>
          <w:szCs w:val="24"/>
          <w:highlight w:val="none"/>
          <w:u w:val="single"/>
        </w:rPr>
        <w:t>联合体投标的，指联合体各方</w:t>
      </w:r>
      <w:r>
        <w:rPr>
          <w:rFonts w:hint="eastAsia" w:ascii="宋体" w:hAnsi="宋体" w:cs="宋体"/>
          <w:color w:val="auto"/>
          <w:sz w:val="24"/>
          <w:szCs w:val="24"/>
          <w:highlight w:val="none"/>
        </w:rPr>
        <w:t>）的单位负责人为同一人或者存在控股、管理关系的（按投标人提供的《投标人声明》相应的内容进行评审）。如不同投标人（</w:t>
      </w:r>
      <w:r>
        <w:rPr>
          <w:rFonts w:hint="eastAsia" w:ascii="宋体" w:hAnsi="宋体" w:cs="宋体"/>
          <w:color w:val="auto"/>
          <w:sz w:val="24"/>
          <w:szCs w:val="24"/>
          <w:highlight w:val="none"/>
          <w:u w:val="single"/>
        </w:rPr>
        <w:t>联合体投标的，指联合体各方</w:t>
      </w:r>
      <w:r>
        <w:rPr>
          <w:rFonts w:hint="eastAsia" w:ascii="宋体" w:hAnsi="宋体" w:cs="宋体"/>
          <w:color w:val="auto"/>
          <w:sz w:val="24"/>
          <w:szCs w:val="24"/>
          <w:highlight w:val="none"/>
        </w:rPr>
        <w:t>）出现单位负责人为同一人或者存在控股、管理关系的情形，则不得参加同一招标项目投标，否则均视其不符合投标人合格条件予以处理（联合体内各成员之间不受本条限制）。</w:t>
      </w:r>
    </w:p>
    <w:p w14:paraId="39344A35">
      <w:pPr>
        <w:wordWrap w:val="0"/>
        <w:spacing w:line="360" w:lineRule="auto"/>
        <w:ind w:firstLine="537" w:firstLineChars="224"/>
        <w:rPr>
          <w:rFonts w:ascii="宋体" w:hAnsi="宋体"/>
          <w:color w:val="auto"/>
          <w:sz w:val="24"/>
          <w:szCs w:val="24"/>
          <w:highlight w:val="none"/>
        </w:rPr>
      </w:pPr>
      <w:r>
        <w:rPr>
          <w:rFonts w:hint="eastAsia" w:ascii="宋体" w:hAnsi="宋体"/>
          <w:color w:val="auto"/>
          <w:sz w:val="24"/>
          <w:szCs w:val="24"/>
          <w:highlight w:val="none"/>
        </w:rPr>
        <w:t>12、</w:t>
      </w: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联合体投标的，指联合体各方</w:t>
      </w:r>
      <w:r>
        <w:rPr>
          <w:rFonts w:hint="eastAsia" w:ascii="宋体" w:hAnsi="宋体" w:cs="宋体"/>
          <w:color w:val="auto"/>
          <w:sz w:val="24"/>
          <w:szCs w:val="24"/>
          <w:highlight w:val="none"/>
        </w:rPr>
        <w:t>）</w:t>
      </w:r>
      <w:r>
        <w:rPr>
          <w:rFonts w:hint="eastAsia" w:ascii="宋体" w:hAnsi="宋体" w:cs="宋体"/>
          <w:color w:val="auto"/>
          <w:kern w:val="0"/>
          <w:sz w:val="24"/>
          <w:highlight w:val="none"/>
        </w:rPr>
        <w:t>未被列入拖欠农民工工资失信联合惩戒对象名单</w:t>
      </w:r>
      <w:r>
        <w:rPr>
          <w:rFonts w:hint="eastAsia" w:ascii="宋体" w:hAnsi="宋体" w:cs="宋体"/>
          <w:color w:val="auto"/>
          <w:sz w:val="24"/>
          <w:highlight w:val="none"/>
        </w:rPr>
        <w:t>。</w:t>
      </w:r>
    </w:p>
    <w:p w14:paraId="260F9F02">
      <w:pPr>
        <w:pStyle w:val="22"/>
        <w:tabs>
          <w:tab w:val="left" w:pos="73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注：未在招标公告第九条单列的资审合格条件，不作为资审不合格的依据。</w:t>
      </w:r>
    </w:p>
    <w:p w14:paraId="4053DBB4">
      <w:pPr>
        <w:spacing w:line="360" w:lineRule="auto"/>
        <w:ind w:firstLine="480" w:firstLineChars="200"/>
        <w:rPr>
          <w:rFonts w:ascii="宋体" w:hAnsi="宋体" w:cs="宋体"/>
          <w:strike w:val="0"/>
          <w:dstrike w:val="0"/>
          <w:color w:val="auto"/>
          <w:kern w:val="0"/>
          <w:sz w:val="24"/>
          <w:szCs w:val="24"/>
          <w:highlight w:val="none"/>
        </w:rPr>
      </w:pPr>
      <w:r>
        <w:rPr>
          <w:rFonts w:hint="eastAsia" w:ascii="宋体" w:hAnsi="宋体" w:cs="宋体"/>
          <w:strike w:val="0"/>
          <w:dstrike w:val="0"/>
          <w:color w:val="auto"/>
          <w:sz w:val="24"/>
          <w:szCs w:val="24"/>
          <w:highlight w:val="none"/>
        </w:rPr>
        <w:t>十、</w:t>
      </w:r>
      <w:bookmarkEnd w:id="14"/>
      <w:bookmarkEnd w:id="15"/>
      <w:bookmarkEnd w:id="16"/>
      <w:bookmarkEnd w:id="17"/>
      <w:bookmarkEnd w:id="18"/>
      <w:bookmarkEnd w:id="19"/>
      <w:r>
        <w:rPr>
          <w:rFonts w:hint="eastAsia" w:ascii="宋体" w:hAnsi="宋体" w:cs="宋体"/>
          <w:strike w:val="0"/>
          <w:dstrike w:val="0"/>
          <w:color w:val="auto"/>
          <w:sz w:val="24"/>
          <w:szCs w:val="24"/>
          <w:highlight w:val="none"/>
          <w:shd w:val="clear" w:color="auto" w:fill="FFFFFF"/>
        </w:rPr>
        <w:t>资格审查方式：本项目采用资格后审，由评标委员会负责对投标人的资格进行审查，</w:t>
      </w:r>
      <w:r>
        <w:rPr>
          <w:rFonts w:hint="eastAsia" w:ascii="宋体" w:hAnsi="宋体" w:cs="宋体"/>
          <w:strike w:val="0"/>
          <w:dstrike w:val="0"/>
          <w:color w:val="auto"/>
          <w:sz w:val="24"/>
          <w:szCs w:val="24"/>
          <w:highlight w:val="none"/>
        </w:rPr>
        <w:t>评标时只对通过资格审查的投标人进行下一阶段的评审。</w:t>
      </w:r>
      <w:r>
        <w:rPr>
          <w:rFonts w:hint="eastAsia" w:ascii="宋体" w:hAnsi="宋体" w:cs="宋体"/>
          <w:strike w:val="0"/>
          <w:dstrike w:val="0"/>
          <w:color w:val="auto"/>
          <w:sz w:val="24"/>
          <w:szCs w:val="24"/>
          <w:highlight w:val="none"/>
          <w:shd w:val="clear" w:color="auto" w:fill="FFFFFF"/>
        </w:rPr>
        <w:t>满足资格审查合格条件的投标人不足</w:t>
      </w:r>
      <w:r>
        <w:rPr>
          <w:rFonts w:hint="eastAsia" w:ascii="宋体" w:hAnsi="宋体" w:cs="宋体"/>
          <w:strike w:val="0"/>
          <w:dstrike w:val="0"/>
          <w:color w:val="auto"/>
          <w:sz w:val="24"/>
          <w:szCs w:val="24"/>
          <w:highlight w:val="none"/>
        </w:rPr>
        <w:t>3名或经评审通过有效性审查的投标人少于3人时为招标失败。招标人分析招标失败原因，修正招标方案，报有关管理部门核准后，重新组织招标。</w:t>
      </w:r>
    </w:p>
    <w:p w14:paraId="12A71DEC">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十</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、招标控制价。</w:t>
      </w:r>
    </w:p>
    <w:p w14:paraId="18B34E84">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1、本项目招标控制价(最高投标限价)为:人民币</w:t>
      </w:r>
      <w:r>
        <w:rPr>
          <w:rFonts w:hint="eastAsia" w:ascii="宋体" w:hAnsi="宋体" w:cs="宋体"/>
          <w:color w:val="auto"/>
          <w:sz w:val="24"/>
          <w:szCs w:val="24"/>
          <w:highlight w:val="none"/>
          <w:lang w:val="en-US" w:eastAsia="zh-CN"/>
        </w:rPr>
        <w:t>4081.4311万</w:t>
      </w:r>
      <w:r>
        <w:rPr>
          <w:rFonts w:hint="eastAsia" w:ascii="宋体" w:hAnsi="宋体" w:cs="宋体"/>
          <w:color w:val="auto"/>
          <w:sz w:val="24"/>
          <w:szCs w:val="24"/>
          <w:highlight w:val="none"/>
        </w:rPr>
        <w:t>元，其中:工程设计费（含税）最高投标限价为</w:t>
      </w:r>
      <w:r>
        <w:rPr>
          <w:rFonts w:hint="eastAsia" w:ascii="宋体" w:hAnsi="宋体" w:cs="宋体"/>
          <w:color w:val="auto"/>
          <w:sz w:val="24"/>
          <w:szCs w:val="24"/>
          <w:highlight w:val="none"/>
          <w:lang w:val="en-US" w:eastAsia="zh-CN"/>
        </w:rPr>
        <w:t>93.2960万</w:t>
      </w:r>
      <w:r>
        <w:rPr>
          <w:rFonts w:hint="eastAsia" w:ascii="宋体" w:hAnsi="宋体" w:cs="宋体"/>
          <w:color w:val="auto"/>
          <w:sz w:val="24"/>
          <w:szCs w:val="24"/>
          <w:highlight w:val="none"/>
        </w:rPr>
        <w:t>元，建安工程费（含税）最高投标限价为</w:t>
      </w:r>
      <w:r>
        <w:rPr>
          <w:rFonts w:hint="eastAsia" w:ascii="宋体" w:hAnsi="宋体" w:cs="宋体"/>
          <w:b/>
          <w:bCs/>
          <w:color w:val="auto"/>
          <w:sz w:val="24"/>
          <w:szCs w:val="24"/>
          <w:highlight w:val="none"/>
          <w:lang w:val="en-US" w:eastAsia="zh-CN"/>
        </w:rPr>
        <w:t>3988.1351</w:t>
      </w:r>
      <w:r>
        <w:rPr>
          <w:rFonts w:hint="eastAsia" w:ascii="宋体" w:hAnsi="宋体" w:cs="宋体"/>
          <w:color w:val="auto"/>
          <w:sz w:val="24"/>
          <w:szCs w:val="24"/>
          <w:highlight w:val="none"/>
          <w:lang w:val="en-US" w:eastAsia="zh-CN"/>
        </w:rPr>
        <w:t>万</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eastAsia="zh-CN"/>
        </w:rPr>
        <w:t>。</w:t>
      </w:r>
    </w:p>
    <w:p w14:paraId="22B95FD8">
      <w:pPr>
        <w:spacing w:line="360" w:lineRule="auto"/>
        <w:rPr>
          <w:rFonts w:ascii="宋体" w:hAnsi="宋体" w:cs="宋体"/>
          <w:b/>
          <w:bCs/>
          <w:color w:val="auto"/>
          <w:sz w:val="36"/>
          <w:szCs w:val="36"/>
          <w:highlight w:val="none"/>
        </w:rPr>
      </w:pPr>
      <w:r>
        <w:rPr>
          <w:rFonts w:hint="eastAsia" w:ascii="宋体" w:hAnsi="宋体" w:cs="宋体"/>
          <w:b/>
          <w:bCs/>
          <w:color w:val="auto"/>
          <w:sz w:val="28"/>
          <w:szCs w:val="28"/>
          <w:highlight w:val="none"/>
          <w:u w:val="single"/>
          <w:lang w:val="en-US" w:eastAsia="zh-CN"/>
        </w:rPr>
        <w:t>注：</w:t>
      </w:r>
      <w:r>
        <w:rPr>
          <w:rFonts w:hint="eastAsia" w:ascii="宋体" w:hAnsi="宋体" w:cs="宋体"/>
          <w:b/>
          <w:bCs/>
          <w:color w:val="auto"/>
          <w:sz w:val="28"/>
          <w:szCs w:val="28"/>
          <w:highlight w:val="none"/>
          <w:u w:val="single"/>
        </w:rPr>
        <w:t>投标</w:t>
      </w:r>
      <w:r>
        <w:rPr>
          <w:rFonts w:hint="eastAsia" w:ascii="宋体" w:hAnsi="宋体" w:cs="宋体"/>
          <w:b/>
          <w:bCs/>
          <w:color w:val="auto"/>
          <w:sz w:val="28"/>
          <w:szCs w:val="28"/>
          <w:highlight w:val="none"/>
          <w:u w:val="single"/>
          <w:lang w:val="en-US" w:eastAsia="zh-CN"/>
        </w:rPr>
        <w:t>报</w:t>
      </w:r>
      <w:r>
        <w:rPr>
          <w:rFonts w:hint="eastAsia" w:ascii="宋体" w:hAnsi="宋体" w:cs="宋体"/>
          <w:b/>
          <w:bCs/>
          <w:color w:val="auto"/>
          <w:sz w:val="28"/>
          <w:szCs w:val="28"/>
          <w:highlight w:val="none"/>
          <w:u w:val="single"/>
        </w:rPr>
        <w:t>价超过任一</w:t>
      </w:r>
      <w:r>
        <w:rPr>
          <w:rFonts w:hint="eastAsia" w:ascii="宋体" w:hAnsi="宋体" w:cs="宋体"/>
          <w:b/>
          <w:bCs/>
          <w:color w:val="auto"/>
          <w:sz w:val="28"/>
          <w:szCs w:val="28"/>
          <w:highlight w:val="none"/>
          <w:u w:val="single"/>
          <w:lang w:val="en-US" w:eastAsia="zh-CN"/>
        </w:rPr>
        <w:t>对应项的</w:t>
      </w:r>
      <w:r>
        <w:rPr>
          <w:rFonts w:hint="eastAsia" w:ascii="宋体" w:hAnsi="宋体" w:cs="宋体"/>
          <w:b/>
          <w:bCs/>
          <w:color w:val="auto"/>
          <w:sz w:val="28"/>
          <w:szCs w:val="28"/>
          <w:highlight w:val="none"/>
          <w:u w:val="single"/>
        </w:rPr>
        <w:t>最高投标限价的投标文件会导致无效标</w:t>
      </w:r>
      <w:r>
        <w:rPr>
          <w:rFonts w:hint="eastAsia" w:ascii="宋体" w:hAnsi="宋体" w:cs="宋体"/>
          <w:b/>
          <w:bCs/>
          <w:color w:val="auto"/>
          <w:sz w:val="36"/>
          <w:szCs w:val="36"/>
          <w:highlight w:val="none"/>
        </w:rPr>
        <w:t>。</w:t>
      </w:r>
    </w:p>
    <w:p w14:paraId="4A39528D">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本项目实行限额设计，限额投资，工程变更需经过招标人审定后方可实施。</w:t>
      </w:r>
    </w:p>
    <w:p w14:paraId="1420CAD6">
      <w:pPr>
        <w:widowControl/>
        <w:shd w:val="clear" w:color="auto" w:fill="FFFFFF"/>
        <w:tabs>
          <w:tab w:val="left" w:pos="105"/>
        </w:tabs>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sz w:val="24"/>
          <w:highlight w:val="none"/>
        </w:rPr>
        <w:t>投标经济补偿：本项目不设置投标经济补偿</w:t>
      </w:r>
      <w:r>
        <w:rPr>
          <w:rFonts w:hint="eastAsia" w:ascii="宋体" w:hAnsi="宋体" w:cs="宋体"/>
          <w:color w:val="auto"/>
          <w:kern w:val="0"/>
          <w:sz w:val="24"/>
          <w:szCs w:val="24"/>
          <w:highlight w:val="none"/>
        </w:rPr>
        <w:t>。</w:t>
      </w:r>
    </w:p>
    <w:p w14:paraId="49121E87">
      <w:pPr>
        <w:widowControl/>
        <w:shd w:val="clear" w:color="auto" w:fill="FFFFFF"/>
        <w:tabs>
          <w:tab w:val="left" w:pos="105"/>
        </w:tabs>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十</w:t>
      </w:r>
      <w:r>
        <w:rPr>
          <w:rFonts w:hint="eastAsia" w:ascii="宋体" w:hAnsi="宋体" w:cs="宋体"/>
          <w:bCs/>
          <w:color w:val="auto"/>
          <w:kern w:val="0"/>
          <w:sz w:val="24"/>
          <w:szCs w:val="24"/>
          <w:highlight w:val="none"/>
          <w:lang w:val="en-US" w:eastAsia="zh-CN"/>
        </w:rPr>
        <w:t>二</w:t>
      </w:r>
      <w:r>
        <w:rPr>
          <w:rFonts w:hint="eastAsia" w:ascii="宋体" w:hAnsi="宋体" w:cs="宋体"/>
          <w:bCs/>
          <w:color w:val="auto"/>
          <w:kern w:val="0"/>
          <w:sz w:val="24"/>
          <w:szCs w:val="24"/>
          <w:highlight w:val="none"/>
        </w:rPr>
        <w:t>、其他</w:t>
      </w:r>
      <w:r>
        <w:rPr>
          <w:rFonts w:hint="eastAsia" w:ascii="宋体" w:hAnsi="宋体" w:cs="宋体"/>
          <w:color w:val="auto"/>
          <w:kern w:val="0"/>
          <w:sz w:val="24"/>
          <w:szCs w:val="24"/>
          <w:highlight w:val="none"/>
        </w:rPr>
        <w:t>事项</w:t>
      </w:r>
    </w:p>
    <w:p w14:paraId="5729F004">
      <w:pPr>
        <w:pStyle w:val="55"/>
        <w:spacing w:line="360" w:lineRule="auto"/>
        <w:rPr>
          <w:rFonts w:ascii="宋体" w:hAnsi="宋体" w:cs="宋体"/>
          <w:color w:val="auto"/>
          <w:kern w:val="0"/>
          <w:sz w:val="24"/>
          <w:szCs w:val="24"/>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rPr>
        <w:t>、前期服务机构：</w:t>
      </w:r>
      <w:r>
        <w:rPr>
          <w:rFonts w:hint="eastAsia" w:ascii="宋体" w:hAnsi="宋体" w:eastAsia="宋体" w:cs="宋体"/>
          <w:color w:val="auto"/>
          <w:kern w:val="2"/>
          <w:sz w:val="24"/>
          <w:szCs w:val="22"/>
          <w:highlight w:val="none"/>
          <w:lang w:val="en-US" w:eastAsia="zh-CN" w:bidi="ar-SA"/>
        </w:rPr>
        <w:t>中裕工程集团</w:t>
      </w:r>
      <w:r>
        <w:rPr>
          <w:rFonts w:hint="default" w:ascii="宋体" w:hAnsi="宋体" w:eastAsia="宋体" w:cs="宋体"/>
          <w:color w:val="auto"/>
          <w:kern w:val="2"/>
          <w:sz w:val="24"/>
          <w:szCs w:val="22"/>
          <w:highlight w:val="none"/>
          <w:lang w:val="en-US" w:eastAsia="zh-CN" w:bidi="ar-SA"/>
        </w:rPr>
        <w:t>有限公司</w:t>
      </w:r>
      <w:r>
        <w:rPr>
          <w:rFonts w:hint="eastAsia" w:ascii="宋体" w:hAnsi="宋体" w:eastAsia="宋体" w:cs="宋体"/>
          <w:color w:val="auto"/>
          <w:kern w:val="2"/>
          <w:sz w:val="24"/>
          <w:szCs w:val="22"/>
          <w:highlight w:val="none"/>
          <w:lang w:val="en-US" w:eastAsia="zh-CN" w:bidi="ar-SA"/>
        </w:rPr>
        <w:t>（</w:t>
      </w:r>
      <w:r>
        <w:rPr>
          <w:rFonts w:hint="eastAsia" w:ascii="宋体" w:hAnsi="宋体" w:eastAsia="宋体" w:cs="宋体"/>
          <w:color w:val="auto"/>
          <w:kern w:val="2"/>
          <w:sz w:val="24"/>
          <w:szCs w:val="22"/>
          <w:highlight w:val="none"/>
        </w:rPr>
        <w:t>可行性研究报告编制单位</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 xml:space="preserve"> ；</w:t>
      </w:r>
      <w:r>
        <w:rPr>
          <w:rFonts w:hint="eastAsia" w:ascii="宋体" w:hAnsi="宋体" w:cs="宋体"/>
          <w:color w:val="auto"/>
          <w:kern w:val="0"/>
          <w:sz w:val="24"/>
          <w:szCs w:val="24"/>
          <w:highlight w:val="none"/>
        </w:rPr>
        <w:t xml:space="preserve"> </w:t>
      </w:r>
    </w:p>
    <w:p w14:paraId="7EE9B486">
      <w:pPr>
        <w:spacing w:line="360" w:lineRule="auto"/>
        <w:ind w:firstLine="960" w:firstLineChars="4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[注释]</w:t>
      </w:r>
      <w:r>
        <w:rPr>
          <w:rFonts w:hint="eastAsia" w:ascii="宋体" w:hAnsi="宋体" w:cs="宋体"/>
          <w:b/>
          <w:color w:val="auto"/>
          <w:kern w:val="0"/>
          <w:sz w:val="24"/>
          <w:szCs w:val="24"/>
          <w:highlight w:val="none"/>
          <w:u w:val="single"/>
        </w:rPr>
        <w:t xml:space="preserve"> </w:t>
      </w:r>
      <w:r>
        <w:rPr>
          <w:rFonts w:hint="eastAsia" w:ascii="宋体" w:hAnsi="宋体" w:cs="宋体"/>
          <w:b/>
          <w:bCs/>
          <w:color w:val="auto"/>
          <w:kern w:val="0"/>
          <w:sz w:val="24"/>
          <w:szCs w:val="24"/>
          <w:highlight w:val="none"/>
        </w:rPr>
        <w:t>本项目</w:t>
      </w:r>
      <w:r>
        <w:rPr>
          <w:rFonts w:hint="eastAsia" w:ascii="宋体" w:hAnsi="宋体" w:cs="宋体"/>
          <w:b/>
          <w:bCs/>
          <w:color w:val="auto"/>
          <w:kern w:val="0"/>
          <w:sz w:val="24"/>
          <w:szCs w:val="24"/>
          <w:highlight w:val="none"/>
          <w:lang w:val="en-US" w:eastAsia="zh-CN"/>
        </w:rPr>
        <w:t>不</w:t>
      </w:r>
      <w:r>
        <w:rPr>
          <w:rFonts w:hint="eastAsia" w:ascii="宋体" w:hAnsi="宋体" w:cs="宋体"/>
          <w:b/>
          <w:bCs/>
          <w:color w:val="auto"/>
          <w:kern w:val="0"/>
          <w:sz w:val="24"/>
          <w:szCs w:val="24"/>
          <w:highlight w:val="none"/>
        </w:rPr>
        <w:t>接受前期服务机构投标</w:t>
      </w:r>
      <w:r>
        <w:rPr>
          <w:rFonts w:hint="eastAsia" w:ascii="宋体" w:hAnsi="宋体" w:cs="宋体"/>
          <w:color w:val="auto"/>
          <w:kern w:val="0"/>
          <w:sz w:val="24"/>
          <w:szCs w:val="24"/>
          <w:highlight w:val="none"/>
        </w:rPr>
        <w:t>。</w:t>
      </w:r>
    </w:p>
    <w:p w14:paraId="66BF682C">
      <w:pPr>
        <w:widowControl/>
        <w:shd w:val="clear" w:color="auto" w:fill="FFFFFF"/>
        <w:tabs>
          <w:tab w:val="left" w:pos="105"/>
        </w:tabs>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2</w:t>
      </w:r>
      <w:r>
        <w:rPr>
          <w:rFonts w:hint="eastAsia" w:ascii="宋体" w:hAnsi="宋体" w:cs="宋体"/>
          <w:color w:val="auto"/>
          <w:kern w:val="0"/>
          <w:sz w:val="24"/>
          <w:szCs w:val="24"/>
          <w:highlight w:val="none"/>
        </w:rPr>
        <w:t>、投标时是否需要提交设计模型：</w:t>
      </w:r>
      <w:r>
        <w:rPr>
          <w:rFonts w:hint="eastAsia" w:ascii="宋体" w:hAnsi="宋体" w:cs="宋体"/>
          <w:color w:val="auto"/>
          <w:kern w:val="0"/>
          <w:sz w:val="24"/>
          <w:szCs w:val="24"/>
          <w:highlight w:val="none"/>
          <w:u w:val="single"/>
        </w:rPr>
        <w:t>否。</w:t>
      </w:r>
    </w:p>
    <w:p w14:paraId="580C449D">
      <w:pPr>
        <w:widowControl/>
        <w:shd w:val="clear" w:color="auto" w:fill="FFFFFF"/>
        <w:tabs>
          <w:tab w:val="left" w:pos="105"/>
        </w:tabs>
        <w:spacing w:line="360" w:lineRule="auto"/>
        <w:ind w:firstLine="480" w:firstLineChars="200"/>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3、</w:t>
      </w:r>
      <w:r>
        <w:rPr>
          <w:rFonts w:hint="eastAsia" w:ascii="宋体" w:hAnsi="宋体" w:cs="宋体"/>
          <w:color w:val="auto"/>
          <w:sz w:val="24"/>
          <w:szCs w:val="24"/>
          <w:highlight w:val="none"/>
          <w:u w:val="single"/>
          <w:shd w:val="clear" w:color="auto" w:fill="FFFFFF"/>
        </w:rPr>
        <w:t>参加投标之前，</w:t>
      </w:r>
      <w:r>
        <w:rPr>
          <w:rFonts w:hint="eastAsia" w:ascii="宋体" w:hAnsi="宋体" w:cs="宋体"/>
          <w:color w:val="auto"/>
          <w:sz w:val="24"/>
          <w:szCs w:val="24"/>
          <w:highlight w:val="none"/>
          <w:u w:val="single"/>
        </w:rPr>
        <w:t>投标人应查询企业信用档案、拟报项目负责人的使用状态，</w:t>
      </w:r>
      <w:r>
        <w:rPr>
          <w:rFonts w:hint="eastAsia" w:ascii="宋体" w:hAnsi="宋体" w:cs="宋体"/>
          <w:color w:val="auto"/>
          <w:sz w:val="24"/>
          <w:szCs w:val="24"/>
          <w:highlight w:val="none"/>
          <w:u w:val="single"/>
          <w:shd w:val="clear" w:color="auto" w:fill="FFFFFF"/>
        </w:rPr>
        <w:t>以免出现企业信用档案、拟报项目负责人不能被使用的情况。上述情况有可能导致投标信息无法录入广州交易集团有限公司（广州公共资源交易中心）交易服务系统。如出现上述情况，投标人有可能失去投标机会，因其可能所引起的一切后果由投标人自行承担。</w:t>
      </w:r>
    </w:p>
    <w:p w14:paraId="69B112B3">
      <w:pPr>
        <w:widowControl/>
        <w:shd w:val="clear" w:color="auto" w:fill="FFFFFF"/>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十</w:t>
      </w:r>
      <w:r>
        <w:rPr>
          <w:rFonts w:hint="eastAsia" w:ascii="宋体" w:hAnsi="宋体" w:cs="宋体"/>
          <w:color w:val="auto"/>
          <w:kern w:val="0"/>
          <w:sz w:val="24"/>
          <w:szCs w:val="24"/>
          <w:highlight w:val="none"/>
          <w:lang w:val="en-US" w:eastAsia="zh-CN"/>
        </w:rPr>
        <w:t>三</w:t>
      </w:r>
      <w:r>
        <w:rPr>
          <w:rFonts w:hint="eastAsia" w:ascii="宋体" w:hAnsi="宋体" w:cs="宋体"/>
          <w:color w:val="auto"/>
          <w:kern w:val="0"/>
          <w:sz w:val="24"/>
          <w:szCs w:val="24"/>
          <w:highlight w:val="none"/>
        </w:rPr>
        <w:t>、潜在投标人或利害关系人对本招标公告及招标内容有异议的，向招标人提出。</w:t>
      </w:r>
    </w:p>
    <w:p w14:paraId="49274ACC">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异议受理部门：</w:t>
      </w:r>
      <w:r>
        <w:rPr>
          <w:rFonts w:hint="eastAsia" w:ascii="宋体" w:hAnsi="宋体"/>
          <w:color w:val="auto"/>
          <w:sz w:val="24"/>
          <w:highlight w:val="none"/>
          <w:u w:val="single"/>
          <w:lang w:eastAsia="zh-CN"/>
        </w:rPr>
        <w:t>广州市增城区科源投资发展有限公司</w:t>
      </w:r>
      <w:r>
        <w:rPr>
          <w:rFonts w:hint="eastAsia" w:ascii="宋体" w:hAnsi="宋体" w:cs="宋体"/>
          <w:color w:val="auto"/>
          <w:kern w:val="0"/>
          <w:sz w:val="24"/>
          <w:szCs w:val="24"/>
          <w:highlight w:val="none"/>
          <w:u w:val="single"/>
        </w:rPr>
        <w:t>；</w:t>
      </w:r>
    </w:p>
    <w:p w14:paraId="036D51EC">
      <w:pPr>
        <w:widowControl/>
        <w:shd w:val="clear" w:color="auto" w:fill="FFFFFF"/>
        <w:spacing w:line="360" w:lineRule="auto"/>
        <w:ind w:firstLine="480" w:firstLineChars="200"/>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异议受理电话：</w:t>
      </w:r>
      <w:r>
        <w:rPr>
          <w:rFonts w:hint="eastAsia" w:ascii="宋体" w:hAnsi="宋体" w:cs="宋体"/>
          <w:color w:val="auto"/>
          <w:sz w:val="24"/>
          <w:highlight w:val="none"/>
          <w:u w:val="single"/>
        </w:rPr>
        <w:t>13560010069</w:t>
      </w:r>
      <w:r>
        <w:rPr>
          <w:rFonts w:hint="eastAsia" w:ascii="宋体" w:hAnsi="宋体" w:cs="宋体"/>
          <w:color w:val="auto"/>
          <w:kern w:val="0"/>
          <w:sz w:val="24"/>
          <w:szCs w:val="24"/>
          <w:highlight w:val="none"/>
          <w:u w:val="single"/>
        </w:rPr>
        <w:t>；</w:t>
      </w:r>
    </w:p>
    <w:p w14:paraId="13EC8E19">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地</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址：</w:t>
      </w:r>
      <w:r>
        <w:rPr>
          <w:rFonts w:hint="default" w:ascii="宋体" w:hAnsi="宋体"/>
          <w:color w:val="auto"/>
          <w:kern w:val="0"/>
          <w:sz w:val="24"/>
          <w:szCs w:val="20"/>
          <w:highlight w:val="none"/>
          <w:u w:val="single"/>
          <w:lang w:val="en-US" w:eastAsia="zh-CN"/>
        </w:rPr>
        <w:t>广州市增城区仙村镇仙村大道174号215房</w:t>
      </w:r>
      <w:r>
        <w:rPr>
          <w:rFonts w:hint="eastAsia" w:ascii="宋体" w:hAnsi="宋体"/>
          <w:color w:val="auto"/>
          <w:sz w:val="24"/>
          <w:highlight w:val="none"/>
          <w:u w:val="single"/>
          <w:lang w:val="en-US" w:eastAsia="zh-CN"/>
        </w:rPr>
        <w:t>。</w:t>
      </w:r>
    </w:p>
    <w:p w14:paraId="751413DE">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注：潜在投标人或利害关系人可以通过线下或线上的形式提出异议。线上提出异</w:t>
      </w:r>
      <w:r>
        <w:rPr>
          <w:rFonts w:hint="eastAsia" w:ascii="宋体" w:hAnsi="宋体" w:cs="宋体"/>
          <w:color w:val="auto"/>
          <w:kern w:val="0"/>
          <w:sz w:val="24"/>
          <w:szCs w:val="24"/>
          <w:highlight w:val="none"/>
        </w:rPr>
        <w:t>议的，应通过广交易建设工程电子交易系统提交，招标人也应通过广交易建设工程电子交易系统答复线上提出的异议。具体按照广交易建设工程电子交易系统相关指南进行操作。作出答复前，应当暂停招标投标活动。1.具体操作详见“广州交易集团有限公司（广州公共资源交易中心）门户网站首页-&gt;服务指南-&gt;系统帮助-&gt;操作手册-&gt;发起及受理异议操作指引”。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14:paraId="1E4B3418">
      <w:pPr>
        <w:widowControl/>
        <w:shd w:val="clear" w:color="auto" w:fill="FFFFFF"/>
        <w:tabs>
          <w:tab w:val="left" w:pos="0"/>
        </w:tabs>
        <w:wordWrap w:val="0"/>
        <w:spacing w:line="360" w:lineRule="auto"/>
        <w:ind w:firstLine="420" w:firstLineChars="17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十</w:t>
      </w:r>
      <w:r>
        <w:rPr>
          <w:rFonts w:hint="eastAsia" w:ascii="宋体" w:hAnsi="宋体" w:cs="宋体"/>
          <w:color w:val="auto"/>
          <w:kern w:val="0"/>
          <w:sz w:val="24"/>
          <w:szCs w:val="24"/>
          <w:highlight w:val="none"/>
          <w:lang w:val="en-US" w:eastAsia="zh-CN"/>
        </w:rPr>
        <w:t>四</w:t>
      </w:r>
      <w:r>
        <w:rPr>
          <w:rFonts w:hint="eastAsia" w:ascii="宋体" w:hAnsi="宋体" w:cs="宋体"/>
          <w:color w:val="auto"/>
          <w:kern w:val="0"/>
          <w:sz w:val="24"/>
          <w:szCs w:val="24"/>
          <w:highlight w:val="none"/>
        </w:rPr>
        <w:t>、本公告在广州交易集团有限公司（广州公共资源交易中心）官网（网址：http://www.gzggzy.cn）、广东省招标投标监管网（网址：https://zbtb.gd.gov.cn/）和中国招标投标公共服务平台（网址：http://www.cebpubservice.com/）发布，本公告的修改、补充，在广州交易集团有限公司（广州公共资源交易中心）官网发布。</w:t>
      </w:r>
    </w:p>
    <w:p w14:paraId="461A4DB7">
      <w:pPr>
        <w:spacing w:line="360" w:lineRule="auto"/>
        <w:ind w:firstLine="561" w:firstLineChars="234"/>
        <w:contextualSpacing/>
        <w:rPr>
          <w:rFonts w:ascii="宋体" w:hAnsi="宋体" w:cs="宋体"/>
          <w:color w:val="auto"/>
          <w:sz w:val="24"/>
          <w:szCs w:val="24"/>
          <w:highlight w:val="none"/>
        </w:rPr>
      </w:pPr>
      <w:r>
        <w:rPr>
          <w:rFonts w:hint="eastAsia" w:ascii="宋体" w:hAnsi="宋体" w:cs="宋体"/>
          <w:color w:val="auto"/>
          <w:kern w:val="0"/>
          <w:sz w:val="24"/>
          <w:szCs w:val="24"/>
          <w:highlight w:val="none"/>
        </w:rPr>
        <w:t>十</w:t>
      </w:r>
      <w:r>
        <w:rPr>
          <w:rFonts w:hint="eastAsia" w:ascii="宋体" w:hAnsi="宋体" w:cs="宋体"/>
          <w:color w:val="auto"/>
          <w:kern w:val="0"/>
          <w:sz w:val="24"/>
          <w:szCs w:val="24"/>
          <w:highlight w:val="none"/>
          <w:lang w:val="en-US" w:eastAsia="zh-CN"/>
        </w:rPr>
        <w:t>五</w:t>
      </w:r>
      <w:r>
        <w:rPr>
          <w:rFonts w:hint="eastAsia" w:ascii="宋体" w:hAnsi="宋体" w:cs="宋体"/>
          <w:color w:val="auto"/>
          <w:kern w:val="0"/>
          <w:sz w:val="24"/>
          <w:szCs w:val="24"/>
          <w:highlight w:val="none"/>
        </w:rPr>
        <w:t>、本项目为电子评标，投标文件全部采用电子文档，投标人按招标文件要求提交投标文件。</w:t>
      </w:r>
    </w:p>
    <w:p w14:paraId="7A244CE1">
      <w:pPr>
        <w:spacing w:line="360" w:lineRule="auto"/>
        <w:ind w:firstLine="561" w:firstLineChars="234"/>
        <w:contextualSpacing/>
        <w:rPr>
          <w:rFonts w:ascii="宋体" w:hAnsi="宋体" w:cs="宋体"/>
          <w:color w:val="auto"/>
          <w:sz w:val="24"/>
          <w:szCs w:val="24"/>
          <w:highlight w:val="none"/>
        </w:rPr>
      </w:pPr>
      <w:r>
        <w:rPr>
          <w:rFonts w:hint="eastAsia" w:ascii="宋体" w:hAnsi="宋体" w:cs="宋体"/>
          <w:color w:val="auto"/>
          <w:sz w:val="24"/>
          <w:szCs w:val="24"/>
          <w:highlight w:val="none"/>
        </w:rPr>
        <w:t>十</w:t>
      </w: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、特别提示：投标人在本项目招标人的工程项目中存在下列行为的，将被拒绝一年内参与我司后续工程投标。（注：拒绝投标时限由招标人视严重程度确定，最低</w:t>
      </w:r>
      <w:r>
        <w:rPr>
          <w:rFonts w:ascii="宋体" w:hAnsi="宋体" w:cs="Calibri"/>
          <w:color w:val="auto"/>
          <w:sz w:val="24"/>
          <w:szCs w:val="24"/>
          <w:highlight w:val="none"/>
          <w:shd w:val="clear" w:color="auto" w:fill="FFFFFF"/>
        </w:rPr>
        <w:t>一年</w:t>
      </w:r>
      <w:r>
        <w:rPr>
          <w:rFonts w:hint="eastAsia" w:ascii="宋体" w:hAnsi="宋体" w:cs="宋体"/>
          <w:color w:val="auto"/>
          <w:sz w:val="24"/>
          <w:szCs w:val="24"/>
          <w:highlight w:val="none"/>
        </w:rPr>
        <w:t>起，自招标人发出通知之日起计）：</w:t>
      </w:r>
    </w:p>
    <w:p w14:paraId="5DA6470D">
      <w:pPr>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1.将中标工程转包或者违法分包的；</w:t>
      </w:r>
    </w:p>
    <w:p w14:paraId="4F00AC8A">
      <w:pPr>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2.在中标工程中不执行质量、安全生产相关规定的，造成质量或安全事故的；</w:t>
      </w:r>
    </w:p>
    <w:p w14:paraId="7946A78A">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3.出让投标资格的；</w:t>
      </w:r>
    </w:p>
    <w:p w14:paraId="67E81CC5">
      <w:pPr>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.存在围标或串标情形的；</w:t>
      </w:r>
    </w:p>
    <w:p w14:paraId="4EA4AE52">
      <w:pPr>
        <w:adjustRightInd/>
        <w:snapToGrid/>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.在投标文件中提供虚假材料的；</w:t>
      </w:r>
    </w:p>
    <w:p w14:paraId="213F2AB6">
      <w:pPr>
        <w:adjustRightInd/>
        <w:snapToGrid/>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 存在少放、不放业绩、奖项等客观评审资料，减少自身竞争力情形的；</w:t>
      </w:r>
    </w:p>
    <w:p w14:paraId="1EC06A31">
      <w:pPr>
        <w:adjustRightInd/>
        <w:snapToGrid/>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.存在行贿情形的；</w:t>
      </w:r>
    </w:p>
    <w:p w14:paraId="56B68A94">
      <w:pPr>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sz w:val="24"/>
          <w:highlight w:val="none"/>
        </w:rPr>
        <w:t>拖欠农民工工资的；</w:t>
      </w:r>
    </w:p>
    <w:p w14:paraId="33EF331F">
      <w:pPr>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.未按照国家、省、市有关建筑施工实名制管理和工人工资支付分账管理的规定执行，被行政监管部门处罚的。</w:t>
      </w:r>
    </w:p>
    <w:p w14:paraId="7A89008E">
      <w:pPr>
        <w:snapToGrid w:val="0"/>
        <w:spacing w:line="360" w:lineRule="auto"/>
        <w:ind w:right="97" w:rightChars="46" w:firstLine="3120" w:firstLineChars="1300"/>
        <w:jc w:val="left"/>
        <w:rPr>
          <w:rFonts w:ascii="宋体" w:hAnsi="宋体" w:cs="宋体"/>
          <w:color w:val="auto"/>
          <w:sz w:val="24"/>
          <w:szCs w:val="24"/>
          <w:highlight w:val="none"/>
        </w:rPr>
      </w:pPr>
    </w:p>
    <w:p w14:paraId="74E72EAF">
      <w:pPr>
        <w:adjustRightInd w:val="0"/>
        <w:snapToGrid w:val="0"/>
        <w:spacing w:line="360" w:lineRule="auto"/>
        <w:ind w:firstLine="540"/>
        <w:jc w:val="righ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招标人：</w:t>
      </w:r>
      <w:r>
        <w:rPr>
          <w:rFonts w:hint="eastAsia" w:ascii="宋体" w:hAnsi="宋体" w:cs="宋体"/>
          <w:color w:val="auto"/>
          <w:kern w:val="0"/>
          <w:sz w:val="24"/>
          <w:highlight w:val="none"/>
          <w:lang w:eastAsia="zh-CN"/>
        </w:rPr>
        <w:t>广州市增城区科源投资发展有限公司</w:t>
      </w:r>
    </w:p>
    <w:p w14:paraId="75BB37BD">
      <w:pPr>
        <w:adjustRightInd w:val="0"/>
        <w:snapToGrid w:val="0"/>
        <w:spacing w:line="360" w:lineRule="auto"/>
        <w:ind w:firstLine="540"/>
        <w:jc w:val="center"/>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招标代理机构：</w:t>
      </w:r>
      <w:r>
        <w:rPr>
          <w:rFonts w:hint="eastAsia" w:ascii="宋体" w:hAnsi="宋体" w:cs="宋体"/>
          <w:color w:val="auto"/>
          <w:kern w:val="0"/>
          <w:sz w:val="24"/>
          <w:highlight w:val="none"/>
          <w:lang w:eastAsia="zh-CN"/>
        </w:rPr>
        <w:t>广州高新工程顾问有限公司</w:t>
      </w:r>
    </w:p>
    <w:p w14:paraId="12FD7B2E">
      <w:pPr>
        <w:adjustRightInd w:val="0"/>
        <w:snapToGrid w:val="0"/>
        <w:spacing w:line="360" w:lineRule="auto"/>
        <w:ind w:firstLine="540"/>
        <w:jc w:val="center"/>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                         </w:t>
      </w:r>
    </w:p>
    <w:p w14:paraId="7FC806D1">
      <w:pPr>
        <w:widowControl/>
        <w:spacing w:line="360" w:lineRule="auto"/>
        <w:jc w:val="left"/>
        <w:rPr>
          <w:rFonts w:hint="eastAsia" w:ascii="宋体" w:hAnsi="宋体" w:cs="宋体"/>
          <w:color w:val="auto"/>
          <w:sz w:val="24"/>
          <w:highlight w:val="none"/>
        </w:rPr>
        <w:sectPr>
          <w:pgSz w:w="11906" w:h="16838"/>
          <w:pgMar w:top="1418" w:right="1417" w:bottom="1418" w:left="1417" w:header="851" w:footer="992" w:gutter="0"/>
          <w:cols w:space="720" w:num="1"/>
          <w:docGrid w:type="lines" w:linePitch="312" w:charSpace="0"/>
        </w:sectPr>
      </w:pPr>
    </w:p>
    <w:p w14:paraId="216B5E7E">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附件一：</w:t>
      </w:r>
    </w:p>
    <w:p w14:paraId="2F14C5E4">
      <w:pPr>
        <w:widowControl/>
        <w:spacing w:line="400" w:lineRule="exact"/>
        <w:ind w:firstLine="723"/>
        <w:jc w:val="center"/>
        <w:rPr>
          <w:rFonts w:ascii="宋体" w:hAnsi="宋体"/>
          <w:b/>
          <w:color w:val="auto"/>
          <w:sz w:val="36"/>
          <w:szCs w:val="36"/>
          <w:highlight w:val="none"/>
          <w:u w:val="single"/>
        </w:rPr>
      </w:pPr>
      <w:r>
        <w:rPr>
          <w:rFonts w:hint="eastAsia" w:ascii="宋体" w:hAnsi="宋体"/>
          <w:b/>
          <w:color w:val="auto"/>
          <w:sz w:val="36"/>
          <w:szCs w:val="36"/>
          <w:highlight w:val="none"/>
        </w:rPr>
        <w:t>投标人声明（一）</w:t>
      </w:r>
    </w:p>
    <w:p w14:paraId="4AF8858F">
      <w:pPr>
        <w:widowControl/>
        <w:spacing w:line="400" w:lineRule="exact"/>
        <w:ind w:firstLine="540"/>
        <w:rPr>
          <w:rFonts w:ascii="宋体" w:hAnsi="宋体"/>
          <w:color w:val="auto"/>
          <w:spacing w:val="15"/>
          <w:kern w:val="0"/>
          <w:highlight w:val="none"/>
        </w:rPr>
      </w:pPr>
    </w:p>
    <w:p w14:paraId="3B288E99">
      <w:pPr>
        <w:pStyle w:val="51"/>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广州市增城区住房和城乡建设局、本招标项目招标人及招标监管机构：</w:t>
      </w:r>
    </w:p>
    <w:p w14:paraId="1DF360A5">
      <w:pPr>
        <w:pStyle w:val="51"/>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cs="宋体"/>
          <w:color w:val="auto"/>
          <w:sz w:val="24"/>
          <w:highlight w:val="none"/>
          <w:u w:val="single"/>
          <w:lang w:val="en-US" w:eastAsia="zh-CN"/>
        </w:rPr>
        <w:t>增城区仙村镇石新公路北侧20.02亩地块建设项目</w:t>
      </w:r>
      <w:r>
        <w:rPr>
          <w:rFonts w:hint="eastAsia" w:ascii="宋体" w:hAnsi="宋体" w:eastAsia="宋体"/>
          <w:color w:val="auto"/>
          <w:sz w:val="24"/>
          <w:szCs w:val="24"/>
          <w:highlight w:val="none"/>
          <w:u w:val="single"/>
          <w:lang w:eastAsia="zh-CN"/>
        </w:rPr>
        <w:t>设计施工总承包</w:t>
      </w:r>
      <w:r>
        <w:rPr>
          <w:rFonts w:hint="eastAsia" w:ascii="宋体" w:hAnsi="宋体" w:eastAsia="宋体"/>
          <w:color w:val="auto"/>
          <w:sz w:val="24"/>
          <w:szCs w:val="24"/>
          <w:highlight w:val="none"/>
        </w:rPr>
        <w:t>投标工作，作出郑重声明：</w:t>
      </w:r>
    </w:p>
    <w:p w14:paraId="77A1BC7C">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14:paraId="76CF1BB7">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2ABFE76E">
      <w:pPr>
        <w:pStyle w:val="51"/>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2A208DEA">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14:paraId="100575DE">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（二）为本标段前期准备提供设计或咨询服务或者与本项目设计人或提供咨询服务的机构存在隶属关系的；</w:t>
      </w:r>
    </w:p>
    <w:p w14:paraId="21548939">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（三）为本标段监理人或者与本标段监理人存在隶属关系或者其他利害关系；</w:t>
      </w:r>
    </w:p>
    <w:p w14:paraId="486B0E30">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14:paraId="48C48496">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14:paraId="74F62A2C">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14:paraId="576B073E">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14:paraId="15E6CD5A">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14:paraId="14DBA20B">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14:paraId="39EBA493">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（十）与招标人存在利害关系且可能影响招标公正性； </w:t>
      </w:r>
    </w:p>
    <w:p w14:paraId="61060BA5">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（十一）被依法暂停或取消投标资格的；（</w:t>
      </w:r>
      <w:r>
        <w:rPr>
          <w:rFonts w:hint="eastAsia" w:ascii="宋体" w:hAnsi="宋体" w:eastAsia="宋体"/>
          <w:color w:val="auto"/>
          <w:sz w:val="24"/>
          <w:szCs w:val="24"/>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auto"/>
          <w:sz w:val="24"/>
          <w:szCs w:val="24"/>
          <w:highlight w:val="none"/>
        </w:rPr>
        <w:t xml:space="preserve">） </w:t>
      </w:r>
    </w:p>
    <w:p w14:paraId="55B49D7A">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w:t>
      </w:r>
      <w:r>
        <w:rPr>
          <w:rFonts w:hint="eastAsia" w:ascii="宋体" w:hAnsi="宋体" w:eastAsia="宋体"/>
          <w:color w:val="auto"/>
          <w:sz w:val="24"/>
          <w:szCs w:val="24"/>
          <w:highlight w:val="none"/>
          <w:lang w:val="zh-CN"/>
        </w:rPr>
        <w:t>本项事实应当以根据《中华人民共和国行政处罚法》依法作出并已经生效的行政处罚决定为认定依据。</w:t>
      </w:r>
      <w:r>
        <w:rPr>
          <w:rFonts w:hint="eastAsia" w:ascii="宋体" w:hAnsi="宋体" w:eastAsia="宋体"/>
          <w:color w:val="auto"/>
          <w:sz w:val="24"/>
          <w:szCs w:val="24"/>
          <w:highlight w:val="none"/>
        </w:rPr>
        <w:t>）；</w:t>
      </w:r>
    </w:p>
    <w:p w14:paraId="15C681A9">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14:paraId="16B48CE9">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（十四）在最近三年内有严重违约或重大工程质量问题的；（</w:t>
      </w:r>
      <w:r>
        <w:rPr>
          <w:rFonts w:hint="eastAsia" w:ascii="宋体" w:hAnsi="宋体" w:eastAsia="宋体"/>
          <w:color w:val="auto"/>
          <w:sz w:val="24"/>
          <w:szCs w:val="24"/>
          <w:highlight w:val="none"/>
          <w:lang w:val="zh-CN"/>
        </w:rPr>
        <w:t>“严重违约”事实应当以</w:t>
      </w:r>
      <w:r>
        <w:rPr>
          <w:rFonts w:hint="eastAsia" w:ascii="宋体" w:hAnsi="宋体" w:eastAsia="宋体"/>
          <w:color w:val="auto"/>
          <w:sz w:val="24"/>
          <w:szCs w:val="24"/>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77FCBE5F">
      <w:pPr>
        <w:pStyle w:val="51"/>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14:paraId="31173C78">
      <w:pPr>
        <w:pStyle w:val="51"/>
        <w:numPr>
          <w:ilvl w:val="0"/>
          <w:numId w:val="2"/>
        </w:num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本公司保证：本项目拟派的项目负责人</w:t>
      </w:r>
      <w:r>
        <w:rPr>
          <w:rFonts w:hint="eastAsia" w:ascii="宋体" w:hAnsi="宋体" w:eastAsia="宋体"/>
          <w:b/>
          <w:bCs/>
          <w:color w:val="auto"/>
          <w:sz w:val="24"/>
          <w:szCs w:val="24"/>
          <w:highlight w:val="none"/>
        </w:rPr>
        <w:t>投标截止时</w:t>
      </w:r>
      <w:r>
        <w:rPr>
          <w:rFonts w:hint="eastAsia" w:ascii="宋体" w:hAnsi="宋体" w:eastAsia="宋体"/>
          <w:color w:val="auto"/>
          <w:sz w:val="24"/>
          <w:szCs w:val="24"/>
          <w:highlight w:val="none"/>
        </w:rPr>
        <w:t>没有在其他在建项目中任施工单位项目负责人。</w:t>
      </w:r>
    </w:p>
    <w:p w14:paraId="2E68AC07">
      <w:pPr>
        <w:pStyle w:val="51"/>
        <w:numPr>
          <w:ilvl w:val="0"/>
          <w:numId w:val="2"/>
        </w:numPr>
        <w:spacing w:line="48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4779B87A">
      <w:pPr>
        <w:pStyle w:val="51"/>
        <w:numPr>
          <w:ilvl w:val="0"/>
          <w:numId w:val="2"/>
        </w:num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1EAB406E">
      <w:pPr>
        <w:pStyle w:val="51"/>
        <w:spacing w:line="480" w:lineRule="auto"/>
        <w:rPr>
          <w:rFonts w:ascii="宋体" w:hAnsi="宋体" w:eastAsia="宋体"/>
          <w:color w:val="auto"/>
          <w:sz w:val="24"/>
          <w:szCs w:val="24"/>
          <w:highlight w:val="none"/>
        </w:rPr>
      </w:pPr>
      <w:r>
        <w:rPr>
          <w:rFonts w:hint="eastAsia" w:ascii="宋体" w:hAnsi="宋体" w:eastAsia="宋体"/>
          <w:b/>
          <w:bCs/>
          <w:color w:val="auto"/>
          <w:sz w:val="24"/>
          <w:szCs w:val="24"/>
          <w:highlight w:val="none"/>
        </w:rPr>
        <w:t>七</w:t>
      </w:r>
      <w:r>
        <w:rPr>
          <w:rFonts w:hint="eastAsia" w:ascii="宋体" w:hAnsi="宋体" w:eastAsia="宋体"/>
          <w:color w:val="auto"/>
          <w:sz w:val="24"/>
          <w:szCs w:val="24"/>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61FD94CD">
      <w:pPr>
        <w:pStyle w:val="51"/>
        <w:spacing w:line="480" w:lineRule="auto"/>
        <w:ind w:firstLine="482" w:firstLineChars="200"/>
        <w:rPr>
          <w:rFonts w:ascii="宋体" w:hAnsi="宋体" w:eastAsia="宋体"/>
          <w:color w:val="auto"/>
          <w:sz w:val="24"/>
          <w:szCs w:val="24"/>
          <w:highlight w:val="none"/>
        </w:rPr>
      </w:pPr>
      <w:r>
        <w:rPr>
          <w:rFonts w:hint="eastAsia" w:ascii="宋体" w:hAnsi="宋体" w:eastAsia="宋体"/>
          <w:b/>
          <w:bCs/>
          <w:color w:val="auto"/>
          <w:sz w:val="24"/>
          <w:szCs w:val="24"/>
          <w:highlight w:val="none"/>
        </w:rPr>
        <w:t>八</w:t>
      </w:r>
      <w:r>
        <w:rPr>
          <w:rFonts w:hint="eastAsia" w:ascii="宋体" w:hAnsi="宋体" w:eastAsia="宋体"/>
          <w:color w:val="auto"/>
          <w:sz w:val="24"/>
          <w:szCs w:val="24"/>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213C217B">
      <w:pPr>
        <w:pStyle w:val="51"/>
        <w:spacing w:line="480" w:lineRule="auto"/>
        <w:rPr>
          <w:rFonts w:ascii="宋体" w:hAnsi="宋体" w:eastAsia="宋体"/>
          <w:color w:val="auto"/>
          <w:sz w:val="24"/>
          <w:szCs w:val="24"/>
          <w:highlight w:val="none"/>
        </w:rPr>
      </w:pPr>
      <w:r>
        <w:rPr>
          <w:rFonts w:hint="eastAsia" w:ascii="宋体" w:hAnsi="宋体" w:eastAsia="宋体"/>
          <w:b/>
          <w:bCs/>
          <w:color w:val="auto"/>
          <w:sz w:val="24"/>
          <w:szCs w:val="24"/>
          <w:highlight w:val="none"/>
        </w:rPr>
        <w:t>九、</w:t>
      </w:r>
      <w:r>
        <w:rPr>
          <w:rFonts w:hint="eastAsia" w:ascii="宋体" w:hAnsi="宋体" w:eastAsia="宋体"/>
          <w:color w:val="auto"/>
          <w:sz w:val="24"/>
          <w:szCs w:val="24"/>
          <w:highlight w:val="none"/>
        </w:rPr>
        <w:t>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。（注：本条由投标人如实填写，如有，应列出全部满足招标公告资质要求的相关单位的名称；如无，则填写“无”。）</w:t>
      </w:r>
    </w:p>
    <w:p w14:paraId="363D2B2F">
      <w:pPr>
        <w:pStyle w:val="51"/>
        <w:spacing w:line="480" w:lineRule="auto"/>
        <w:rPr>
          <w:rFonts w:ascii="宋体" w:hAnsi="宋体" w:eastAsia="宋体"/>
          <w:color w:val="auto"/>
          <w:sz w:val="24"/>
          <w:szCs w:val="24"/>
          <w:highlight w:val="none"/>
        </w:rPr>
      </w:pPr>
      <w:r>
        <w:rPr>
          <w:rFonts w:hint="eastAsia" w:ascii="宋体" w:hAnsi="宋体" w:eastAsia="宋体"/>
          <w:b/>
          <w:bCs/>
          <w:color w:val="auto"/>
          <w:sz w:val="24"/>
          <w:szCs w:val="24"/>
          <w:highlight w:val="none"/>
        </w:rPr>
        <w:t>十、</w:t>
      </w:r>
      <w:r>
        <w:rPr>
          <w:rFonts w:hint="eastAsia" w:ascii="宋体" w:hAnsi="宋体" w:eastAsia="宋体"/>
          <w:color w:val="auto"/>
          <w:sz w:val="24"/>
          <w:szCs w:val="24"/>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47EDB079">
      <w:pPr>
        <w:pStyle w:val="51"/>
        <w:spacing w:line="480" w:lineRule="auto"/>
        <w:ind w:firstLine="723" w:firstLineChars="300"/>
        <w:rPr>
          <w:rFonts w:hint="eastAsia" w:ascii="宋体" w:hAnsi="宋体" w:eastAsia="宋体"/>
          <w:color w:val="auto"/>
          <w:sz w:val="24"/>
          <w:szCs w:val="24"/>
          <w:highlight w:val="none"/>
        </w:rPr>
      </w:pPr>
      <w:r>
        <w:rPr>
          <w:rFonts w:hint="eastAsia" w:ascii="宋体" w:hAnsi="宋体" w:eastAsia="宋体"/>
          <w:b/>
          <w:bCs/>
          <w:color w:val="auto"/>
          <w:sz w:val="24"/>
          <w:szCs w:val="24"/>
          <w:highlight w:val="none"/>
        </w:rPr>
        <w:t>十</w:t>
      </w:r>
      <w:r>
        <w:rPr>
          <w:rFonts w:hint="eastAsia" w:ascii="宋体" w:hAnsi="宋体" w:eastAsia="宋体"/>
          <w:b/>
          <w:bCs/>
          <w:color w:val="auto"/>
          <w:sz w:val="24"/>
          <w:szCs w:val="24"/>
          <w:highlight w:val="none"/>
          <w:lang w:val="en-US" w:eastAsia="zh-CN"/>
        </w:rPr>
        <w:t>一</w:t>
      </w:r>
      <w:r>
        <w:rPr>
          <w:rFonts w:hint="eastAsia" w:ascii="宋体" w:hAnsi="宋体" w:eastAsia="宋体"/>
          <w:b/>
          <w:bCs/>
          <w:color w:val="auto"/>
          <w:sz w:val="24"/>
          <w:szCs w:val="24"/>
          <w:highlight w:val="none"/>
        </w:rPr>
        <w:t>、</w:t>
      </w:r>
      <w:r>
        <w:rPr>
          <w:rFonts w:hint="eastAsia" w:ascii="宋体" w:hAnsi="宋体" w:eastAsia="宋体"/>
          <w:color w:val="auto"/>
          <w:sz w:val="24"/>
          <w:szCs w:val="24"/>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52D4630A">
      <w:pPr>
        <w:pStyle w:val="51"/>
        <w:spacing w:line="480" w:lineRule="auto"/>
        <w:ind w:firstLine="723" w:firstLineChars="300"/>
        <w:rPr>
          <w:rFonts w:hint="eastAsia" w:ascii="宋体" w:hAnsi="宋体" w:eastAsia="宋体"/>
          <w:color w:val="auto"/>
          <w:sz w:val="24"/>
          <w:szCs w:val="24"/>
          <w:highlight w:val="none"/>
        </w:rPr>
      </w:pPr>
      <w:r>
        <w:rPr>
          <w:rFonts w:hint="eastAsia" w:ascii="宋体" w:hAnsi="宋体" w:eastAsia="宋体"/>
          <w:b/>
          <w:bCs/>
          <w:color w:val="auto"/>
          <w:sz w:val="24"/>
          <w:szCs w:val="24"/>
          <w:highlight w:val="none"/>
        </w:rPr>
        <w:t>十</w:t>
      </w:r>
      <w:r>
        <w:rPr>
          <w:rFonts w:hint="eastAsia" w:ascii="宋体" w:hAnsi="宋体" w:eastAsia="宋体"/>
          <w:b/>
          <w:bCs/>
          <w:color w:val="auto"/>
          <w:sz w:val="24"/>
          <w:szCs w:val="24"/>
          <w:highlight w:val="none"/>
          <w:lang w:val="en-US" w:eastAsia="zh-CN"/>
        </w:rPr>
        <w:t>二</w:t>
      </w:r>
      <w:r>
        <w:rPr>
          <w:rFonts w:hint="eastAsia" w:ascii="宋体" w:hAnsi="宋体" w:eastAsia="宋体"/>
          <w:b/>
          <w:bCs/>
          <w:color w:val="auto"/>
          <w:sz w:val="24"/>
          <w:szCs w:val="24"/>
          <w:highlight w:val="none"/>
        </w:rPr>
        <w:t>、</w:t>
      </w:r>
      <w:r>
        <w:rPr>
          <w:rFonts w:hint="eastAsia" w:ascii="宋体" w:hAnsi="宋体" w:eastAsia="宋体"/>
          <w:color w:val="auto"/>
          <w:sz w:val="24"/>
          <w:szCs w:val="24"/>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5D427815">
      <w:pPr>
        <w:pStyle w:val="51"/>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特此声明</w:t>
      </w:r>
    </w:p>
    <w:p w14:paraId="67258545">
      <w:pPr>
        <w:pStyle w:val="50"/>
        <w:ind w:left="0" w:right="1449"/>
        <w:jc w:val="both"/>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声明企业：</w:t>
      </w:r>
    </w:p>
    <w:p w14:paraId="020434B1">
      <w:pPr>
        <w:pStyle w:val="50"/>
        <w:ind w:left="0" w:right="1449" w:firstLine="3600" w:firstLineChars="1500"/>
        <w:jc w:val="both"/>
        <w:rPr>
          <w:rFonts w:hint="eastAsia" w:ascii="宋体" w:hAnsi="宋体"/>
          <w:color w:val="auto"/>
          <w:sz w:val="24"/>
          <w:szCs w:val="24"/>
          <w:highlight w:val="none"/>
        </w:rPr>
      </w:pPr>
      <w:r>
        <w:rPr>
          <w:rFonts w:hint="eastAsia" w:ascii="宋体" w:hAnsi="宋体"/>
          <w:color w:val="auto"/>
          <w:sz w:val="24"/>
          <w:szCs w:val="24"/>
          <w:highlight w:val="none"/>
        </w:rPr>
        <w:t>项目负责人签字:</w:t>
      </w:r>
    </w:p>
    <w:p w14:paraId="592A384E">
      <w:pPr>
        <w:pStyle w:val="50"/>
        <w:ind w:left="0" w:right="1449" w:firstLine="3600" w:firstLineChars="1500"/>
        <w:jc w:val="both"/>
        <w:rPr>
          <w:rFonts w:hint="eastAsia" w:ascii="宋体" w:hAnsi="宋体"/>
          <w:color w:val="auto"/>
          <w:sz w:val="24"/>
          <w:szCs w:val="24"/>
          <w:highlight w:val="none"/>
        </w:rPr>
      </w:pPr>
      <w:r>
        <w:rPr>
          <w:rFonts w:hint="eastAsia" w:ascii="宋体" w:hAnsi="宋体"/>
          <w:color w:val="auto"/>
          <w:sz w:val="24"/>
          <w:szCs w:val="24"/>
          <w:highlight w:val="none"/>
        </w:rPr>
        <w:t>技术负责人签字：</w:t>
      </w:r>
    </w:p>
    <w:p w14:paraId="2C63C3C3">
      <w:pPr>
        <w:pStyle w:val="50"/>
        <w:ind w:left="629" w:right="1449" w:firstLine="3840" w:firstLineChars="1600"/>
        <w:jc w:val="both"/>
        <w:rPr>
          <w:rFonts w:hint="eastAsia" w:ascii="宋体" w:hAnsi="宋体"/>
          <w:color w:val="auto"/>
          <w:sz w:val="24"/>
          <w:szCs w:val="24"/>
          <w:highlight w:val="none"/>
        </w:rPr>
      </w:pPr>
      <w:r>
        <w:rPr>
          <w:rFonts w:hint="eastAsia" w:ascii="宋体" w:hAnsi="宋体"/>
          <w:color w:val="auto"/>
          <w:sz w:val="24"/>
          <w:szCs w:val="24"/>
          <w:highlight w:val="none"/>
        </w:rPr>
        <w:t>年   月   日</w:t>
      </w:r>
    </w:p>
    <w:p w14:paraId="0B866111">
      <w:pPr>
        <w:pStyle w:val="50"/>
        <w:ind w:left="0" w:right="1449"/>
        <w:jc w:val="both"/>
        <w:rPr>
          <w:rFonts w:hint="eastAsia" w:ascii="宋体" w:hAnsi="宋体"/>
          <w:color w:val="auto"/>
          <w:sz w:val="24"/>
          <w:szCs w:val="24"/>
          <w:highlight w:val="none"/>
        </w:rPr>
      </w:pPr>
    </w:p>
    <w:p w14:paraId="2D3026AF">
      <w:pPr>
        <w:pStyle w:val="51"/>
        <w:ind w:right="879" w:firstLine="0" w:firstLineChars="0"/>
        <w:jc w:val="left"/>
        <w:rPr>
          <w:rFonts w:hint="eastAsia" w:ascii="宋体" w:hAnsi="宋体" w:eastAsia="宋体"/>
          <w:color w:val="auto"/>
          <w:sz w:val="24"/>
          <w:szCs w:val="24"/>
          <w:highlight w:val="none"/>
        </w:rPr>
      </w:pPr>
    </w:p>
    <w:p w14:paraId="2B48D5F3">
      <w:pPr>
        <w:pStyle w:val="51"/>
        <w:ind w:right="879" w:firstLine="2160" w:firstLineChars="9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444A4F8">
      <w:pPr>
        <w:pStyle w:val="51"/>
        <w:ind w:right="879" w:firstLine="2160" w:firstLineChars="900"/>
        <w:jc w:val="left"/>
        <w:rPr>
          <w:rFonts w:ascii="宋体" w:hAnsi="宋体" w:eastAsia="宋体" w:cs="宋体"/>
          <w:color w:val="auto"/>
          <w:sz w:val="24"/>
          <w:szCs w:val="24"/>
          <w:highlight w:val="none"/>
        </w:rPr>
      </w:pPr>
    </w:p>
    <w:p w14:paraId="787981D3">
      <w:pPr>
        <w:pStyle w:val="51"/>
        <w:ind w:right="879" w:firstLine="2160" w:firstLineChars="900"/>
        <w:jc w:val="left"/>
        <w:rPr>
          <w:rFonts w:ascii="宋体" w:hAnsi="宋体" w:eastAsia="宋体" w:cs="宋体"/>
          <w:color w:val="auto"/>
          <w:sz w:val="24"/>
          <w:szCs w:val="24"/>
          <w:highlight w:val="none"/>
        </w:rPr>
      </w:pPr>
    </w:p>
    <w:p w14:paraId="687683A5">
      <w:pPr>
        <w:spacing w:line="480" w:lineRule="auto"/>
        <w:ind w:firstLine="723"/>
        <w:jc w:val="center"/>
        <w:rPr>
          <w:rFonts w:ascii="宋体" w:hAnsi="宋体"/>
          <w:b/>
          <w:bCs/>
          <w:color w:val="auto"/>
          <w:kern w:val="0"/>
          <w:sz w:val="36"/>
          <w:szCs w:val="36"/>
          <w:highlight w:val="none"/>
        </w:rPr>
      </w:pPr>
    </w:p>
    <w:p w14:paraId="421F63C1">
      <w:pPr>
        <w:spacing w:line="480" w:lineRule="auto"/>
        <w:ind w:firstLine="723"/>
        <w:jc w:val="center"/>
        <w:rPr>
          <w:rFonts w:ascii="宋体" w:hAnsi="宋体"/>
          <w:b/>
          <w:color w:val="auto"/>
          <w:sz w:val="36"/>
          <w:szCs w:val="36"/>
          <w:highlight w:val="none"/>
          <w:u w:val="single"/>
        </w:rPr>
        <w:sectPr>
          <w:pgSz w:w="11906" w:h="16838"/>
          <w:pgMar w:top="1418" w:right="1417" w:bottom="1418" w:left="1417" w:header="851" w:footer="992" w:gutter="0"/>
          <w:cols w:space="720" w:num="1"/>
          <w:docGrid w:type="lines" w:linePitch="312" w:charSpace="0"/>
        </w:sectPr>
      </w:pPr>
    </w:p>
    <w:p w14:paraId="1008BDDC">
      <w:pPr>
        <w:spacing w:line="480" w:lineRule="auto"/>
        <w:ind w:firstLine="0"/>
        <w:jc w:val="center"/>
        <w:rPr>
          <w:rFonts w:ascii="宋体" w:hAnsi="宋体"/>
          <w:b/>
          <w:color w:val="auto"/>
          <w:sz w:val="36"/>
          <w:szCs w:val="36"/>
          <w:highlight w:val="none"/>
          <w:u w:val="single"/>
        </w:rPr>
      </w:pPr>
      <w:r>
        <w:rPr>
          <w:rFonts w:hint="eastAsia" w:ascii="宋体" w:hAnsi="宋体"/>
          <w:b/>
          <w:color w:val="auto"/>
          <w:sz w:val="36"/>
          <w:szCs w:val="36"/>
          <w:highlight w:val="none"/>
        </w:rPr>
        <w:t>投标人声明（二）</w:t>
      </w:r>
    </w:p>
    <w:p w14:paraId="3A685812">
      <w:pPr>
        <w:widowControl/>
        <w:spacing w:line="400" w:lineRule="exact"/>
        <w:ind w:firstLine="480"/>
        <w:jc w:val="center"/>
        <w:rPr>
          <w:rFonts w:ascii="宋体" w:hAnsi="宋体"/>
          <w:color w:val="auto"/>
          <w:spacing w:val="15"/>
          <w:kern w:val="0"/>
          <w:sz w:val="24"/>
          <w:szCs w:val="24"/>
          <w:highlight w:val="none"/>
        </w:rPr>
      </w:pPr>
      <w:r>
        <w:rPr>
          <w:rFonts w:hint="eastAsia" w:ascii="宋体" w:hAnsi="宋体"/>
          <w:bCs/>
          <w:color w:val="auto"/>
          <w:spacing w:val="15"/>
          <w:kern w:val="0"/>
          <w:sz w:val="24"/>
          <w:szCs w:val="24"/>
          <w:highlight w:val="none"/>
        </w:rPr>
        <w:t>关于投标过程不发生围标串标行为的声明</w:t>
      </w:r>
    </w:p>
    <w:p w14:paraId="50077864">
      <w:pPr>
        <w:widowControl/>
        <w:spacing w:line="400" w:lineRule="exact"/>
        <w:ind w:firstLine="48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本招标项目招标人及招标监管机构：</w:t>
      </w:r>
    </w:p>
    <w:p w14:paraId="49A2639A">
      <w:pPr>
        <w:widowControl/>
        <w:spacing w:line="400" w:lineRule="exact"/>
        <w:ind w:firstLine="48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本公司就参加位于增城区的</w:t>
      </w:r>
      <w:r>
        <w:rPr>
          <w:rFonts w:hint="eastAsia" w:ascii="宋体" w:hAnsi="宋体" w:cs="宋体"/>
          <w:color w:val="auto"/>
          <w:sz w:val="24"/>
          <w:highlight w:val="none"/>
          <w:u w:val="single"/>
          <w:lang w:val="en-US" w:eastAsia="zh-CN"/>
        </w:rPr>
        <w:t>增城区仙村镇石新公路北侧20.02亩地块建设项目</w:t>
      </w:r>
      <w:r>
        <w:rPr>
          <w:rFonts w:hint="eastAsia" w:ascii="宋体" w:hAnsi="宋体"/>
          <w:color w:val="auto"/>
          <w:spacing w:val="15"/>
          <w:kern w:val="0"/>
          <w:sz w:val="24"/>
          <w:szCs w:val="24"/>
          <w:highlight w:val="none"/>
          <w:u w:val="single"/>
          <w:lang w:eastAsia="zh-CN"/>
        </w:rPr>
        <w:t>设计施工总承包</w:t>
      </w:r>
      <w:r>
        <w:rPr>
          <w:rFonts w:hint="eastAsia" w:ascii="宋体" w:hAnsi="宋体"/>
          <w:color w:val="auto"/>
          <w:spacing w:val="15"/>
          <w:kern w:val="0"/>
          <w:sz w:val="24"/>
          <w:szCs w:val="24"/>
          <w:highlight w:val="none"/>
        </w:rPr>
        <w:t>的投标工作，作出郑重声明：</w:t>
      </w:r>
    </w:p>
    <w:p w14:paraId="75D3EB86">
      <w:pPr>
        <w:widowControl/>
        <w:spacing w:line="400" w:lineRule="exact"/>
        <w:ind w:firstLine="48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本公司保证在投标过程中不出现以下情形：</w:t>
      </w:r>
    </w:p>
    <w:p w14:paraId="5DFF790D">
      <w:pPr>
        <w:widowControl/>
        <w:spacing w:line="400" w:lineRule="exact"/>
        <w:ind w:firstLine="48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一、不同投标人的投标文件内容存在非正常一致的；</w:t>
      </w:r>
    </w:p>
    <w:p w14:paraId="2CD3CDDA">
      <w:pPr>
        <w:widowControl/>
        <w:spacing w:line="400" w:lineRule="exact"/>
        <w:ind w:firstLine="48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二、不同投标人的投标文件2处以上错漏一致的；</w:t>
      </w:r>
    </w:p>
    <w:p w14:paraId="548CEDC6">
      <w:pPr>
        <w:widowControl/>
        <w:spacing w:line="400" w:lineRule="exact"/>
        <w:ind w:firstLine="48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三、不同投标人的投标报价或者报价组成异常一致或者呈规律性变化的；</w:t>
      </w:r>
    </w:p>
    <w:p w14:paraId="3D8AAD01">
      <w:pPr>
        <w:widowControl/>
        <w:spacing w:line="400" w:lineRule="exact"/>
        <w:ind w:firstLine="48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四、不同投标人的投标文件由同一企业或者同一人编制的；</w:t>
      </w:r>
    </w:p>
    <w:p w14:paraId="0C1BE4AB">
      <w:pPr>
        <w:widowControl/>
        <w:spacing w:line="400" w:lineRule="exact"/>
        <w:ind w:firstLine="48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五、不同投标人的投标文件载明的项目管理班子成员出现同一人的；</w:t>
      </w:r>
    </w:p>
    <w:p w14:paraId="25203DC7">
      <w:pPr>
        <w:widowControl/>
        <w:spacing w:line="400" w:lineRule="exact"/>
        <w:ind w:firstLine="48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六、不同投标人的投标文件相互混装的；</w:t>
      </w:r>
    </w:p>
    <w:p w14:paraId="60EEC3F9">
      <w:pPr>
        <w:widowControl/>
        <w:spacing w:line="400" w:lineRule="exact"/>
        <w:ind w:firstLine="48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七、不同投标人的投标文件由同一台电脑编制或者同一台附属设备打印的；</w:t>
      </w:r>
    </w:p>
    <w:p w14:paraId="42E108A4">
      <w:pPr>
        <w:widowControl/>
        <w:spacing w:line="400" w:lineRule="exact"/>
        <w:ind w:firstLine="48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八、不同投标人委托同一人投标的；</w:t>
      </w:r>
    </w:p>
    <w:p w14:paraId="4E15459B">
      <w:pPr>
        <w:widowControl/>
        <w:spacing w:line="400" w:lineRule="exact"/>
        <w:ind w:firstLine="48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九、不同投标人使用同一人或者企业资金交纳投标保证金或者投标保函的反担保的；</w:t>
      </w:r>
    </w:p>
    <w:p w14:paraId="211C36D5">
      <w:pPr>
        <w:widowControl/>
        <w:spacing w:line="400" w:lineRule="exact"/>
        <w:ind w:firstLine="48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十、不同投标人聘请同一人为其投标提供技术或者经济咨询服务的，但招标工程本身要求采用专用技术的除外；</w:t>
      </w:r>
    </w:p>
    <w:p w14:paraId="527055F4">
      <w:pPr>
        <w:widowControl/>
        <w:spacing w:line="400" w:lineRule="exact"/>
        <w:ind w:firstLine="48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十一、评标委员会认定的其他串通投标情形。</w:t>
      </w:r>
    </w:p>
    <w:p w14:paraId="3A9E63E8">
      <w:pPr>
        <w:widowControl/>
        <w:spacing w:line="400" w:lineRule="exact"/>
        <w:ind w:firstLine="48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如果出现上述情形之一的，愿意接受评标委员会或建设行政主管部门作围标串标行为的认定，并自愿无条件接受招标人和建设行政主管部门的以下处理：</w:t>
      </w:r>
    </w:p>
    <w:p w14:paraId="696B9531">
      <w:pPr>
        <w:widowControl/>
        <w:spacing w:line="400" w:lineRule="exact"/>
        <w:ind w:firstLine="48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1、取消投标、中标候选人资格、中标资格；</w:t>
      </w:r>
    </w:p>
    <w:p w14:paraId="5F4777CD">
      <w:pPr>
        <w:widowControl/>
        <w:spacing w:line="400" w:lineRule="exact"/>
        <w:ind w:firstLine="48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2、由招标人没收投标保证金或合同履约保证金；</w:t>
      </w:r>
    </w:p>
    <w:p w14:paraId="53CBEF1A">
      <w:pPr>
        <w:widowControl/>
        <w:spacing w:line="400" w:lineRule="exact"/>
        <w:ind w:firstLine="48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3、两年内停止或永久禁止参与增城区财政资金建设工程的投标；</w:t>
      </w:r>
    </w:p>
    <w:p w14:paraId="51A0AD68">
      <w:pPr>
        <w:widowControl/>
        <w:spacing w:line="400" w:lineRule="exact"/>
        <w:ind w:firstLine="48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4、两年内停止或永久禁止在增城区承接工程或者执业；</w:t>
      </w:r>
    </w:p>
    <w:p w14:paraId="1C295D61">
      <w:pPr>
        <w:widowControl/>
        <w:spacing w:line="400" w:lineRule="exact"/>
        <w:ind w:firstLine="48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5、对不良行为予以记录，并行公告；</w:t>
      </w:r>
    </w:p>
    <w:p w14:paraId="79F0099B">
      <w:pPr>
        <w:widowControl/>
        <w:spacing w:line="400" w:lineRule="exact"/>
        <w:ind w:firstLine="48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6、报增城区建设行政主管部门备案，并提请上级相关行政主管部门依法进行处罚；</w:t>
      </w:r>
    </w:p>
    <w:p w14:paraId="08AD886E">
      <w:pPr>
        <w:widowControl/>
        <w:spacing w:line="400" w:lineRule="exact"/>
        <w:ind w:firstLine="48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7、其他行政处理决定。</w:t>
      </w:r>
    </w:p>
    <w:p w14:paraId="0457A707">
      <w:pPr>
        <w:widowControl/>
        <w:spacing w:line="400" w:lineRule="exact"/>
        <w:ind w:firstLine="48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特此声明</w:t>
      </w:r>
    </w:p>
    <w:p w14:paraId="31AF5A76">
      <w:pPr>
        <w:widowControl/>
        <w:spacing w:line="400" w:lineRule="exact"/>
        <w:ind w:firstLine="1080" w:firstLineChars="40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声明企业：                          年    月    日</w:t>
      </w:r>
    </w:p>
    <w:p w14:paraId="2F2E2D12">
      <w:pPr>
        <w:widowControl/>
        <w:spacing w:line="400" w:lineRule="exact"/>
        <w:ind w:firstLine="1080" w:firstLineChars="40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法定代表人签字：               (企业公章)</w:t>
      </w:r>
    </w:p>
    <w:p w14:paraId="1983DAF7">
      <w:pPr>
        <w:widowControl/>
        <w:spacing w:line="400" w:lineRule="exact"/>
        <w:ind w:firstLine="540"/>
        <w:jc w:val="center"/>
        <w:rPr>
          <w:rFonts w:ascii="宋体" w:hAnsi="宋体"/>
          <w:b/>
          <w:color w:val="auto"/>
          <w:sz w:val="36"/>
          <w:szCs w:val="36"/>
          <w:highlight w:val="none"/>
          <w:u w:val="single"/>
        </w:rPr>
      </w:pPr>
      <w:r>
        <w:rPr>
          <w:rFonts w:hint="eastAsia" w:ascii="宋体" w:hAnsi="宋体"/>
          <w:bCs/>
          <w:color w:val="auto"/>
          <w:spacing w:val="15"/>
          <w:kern w:val="0"/>
          <w:sz w:val="24"/>
          <w:szCs w:val="24"/>
          <w:highlight w:val="none"/>
        </w:rPr>
        <w:br w:type="page"/>
      </w:r>
      <w:r>
        <w:rPr>
          <w:rFonts w:hint="eastAsia" w:ascii="宋体" w:hAnsi="宋体"/>
          <w:b/>
          <w:color w:val="auto"/>
          <w:sz w:val="36"/>
          <w:szCs w:val="36"/>
          <w:highlight w:val="none"/>
        </w:rPr>
        <w:t>投标人声明（三）</w:t>
      </w:r>
    </w:p>
    <w:p w14:paraId="7273FDE2">
      <w:pPr>
        <w:widowControl/>
        <w:spacing w:line="400" w:lineRule="exact"/>
        <w:ind w:firstLine="540"/>
        <w:jc w:val="center"/>
        <w:rPr>
          <w:rFonts w:ascii="宋体" w:hAnsi="宋体"/>
          <w:color w:val="auto"/>
          <w:spacing w:val="15"/>
          <w:kern w:val="0"/>
          <w:sz w:val="24"/>
          <w:szCs w:val="24"/>
          <w:highlight w:val="none"/>
        </w:rPr>
      </w:pPr>
      <w:r>
        <w:rPr>
          <w:rFonts w:hint="eastAsia" w:ascii="宋体" w:hAnsi="宋体"/>
          <w:bCs/>
          <w:color w:val="auto"/>
          <w:spacing w:val="15"/>
          <w:kern w:val="0"/>
          <w:sz w:val="24"/>
          <w:szCs w:val="24"/>
          <w:highlight w:val="none"/>
        </w:rPr>
        <w:t>关于遵守招标文件和履行工程总承包合同的声明</w:t>
      </w:r>
    </w:p>
    <w:p w14:paraId="66DFC43B">
      <w:pPr>
        <w:widowControl/>
        <w:spacing w:line="400" w:lineRule="exact"/>
        <w:ind w:firstLine="54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本招标项目招标人及招标监管机构：</w:t>
      </w:r>
    </w:p>
    <w:p w14:paraId="3177F276">
      <w:pPr>
        <w:widowControl/>
        <w:spacing w:line="400" w:lineRule="exact"/>
        <w:ind w:firstLine="54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本公司就参加位于增城区的</w:t>
      </w:r>
      <w:r>
        <w:rPr>
          <w:rFonts w:hint="eastAsia" w:ascii="宋体" w:hAnsi="宋体" w:cs="宋体"/>
          <w:color w:val="auto"/>
          <w:sz w:val="24"/>
          <w:highlight w:val="none"/>
          <w:u w:val="single"/>
          <w:lang w:val="en-US" w:eastAsia="zh-CN"/>
        </w:rPr>
        <w:t>增城区仙村镇石新公路北侧20.02亩地块建设项目</w:t>
      </w:r>
      <w:r>
        <w:rPr>
          <w:rFonts w:hint="eastAsia" w:ascii="宋体" w:hAnsi="宋体"/>
          <w:color w:val="auto"/>
          <w:spacing w:val="15"/>
          <w:kern w:val="0"/>
          <w:sz w:val="24"/>
          <w:szCs w:val="24"/>
          <w:highlight w:val="none"/>
          <w:u w:val="single"/>
          <w:lang w:eastAsia="zh-CN"/>
        </w:rPr>
        <w:t>设计施工总承包</w:t>
      </w:r>
      <w:r>
        <w:rPr>
          <w:rFonts w:hint="eastAsia" w:ascii="宋体" w:hAnsi="宋体"/>
          <w:color w:val="auto"/>
          <w:spacing w:val="15"/>
          <w:kern w:val="0"/>
          <w:sz w:val="24"/>
          <w:szCs w:val="24"/>
          <w:highlight w:val="none"/>
        </w:rPr>
        <w:t>的投标工作，作出郑重声明：</w:t>
      </w:r>
    </w:p>
    <w:p w14:paraId="619D6957">
      <w:pPr>
        <w:widowControl/>
        <w:spacing w:line="400" w:lineRule="exact"/>
        <w:ind w:firstLine="54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一、若成为本工程的中标人，我公司将严格遵守招标文件和履行施工合同的下列要求：</w:t>
      </w:r>
    </w:p>
    <w:p w14:paraId="6EDF0B97">
      <w:pPr>
        <w:widowControl/>
        <w:spacing w:line="400" w:lineRule="exact"/>
        <w:ind w:firstLine="54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1、订立合同：在招标文件规定的限期内与招标人订立工程总承包合同。</w:t>
      </w:r>
    </w:p>
    <w:p w14:paraId="7DCC89A7">
      <w:pPr>
        <w:widowControl/>
        <w:spacing w:line="400" w:lineRule="exact"/>
        <w:ind w:firstLine="54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2、施工现场技术和管理人员：</w:t>
      </w:r>
    </w:p>
    <w:p w14:paraId="2AC9B7CB">
      <w:pPr>
        <w:widowControl/>
        <w:spacing w:line="400" w:lineRule="exact"/>
        <w:ind w:firstLine="54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（1）投标承诺及派驻现场的项目管理架构中全部技术和管理人员均为我公司员工；</w:t>
      </w:r>
    </w:p>
    <w:p w14:paraId="179C9E6C">
      <w:pPr>
        <w:widowControl/>
        <w:spacing w:line="400" w:lineRule="exact"/>
        <w:ind w:firstLine="54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（2）根据本工程建设的实际需要适当设置的项目管理架构，委派的技术和管理人员的数量、资质和实际工作能力均满足本工程建设实施要求；</w:t>
      </w:r>
    </w:p>
    <w:p w14:paraId="6E764722">
      <w:pPr>
        <w:widowControl/>
        <w:spacing w:line="400" w:lineRule="exact"/>
        <w:ind w:firstLine="54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（3）在收到发包人进场通知的3天内，所有技术和管理人员全部到位，进入现场办公，不得兼职或者擅自离岗；</w:t>
      </w:r>
    </w:p>
    <w:p w14:paraId="4A93E281">
      <w:pPr>
        <w:widowControl/>
        <w:spacing w:line="400" w:lineRule="exact"/>
        <w:ind w:firstLine="54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14:paraId="26655225">
      <w:pPr>
        <w:widowControl/>
        <w:spacing w:line="400" w:lineRule="exact"/>
        <w:ind w:firstLine="54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14:paraId="180D22C5">
      <w:pPr>
        <w:widowControl/>
        <w:spacing w:line="400" w:lineRule="exact"/>
        <w:ind w:firstLine="54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4、材料、设备：保证准备并供应充足的材料设备，按投标承诺的时间全部按时到位。不因任何材料、设备因素阻碍工期而影响投标承诺的竣工日期。</w:t>
      </w:r>
    </w:p>
    <w:p w14:paraId="4AFBA46D">
      <w:pPr>
        <w:widowControl/>
        <w:spacing w:line="400" w:lineRule="exact"/>
        <w:ind w:firstLine="54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5、质量、安全：保证实现本工程招标文件所确定的工程质量、安全目标计划，且按增城区有关文件及本工程招标文件文明施工管理方案中的要求进行文明施工管理。</w:t>
      </w:r>
    </w:p>
    <w:p w14:paraId="32DFC0AA">
      <w:pPr>
        <w:widowControl/>
        <w:spacing w:line="400" w:lineRule="exact"/>
        <w:ind w:firstLine="54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6、不发生出借资质、转包、违法分包行为。</w:t>
      </w:r>
    </w:p>
    <w:p w14:paraId="4CEF1625">
      <w:pPr>
        <w:widowControl/>
        <w:spacing w:line="400" w:lineRule="exact"/>
        <w:ind w:firstLine="54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7、不拖欠或克扣劳务人员工资，不拖欠材料、设备价款、分包合同工程款（如有分包工程）。</w:t>
      </w:r>
    </w:p>
    <w:p w14:paraId="0B3161DC">
      <w:pPr>
        <w:widowControl/>
        <w:spacing w:line="400" w:lineRule="exact"/>
        <w:ind w:firstLine="54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二、如不能履行上述承诺，本公司愿意承担由此带来的法律后果，并自愿无条件地接受招标人和建设行政主管部门的以下处理：</w:t>
      </w:r>
    </w:p>
    <w:p w14:paraId="0083F54A">
      <w:pPr>
        <w:widowControl/>
        <w:spacing w:line="400" w:lineRule="exact"/>
        <w:ind w:firstLine="54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1、取消中标资格或者解除合同；</w:t>
      </w:r>
    </w:p>
    <w:p w14:paraId="6165CC7B">
      <w:pPr>
        <w:widowControl/>
        <w:spacing w:line="400" w:lineRule="exact"/>
        <w:ind w:firstLine="54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2、由招标人没收投标保证金或合同履约保证金；</w:t>
      </w:r>
    </w:p>
    <w:p w14:paraId="19627828">
      <w:pPr>
        <w:widowControl/>
        <w:spacing w:line="400" w:lineRule="exact"/>
        <w:ind w:firstLine="54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3、两年内停止或永久禁止参与增城区财政资金建设工程的投标；</w:t>
      </w:r>
    </w:p>
    <w:p w14:paraId="71A863EE">
      <w:pPr>
        <w:widowControl/>
        <w:spacing w:line="400" w:lineRule="exact"/>
        <w:ind w:firstLine="54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4、两年内停止或永久禁止在增城区承接工程或者执业；</w:t>
      </w:r>
    </w:p>
    <w:p w14:paraId="640E93A6">
      <w:pPr>
        <w:widowControl/>
        <w:spacing w:line="400" w:lineRule="exact"/>
        <w:ind w:firstLine="54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5、对不良行为予以记录，并进行公告；</w:t>
      </w:r>
    </w:p>
    <w:p w14:paraId="1E43409E">
      <w:pPr>
        <w:widowControl/>
        <w:spacing w:line="400" w:lineRule="exact"/>
        <w:ind w:firstLine="54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6、报增城区建设行政主管部门备案，并提请上级相关行政主管部门依法进行处罚；</w:t>
      </w:r>
    </w:p>
    <w:p w14:paraId="1512A3CD">
      <w:pPr>
        <w:widowControl/>
        <w:spacing w:line="400" w:lineRule="exact"/>
        <w:ind w:firstLine="54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7、其他行政处理决定。</w:t>
      </w:r>
    </w:p>
    <w:p w14:paraId="07229E02">
      <w:pPr>
        <w:widowControl/>
        <w:spacing w:line="400" w:lineRule="exact"/>
        <w:ind w:firstLine="675" w:firstLineChars="25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特此声明</w:t>
      </w:r>
    </w:p>
    <w:p w14:paraId="56145E7C">
      <w:pPr>
        <w:widowControl/>
        <w:spacing w:line="400" w:lineRule="exact"/>
        <w:ind w:firstLine="675" w:firstLineChars="250"/>
        <w:rPr>
          <w:rFonts w:ascii="宋体" w:hAnsi="宋体"/>
          <w:color w:val="auto"/>
          <w:spacing w:val="15"/>
          <w:kern w:val="0"/>
          <w:sz w:val="24"/>
          <w:szCs w:val="24"/>
          <w:highlight w:val="none"/>
        </w:rPr>
      </w:pPr>
    </w:p>
    <w:p w14:paraId="667997E2">
      <w:pPr>
        <w:widowControl/>
        <w:spacing w:line="400" w:lineRule="exact"/>
        <w:ind w:firstLine="675" w:firstLineChars="250"/>
        <w:rPr>
          <w:rFonts w:ascii="宋体" w:hAnsi="宋体"/>
          <w:color w:val="auto"/>
          <w:spacing w:val="15"/>
          <w:kern w:val="0"/>
          <w:sz w:val="24"/>
          <w:szCs w:val="24"/>
          <w:highlight w:val="none"/>
        </w:rPr>
      </w:pPr>
    </w:p>
    <w:p w14:paraId="61C494F6">
      <w:pPr>
        <w:widowControl/>
        <w:spacing w:line="400" w:lineRule="exact"/>
        <w:ind w:firstLine="675" w:firstLineChars="250"/>
        <w:rPr>
          <w:rFonts w:ascii="宋体" w:hAnsi="宋体"/>
          <w:color w:val="auto"/>
          <w:spacing w:val="15"/>
          <w:kern w:val="0"/>
          <w:sz w:val="24"/>
          <w:szCs w:val="24"/>
          <w:highlight w:val="none"/>
        </w:rPr>
      </w:pPr>
    </w:p>
    <w:p w14:paraId="4D9395BB">
      <w:pPr>
        <w:widowControl/>
        <w:spacing w:line="400" w:lineRule="exact"/>
        <w:ind w:firstLine="675" w:firstLineChars="250"/>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声明企业：                               年    月  日</w:t>
      </w:r>
    </w:p>
    <w:p w14:paraId="31E40425">
      <w:pPr>
        <w:pStyle w:val="51"/>
        <w:ind w:right="1449" w:firstLine="707" w:firstLineChars="262"/>
        <w:rPr>
          <w:rFonts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法定代表人签字：             (企业公章)</w:t>
      </w:r>
    </w:p>
    <w:p w14:paraId="137FD7C9">
      <w:pPr>
        <w:pStyle w:val="51"/>
        <w:ind w:right="1449" w:firstLine="0"/>
        <w:rPr>
          <w:rFonts w:ascii="宋体" w:hAnsi="宋体" w:eastAsia="宋体" w:cs="宋体"/>
          <w:color w:val="auto"/>
          <w:sz w:val="24"/>
          <w:szCs w:val="24"/>
          <w:highlight w:val="none"/>
        </w:rPr>
      </w:pPr>
    </w:p>
    <w:p w14:paraId="2A85F36B">
      <w:pPr>
        <w:pStyle w:val="51"/>
        <w:ind w:right="1449" w:firstLine="0"/>
        <w:rPr>
          <w:rFonts w:ascii="宋体" w:hAnsi="宋体" w:eastAsia="宋体" w:cs="宋体"/>
          <w:color w:val="auto"/>
          <w:highlight w:val="none"/>
        </w:rPr>
      </w:pPr>
    </w:p>
    <w:p w14:paraId="6FD80897">
      <w:pPr>
        <w:pStyle w:val="51"/>
        <w:ind w:right="1449" w:firstLine="0"/>
        <w:rPr>
          <w:rFonts w:ascii="宋体" w:hAnsi="宋体" w:eastAsia="宋体" w:cs="宋体"/>
          <w:color w:val="auto"/>
          <w:highlight w:val="none"/>
        </w:rPr>
      </w:pPr>
    </w:p>
    <w:p w14:paraId="4DCE75F3">
      <w:pPr>
        <w:pStyle w:val="51"/>
        <w:ind w:right="1449" w:firstLine="0"/>
        <w:rPr>
          <w:rFonts w:ascii="宋体" w:hAnsi="宋体" w:eastAsia="宋体" w:cs="宋体"/>
          <w:color w:val="auto"/>
          <w:highlight w:val="none"/>
        </w:rPr>
      </w:pPr>
    </w:p>
    <w:p w14:paraId="048FD71A">
      <w:pPr>
        <w:pStyle w:val="51"/>
        <w:ind w:right="1449" w:firstLine="0"/>
        <w:rPr>
          <w:rFonts w:ascii="宋体" w:hAnsi="宋体" w:eastAsia="宋体" w:cs="宋体"/>
          <w:color w:val="auto"/>
          <w:highlight w:val="none"/>
        </w:rPr>
      </w:pPr>
    </w:p>
    <w:p w14:paraId="1D3BC289">
      <w:pPr>
        <w:pStyle w:val="51"/>
        <w:ind w:right="1449" w:firstLine="0"/>
        <w:rPr>
          <w:rFonts w:ascii="宋体" w:hAnsi="宋体" w:eastAsia="宋体" w:cs="宋体"/>
          <w:color w:val="auto"/>
          <w:highlight w:val="none"/>
        </w:rPr>
      </w:pPr>
    </w:p>
    <w:p w14:paraId="18A2BD31">
      <w:pPr>
        <w:pStyle w:val="51"/>
        <w:ind w:right="1449" w:firstLine="0"/>
        <w:rPr>
          <w:rFonts w:ascii="宋体" w:hAnsi="宋体" w:eastAsia="宋体" w:cs="宋体"/>
          <w:color w:val="auto"/>
          <w:highlight w:val="none"/>
        </w:rPr>
      </w:pPr>
    </w:p>
    <w:p w14:paraId="3640B5DA">
      <w:pPr>
        <w:pStyle w:val="51"/>
        <w:ind w:right="1449" w:firstLine="0"/>
        <w:rPr>
          <w:rFonts w:ascii="宋体" w:hAnsi="宋体" w:eastAsia="宋体" w:cs="宋体"/>
          <w:color w:val="auto"/>
          <w:highlight w:val="none"/>
        </w:rPr>
      </w:pPr>
    </w:p>
    <w:p w14:paraId="6B8D36BF">
      <w:pPr>
        <w:ind w:firstLine="480"/>
        <w:rPr>
          <w:rFonts w:ascii="宋体" w:hAnsi="宋体"/>
          <w:color w:val="auto"/>
          <w:highlight w:val="none"/>
        </w:rPr>
      </w:pPr>
    </w:p>
    <w:p w14:paraId="237A3353">
      <w:pPr>
        <w:widowControl/>
        <w:ind w:firstLine="723"/>
        <w:jc w:val="center"/>
        <w:rPr>
          <w:rFonts w:ascii="宋体" w:hAnsi="宋体"/>
          <w:b/>
          <w:bCs/>
          <w:color w:val="auto"/>
          <w:kern w:val="0"/>
          <w:sz w:val="36"/>
          <w:szCs w:val="36"/>
          <w:highlight w:val="none"/>
        </w:rPr>
      </w:pPr>
    </w:p>
    <w:p w14:paraId="220FCD66">
      <w:pPr>
        <w:widowControl/>
        <w:ind w:firstLine="723"/>
        <w:rPr>
          <w:rFonts w:ascii="宋体" w:hAnsi="宋体"/>
          <w:b/>
          <w:bCs/>
          <w:color w:val="auto"/>
          <w:kern w:val="0"/>
          <w:sz w:val="36"/>
          <w:szCs w:val="36"/>
          <w:highlight w:val="none"/>
        </w:rPr>
      </w:pPr>
    </w:p>
    <w:p w14:paraId="12A4D061">
      <w:pPr>
        <w:pStyle w:val="18"/>
        <w:ind w:left="0"/>
        <w:rPr>
          <w:rFonts w:ascii="宋体" w:hAnsi="宋体"/>
          <w:color w:val="auto"/>
          <w:highlight w:val="none"/>
        </w:rPr>
      </w:pPr>
    </w:p>
    <w:bookmarkEnd w:id="20"/>
    <w:sectPr>
      <w:footerReference r:id="rId6" w:type="first"/>
      <w:footerReference r:id="rId5" w:type="default"/>
      <w:pgSz w:w="11906" w:h="16838"/>
      <w:pgMar w:top="1417" w:right="1417" w:bottom="1417" w:left="1417" w:header="851" w:footer="73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61DC1">
    <w:pPr>
      <w:pStyle w:val="1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E656337">
                          <w:pPr>
                            <w:pStyle w:val="14"/>
                          </w:pPr>
                          <w:r>
                            <w:fldChar w:fldCharType="begin"/>
                          </w:r>
                          <w:r>
                            <w:instrText xml:space="preserve"> PAGE  \* MERGEFORMAT </w:instrText>
                          </w:r>
                          <w:r>
                            <w:fldChar w:fldCharType="separate"/>
                          </w:r>
                          <w:r>
                            <w:t>9</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H170gLKAQAAlwMAAA4AAAAAAAAAAQAgAAAAIgEAAGRycy9l&#10;Mm9Eb2MueG1sUEsFBgAAAAAGAAYAWQEAAF4FAAAAAA==&#10;">
              <v:fill on="f" focussize="0,0"/>
              <v:stroke on="f" weight="1.25pt"/>
              <v:imagedata o:title=""/>
              <o:lock v:ext="edit" aspectratio="f"/>
              <v:textbox inset="0mm,0mm,0mm,0mm" style="mso-fit-shape-to-text:t;">
                <w:txbxContent>
                  <w:p w14:paraId="2E656337">
                    <w:pPr>
                      <w:pStyle w:val="1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1E814">
    <w:pPr>
      <w:pStyle w:val="14"/>
      <w:framePr w:wrap="around" w:vAnchor="text" w:hAnchor="page" w:x="6151" w:y="64"/>
      <w:rPr>
        <w:rStyle w:val="28"/>
      </w:rPr>
    </w:pPr>
    <w:r>
      <w:fldChar w:fldCharType="begin"/>
    </w:r>
    <w:r>
      <w:rPr>
        <w:rStyle w:val="28"/>
      </w:rPr>
      <w:instrText xml:space="preserve">PAGE  </w:instrText>
    </w:r>
    <w:r>
      <w:fldChar w:fldCharType="separate"/>
    </w:r>
    <w:r>
      <w:rPr>
        <w:rStyle w:val="28"/>
      </w:rPr>
      <w:t>18</w:t>
    </w:r>
    <w:r>
      <w:fldChar w:fldCharType="end"/>
    </w:r>
  </w:p>
  <w:p w14:paraId="1230F7AC">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2BC89">
    <w:pPr>
      <w:pStyle w:val="14"/>
      <w:jc w:val="center"/>
    </w:pPr>
  </w:p>
  <w:p w14:paraId="0067B900">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AAA36">
    <w:pPr>
      <w:pStyle w:val="1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2848A"/>
    <w:multiLevelType w:val="singleLevel"/>
    <w:tmpl w:val="9B02848A"/>
    <w:lvl w:ilvl="0" w:tentative="0">
      <w:start w:val="4"/>
      <w:numFmt w:val="chineseCounting"/>
      <w:suff w:val="nothing"/>
      <w:lvlText w:val="%1、"/>
      <w:lvlJc w:val="left"/>
      <w:pPr>
        <w:ind w:left="1"/>
      </w:pPr>
      <w:rPr>
        <w:rFonts w:hint="eastAsia"/>
        <w:b/>
        <w:bCs/>
      </w:rPr>
    </w:lvl>
  </w:abstractNum>
  <w:abstractNum w:abstractNumId="1">
    <w:nsid w:val="D05BF0C5"/>
    <w:multiLevelType w:val="singleLevel"/>
    <w:tmpl w:val="D05BF0C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trackedChanges"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N2MwODUyZDU0ZGQ0YzFkMzgyNjk1MmU3MTAxNTEifQ=="/>
  </w:docVars>
  <w:rsids>
    <w:rsidRoot w:val="00172A27"/>
    <w:rsid w:val="00047B4F"/>
    <w:rsid w:val="00051687"/>
    <w:rsid w:val="0005425C"/>
    <w:rsid w:val="000757B0"/>
    <w:rsid w:val="000827B5"/>
    <w:rsid w:val="000B5178"/>
    <w:rsid w:val="000C121C"/>
    <w:rsid w:val="000E4F5A"/>
    <w:rsid w:val="000F1C16"/>
    <w:rsid w:val="00101674"/>
    <w:rsid w:val="001040FF"/>
    <w:rsid w:val="00116675"/>
    <w:rsid w:val="001313B0"/>
    <w:rsid w:val="0015338A"/>
    <w:rsid w:val="00162544"/>
    <w:rsid w:val="00166FBB"/>
    <w:rsid w:val="00172A27"/>
    <w:rsid w:val="0020660A"/>
    <w:rsid w:val="0022585B"/>
    <w:rsid w:val="00233ED3"/>
    <w:rsid w:val="00261352"/>
    <w:rsid w:val="002E2F6D"/>
    <w:rsid w:val="002F72A7"/>
    <w:rsid w:val="002F75A3"/>
    <w:rsid w:val="003075BA"/>
    <w:rsid w:val="003323C5"/>
    <w:rsid w:val="00334392"/>
    <w:rsid w:val="003344BB"/>
    <w:rsid w:val="003379C2"/>
    <w:rsid w:val="003418EE"/>
    <w:rsid w:val="003634E0"/>
    <w:rsid w:val="00363A73"/>
    <w:rsid w:val="00383D10"/>
    <w:rsid w:val="003A4453"/>
    <w:rsid w:val="003B5865"/>
    <w:rsid w:val="003D6007"/>
    <w:rsid w:val="003F0B0F"/>
    <w:rsid w:val="00405DDA"/>
    <w:rsid w:val="00433DEC"/>
    <w:rsid w:val="004641C9"/>
    <w:rsid w:val="004D0B35"/>
    <w:rsid w:val="004E5901"/>
    <w:rsid w:val="004F7556"/>
    <w:rsid w:val="005536F5"/>
    <w:rsid w:val="0056136C"/>
    <w:rsid w:val="00592015"/>
    <w:rsid w:val="005A2A8D"/>
    <w:rsid w:val="005A3F69"/>
    <w:rsid w:val="005B21C3"/>
    <w:rsid w:val="005D231C"/>
    <w:rsid w:val="00667BFA"/>
    <w:rsid w:val="0067302D"/>
    <w:rsid w:val="006E6959"/>
    <w:rsid w:val="00712D8C"/>
    <w:rsid w:val="00714CBC"/>
    <w:rsid w:val="0073060F"/>
    <w:rsid w:val="007646A4"/>
    <w:rsid w:val="007923BE"/>
    <w:rsid w:val="007B2A58"/>
    <w:rsid w:val="007C534E"/>
    <w:rsid w:val="00866CF5"/>
    <w:rsid w:val="00873FB5"/>
    <w:rsid w:val="008915CD"/>
    <w:rsid w:val="008D096B"/>
    <w:rsid w:val="00925407"/>
    <w:rsid w:val="009F761E"/>
    <w:rsid w:val="009F7A86"/>
    <w:rsid w:val="00A130AF"/>
    <w:rsid w:val="00A302E3"/>
    <w:rsid w:val="00A44063"/>
    <w:rsid w:val="00A44472"/>
    <w:rsid w:val="00A65DF8"/>
    <w:rsid w:val="00A669CE"/>
    <w:rsid w:val="00A76CA0"/>
    <w:rsid w:val="00A87CD1"/>
    <w:rsid w:val="00AC561F"/>
    <w:rsid w:val="00AD5823"/>
    <w:rsid w:val="00AE41F1"/>
    <w:rsid w:val="00B03AB8"/>
    <w:rsid w:val="00B13C69"/>
    <w:rsid w:val="00B2321B"/>
    <w:rsid w:val="00B619BE"/>
    <w:rsid w:val="00B62B25"/>
    <w:rsid w:val="00B91A00"/>
    <w:rsid w:val="00BC371A"/>
    <w:rsid w:val="00C408D2"/>
    <w:rsid w:val="00C612B7"/>
    <w:rsid w:val="00CC112D"/>
    <w:rsid w:val="00CC7B03"/>
    <w:rsid w:val="00CC7F8D"/>
    <w:rsid w:val="00CF3035"/>
    <w:rsid w:val="00CF68D9"/>
    <w:rsid w:val="00D16C5B"/>
    <w:rsid w:val="00D41191"/>
    <w:rsid w:val="00D47683"/>
    <w:rsid w:val="00D53C8B"/>
    <w:rsid w:val="00D5763E"/>
    <w:rsid w:val="00D613ED"/>
    <w:rsid w:val="00DC6CDF"/>
    <w:rsid w:val="00DF26FE"/>
    <w:rsid w:val="00E006F9"/>
    <w:rsid w:val="00E0515D"/>
    <w:rsid w:val="00E1365B"/>
    <w:rsid w:val="00E21493"/>
    <w:rsid w:val="00F02DA0"/>
    <w:rsid w:val="00F93B99"/>
    <w:rsid w:val="011858CB"/>
    <w:rsid w:val="019138AB"/>
    <w:rsid w:val="01A303CF"/>
    <w:rsid w:val="01D22B46"/>
    <w:rsid w:val="01E52DAF"/>
    <w:rsid w:val="029D275F"/>
    <w:rsid w:val="02E6168A"/>
    <w:rsid w:val="02F20591"/>
    <w:rsid w:val="02F613B1"/>
    <w:rsid w:val="03011BBD"/>
    <w:rsid w:val="0302745F"/>
    <w:rsid w:val="031F181B"/>
    <w:rsid w:val="03470150"/>
    <w:rsid w:val="036A13A4"/>
    <w:rsid w:val="03806F86"/>
    <w:rsid w:val="0397607D"/>
    <w:rsid w:val="03C525EF"/>
    <w:rsid w:val="03C74B3D"/>
    <w:rsid w:val="03D52EF4"/>
    <w:rsid w:val="03E43A43"/>
    <w:rsid w:val="03E55A4E"/>
    <w:rsid w:val="0431202E"/>
    <w:rsid w:val="04B229E2"/>
    <w:rsid w:val="04D01847"/>
    <w:rsid w:val="04FC489E"/>
    <w:rsid w:val="05377F86"/>
    <w:rsid w:val="053A19A4"/>
    <w:rsid w:val="053A45A8"/>
    <w:rsid w:val="0590772F"/>
    <w:rsid w:val="05B32F51"/>
    <w:rsid w:val="05EB4FCC"/>
    <w:rsid w:val="06344057"/>
    <w:rsid w:val="065B7836"/>
    <w:rsid w:val="06782196"/>
    <w:rsid w:val="06B1289C"/>
    <w:rsid w:val="07010239"/>
    <w:rsid w:val="0761624A"/>
    <w:rsid w:val="07BB7C23"/>
    <w:rsid w:val="07E37DDC"/>
    <w:rsid w:val="07FF75A1"/>
    <w:rsid w:val="08D1053A"/>
    <w:rsid w:val="09016473"/>
    <w:rsid w:val="09304580"/>
    <w:rsid w:val="094178BF"/>
    <w:rsid w:val="094620D8"/>
    <w:rsid w:val="09C55EF2"/>
    <w:rsid w:val="09DA4F37"/>
    <w:rsid w:val="09FC4E8C"/>
    <w:rsid w:val="0A1809FE"/>
    <w:rsid w:val="0A2F05DF"/>
    <w:rsid w:val="0A3038F8"/>
    <w:rsid w:val="0A5F6F37"/>
    <w:rsid w:val="0A8C0315"/>
    <w:rsid w:val="0A8C07BD"/>
    <w:rsid w:val="0A91606C"/>
    <w:rsid w:val="0AAA31CF"/>
    <w:rsid w:val="0AF845A7"/>
    <w:rsid w:val="0AFB2731"/>
    <w:rsid w:val="0B3D575C"/>
    <w:rsid w:val="0B7D013F"/>
    <w:rsid w:val="0B8F59C6"/>
    <w:rsid w:val="0BA4310E"/>
    <w:rsid w:val="0C926000"/>
    <w:rsid w:val="0CA15321"/>
    <w:rsid w:val="0D7F02AE"/>
    <w:rsid w:val="0DF84C32"/>
    <w:rsid w:val="0E282608"/>
    <w:rsid w:val="0E455347"/>
    <w:rsid w:val="0ED67CAB"/>
    <w:rsid w:val="0EE00547"/>
    <w:rsid w:val="0F4A5C10"/>
    <w:rsid w:val="0F642DCD"/>
    <w:rsid w:val="0F656139"/>
    <w:rsid w:val="0FBA381F"/>
    <w:rsid w:val="0FC17622"/>
    <w:rsid w:val="0FE73022"/>
    <w:rsid w:val="10174E6A"/>
    <w:rsid w:val="10A85396"/>
    <w:rsid w:val="10CA4AB3"/>
    <w:rsid w:val="10CD3C50"/>
    <w:rsid w:val="10DB0979"/>
    <w:rsid w:val="10EA3C90"/>
    <w:rsid w:val="10F560D6"/>
    <w:rsid w:val="114B184E"/>
    <w:rsid w:val="11514121"/>
    <w:rsid w:val="116577BB"/>
    <w:rsid w:val="116B4F27"/>
    <w:rsid w:val="1179120F"/>
    <w:rsid w:val="11AC0F46"/>
    <w:rsid w:val="11B64C99"/>
    <w:rsid w:val="11E5634B"/>
    <w:rsid w:val="12133F19"/>
    <w:rsid w:val="123E5365"/>
    <w:rsid w:val="126F773A"/>
    <w:rsid w:val="12740B7C"/>
    <w:rsid w:val="12B64C94"/>
    <w:rsid w:val="133306C6"/>
    <w:rsid w:val="13525B1D"/>
    <w:rsid w:val="136E0BA9"/>
    <w:rsid w:val="13837D2F"/>
    <w:rsid w:val="1432266A"/>
    <w:rsid w:val="145558C5"/>
    <w:rsid w:val="145B6BA9"/>
    <w:rsid w:val="148B46C1"/>
    <w:rsid w:val="14D76E2D"/>
    <w:rsid w:val="14ED5ED8"/>
    <w:rsid w:val="15426A77"/>
    <w:rsid w:val="1615442F"/>
    <w:rsid w:val="16707D13"/>
    <w:rsid w:val="1699207B"/>
    <w:rsid w:val="169B6FA9"/>
    <w:rsid w:val="16A9014A"/>
    <w:rsid w:val="16B03286"/>
    <w:rsid w:val="16B56AEF"/>
    <w:rsid w:val="16C92FA7"/>
    <w:rsid w:val="16D048ED"/>
    <w:rsid w:val="1736126E"/>
    <w:rsid w:val="174B5F00"/>
    <w:rsid w:val="18147845"/>
    <w:rsid w:val="18182799"/>
    <w:rsid w:val="18291F9C"/>
    <w:rsid w:val="18301194"/>
    <w:rsid w:val="18463EA2"/>
    <w:rsid w:val="18A92E43"/>
    <w:rsid w:val="18C1177B"/>
    <w:rsid w:val="18E952BE"/>
    <w:rsid w:val="18FC6C57"/>
    <w:rsid w:val="192D5062"/>
    <w:rsid w:val="194A3EAC"/>
    <w:rsid w:val="197F59AE"/>
    <w:rsid w:val="19B5667D"/>
    <w:rsid w:val="19F16090"/>
    <w:rsid w:val="1A051B3B"/>
    <w:rsid w:val="1A09162B"/>
    <w:rsid w:val="1A0E10E0"/>
    <w:rsid w:val="1A7C55C2"/>
    <w:rsid w:val="1AAD15FF"/>
    <w:rsid w:val="1AC13CB4"/>
    <w:rsid w:val="1AEB3C17"/>
    <w:rsid w:val="1B5D1961"/>
    <w:rsid w:val="1B6E32B2"/>
    <w:rsid w:val="1C5F3784"/>
    <w:rsid w:val="1CCC1E2A"/>
    <w:rsid w:val="1CF30371"/>
    <w:rsid w:val="1D061167"/>
    <w:rsid w:val="1D0B0B28"/>
    <w:rsid w:val="1D1E1215"/>
    <w:rsid w:val="1D547061"/>
    <w:rsid w:val="1D9B4C90"/>
    <w:rsid w:val="1DAF24EA"/>
    <w:rsid w:val="1DAF6D38"/>
    <w:rsid w:val="1DBD187D"/>
    <w:rsid w:val="1DF94C3D"/>
    <w:rsid w:val="1E2C3DBE"/>
    <w:rsid w:val="1E3D5D47"/>
    <w:rsid w:val="1E65704C"/>
    <w:rsid w:val="1E7E0087"/>
    <w:rsid w:val="1E823D0A"/>
    <w:rsid w:val="1ED14CB3"/>
    <w:rsid w:val="1FC677C0"/>
    <w:rsid w:val="1FCA144D"/>
    <w:rsid w:val="1FD44D9F"/>
    <w:rsid w:val="1FF80384"/>
    <w:rsid w:val="20415148"/>
    <w:rsid w:val="20542ED4"/>
    <w:rsid w:val="20621A95"/>
    <w:rsid w:val="20E266AB"/>
    <w:rsid w:val="210E7527"/>
    <w:rsid w:val="215556FA"/>
    <w:rsid w:val="21697F91"/>
    <w:rsid w:val="21845A3B"/>
    <w:rsid w:val="219C0FD7"/>
    <w:rsid w:val="21B75806"/>
    <w:rsid w:val="21DB6E7F"/>
    <w:rsid w:val="21E86048"/>
    <w:rsid w:val="222B5EB7"/>
    <w:rsid w:val="22A40F75"/>
    <w:rsid w:val="22AF66ED"/>
    <w:rsid w:val="22B41B73"/>
    <w:rsid w:val="2321009B"/>
    <w:rsid w:val="23442CDC"/>
    <w:rsid w:val="235C6C70"/>
    <w:rsid w:val="23AB062F"/>
    <w:rsid w:val="23B45558"/>
    <w:rsid w:val="23D77FA4"/>
    <w:rsid w:val="23E0386F"/>
    <w:rsid w:val="23EB6BA9"/>
    <w:rsid w:val="24235517"/>
    <w:rsid w:val="24433851"/>
    <w:rsid w:val="244B0A92"/>
    <w:rsid w:val="24C033D9"/>
    <w:rsid w:val="24D51090"/>
    <w:rsid w:val="250F7D12"/>
    <w:rsid w:val="255804BD"/>
    <w:rsid w:val="258629BC"/>
    <w:rsid w:val="258915A1"/>
    <w:rsid w:val="259D1505"/>
    <w:rsid w:val="25B85CB3"/>
    <w:rsid w:val="2613339A"/>
    <w:rsid w:val="263F7105"/>
    <w:rsid w:val="267C318C"/>
    <w:rsid w:val="26B371DD"/>
    <w:rsid w:val="26C2089D"/>
    <w:rsid w:val="26C3276D"/>
    <w:rsid w:val="271B13D7"/>
    <w:rsid w:val="279347BF"/>
    <w:rsid w:val="27B27EB9"/>
    <w:rsid w:val="27E663D8"/>
    <w:rsid w:val="282E40EC"/>
    <w:rsid w:val="283261F1"/>
    <w:rsid w:val="285B23F8"/>
    <w:rsid w:val="28F2772E"/>
    <w:rsid w:val="292C2C40"/>
    <w:rsid w:val="294361DC"/>
    <w:rsid w:val="297D2B73"/>
    <w:rsid w:val="29A7676B"/>
    <w:rsid w:val="29CE06E9"/>
    <w:rsid w:val="2AB729DE"/>
    <w:rsid w:val="2ABC7531"/>
    <w:rsid w:val="2B6639CF"/>
    <w:rsid w:val="2B8F7621"/>
    <w:rsid w:val="2BAA2542"/>
    <w:rsid w:val="2BB4516F"/>
    <w:rsid w:val="2C0C4FD7"/>
    <w:rsid w:val="2C210F16"/>
    <w:rsid w:val="2C582F61"/>
    <w:rsid w:val="2CAD65E9"/>
    <w:rsid w:val="2CB52F4D"/>
    <w:rsid w:val="2CBA6DEC"/>
    <w:rsid w:val="2CCD64E8"/>
    <w:rsid w:val="2CF5572D"/>
    <w:rsid w:val="2D6869D3"/>
    <w:rsid w:val="2D807AA5"/>
    <w:rsid w:val="2D8A6187"/>
    <w:rsid w:val="2D9D34B1"/>
    <w:rsid w:val="2DAA11C0"/>
    <w:rsid w:val="2DD13DB6"/>
    <w:rsid w:val="2DD65871"/>
    <w:rsid w:val="2DE47F8D"/>
    <w:rsid w:val="2E440A2C"/>
    <w:rsid w:val="2E5F7BCB"/>
    <w:rsid w:val="2E741DF0"/>
    <w:rsid w:val="2EB80BCC"/>
    <w:rsid w:val="2ED755C2"/>
    <w:rsid w:val="2EF8115E"/>
    <w:rsid w:val="2F14103A"/>
    <w:rsid w:val="2F185EAC"/>
    <w:rsid w:val="2F4C51CE"/>
    <w:rsid w:val="2F8E5DBB"/>
    <w:rsid w:val="30112C71"/>
    <w:rsid w:val="303B19BB"/>
    <w:rsid w:val="30436BAE"/>
    <w:rsid w:val="304E3C5D"/>
    <w:rsid w:val="306A59AF"/>
    <w:rsid w:val="30A12166"/>
    <w:rsid w:val="30B218B6"/>
    <w:rsid w:val="312569CB"/>
    <w:rsid w:val="31777D9C"/>
    <w:rsid w:val="32C11043"/>
    <w:rsid w:val="32D40360"/>
    <w:rsid w:val="330072BC"/>
    <w:rsid w:val="3340061A"/>
    <w:rsid w:val="339E298D"/>
    <w:rsid w:val="3404561A"/>
    <w:rsid w:val="34555ECA"/>
    <w:rsid w:val="34C8511C"/>
    <w:rsid w:val="353167BB"/>
    <w:rsid w:val="354B2F17"/>
    <w:rsid w:val="35503867"/>
    <w:rsid w:val="368F480F"/>
    <w:rsid w:val="36C70CDB"/>
    <w:rsid w:val="37492287"/>
    <w:rsid w:val="37517D16"/>
    <w:rsid w:val="37826121"/>
    <w:rsid w:val="380B05FC"/>
    <w:rsid w:val="385016D1"/>
    <w:rsid w:val="38AE7F5F"/>
    <w:rsid w:val="38FF5354"/>
    <w:rsid w:val="39240A54"/>
    <w:rsid w:val="39280B79"/>
    <w:rsid w:val="39901F65"/>
    <w:rsid w:val="39B06043"/>
    <w:rsid w:val="39B241A2"/>
    <w:rsid w:val="39F74BA5"/>
    <w:rsid w:val="3A036CB2"/>
    <w:rsid w:val="3A0E0140"/>
    <w:rsid w:val="3A371445"/>
    <w:rsid w:val="3A4927F6"/>
    <w:rsid w:val="3A691DF3"/>
    <w:rsid w:val="3AAB541D"/>
    <w:rsid w:val="3AD04845"/>
    <w:rsid w:val="3B306C48"/>
    <w:rsid w:val="3BF53366"/>
    <w:rsid w:val="3BF7335B"/>
    <w:rsid w:val="3C0637C5"/>
    <w:rsid w:val="3C920BB5"/>
    <w:rsid w:val="3CA63B31"/>
    <w:rsid w:val="3CE159FE"/>
    <w:rsid w:val="3D5E14BA"/>
    <w:rsid w:val="3DB43E2D"/>
    <w:rsid w:val="3DED085D"/>
    <w:rsid w:val="3E09213F"/>
    <w:rsid w:val="3E3D72AB"/>
    <w:rsid w:val="3E3E5157"/>
    <w:rsid w:val="3E432AAE"/>
    <w:rsid w:val="3E5139E8"/>
    <w:rsid w:val="3E8409D1"/>
    <w:rsid w:val="3E92391B"/>
    <w:rsid w:val="3EA01CAF"/>
    <w:rsid w:val="3F1360BC"/>
    <w:rsid w:val="3F7A4244"/>
    <w:rsid w:val="3F9A1C3A"/>
    <w:rsid w:val="40300E10"/>
    <w:rsid w:val="40351EB2"/>
    <w:rsid w:val="40522B76"/>
    <w:rsid w:val="405E3BCF"/>
    <w:rsid w:val="407D392A"/>
    <w:rsid w:val="40855AC8"/>
    <w:rsid w:val="40E57358"/>
    <w:rsid w:val="40F047DB"/>
    <w:rsid w:val="411400D3"/>
    <w:rsid w:val="412166BC"/>
    <w:rsid w:val="418F5913"/>
    <w:rsid w:val="419C60A3"/>
    <w:rsid w:val="41E96B91"/>
    <w:rsid w:val="41F12821"/>
    <w:rsid w:val="41F52311"/>
    <w:rsid w:val="427B0B72"/>
    <w:rsid w:val="427C7FA5"/>
    <w:rsid w:val="42876CE2"/>
    <w:rsid w:val="432915DE"/>
    <w:rsid w:val="43DC1B95"/>
    <w:rsid w:val="44092F55"/>
    <w:rsid w:val="4428651C"/>
    <w:rsid w:val="44450C02"/>
    <w:rsid w:val="444A09B9"/>
    <w:rsid w:val="44704B90"/>
    <w:rsid w:val="44761D0D"/>
    <w:rsid w:val="447A127C"/>
    <w:rsid w:val="44875B8C"/>
    <w:rsid w:val="44A428C6"/>
    <w:rsid w:val="44A66F4D"/>
    <w:rsid w:val="44D77AAC"/>
    <w:rsid w:val="44F4608F"/>
    <w:rsid w:val="450B7B47"/>
    <w:rsid w:val="45193829"/>
    <w:rsid w:val="4534766C"/>
    <w:rsid w:val="4647522B"/>
    <w:rsid w:val="465D66D7"/>
    <w:rsid w:val="46A55988"/>
    <w:rsid w:val="46F26E20"/>
    <w:rsid w:val="475C37EE"/>
    <w:rsid w:val="47C605D3"/>
    <w:rsid w:val="47CB13D6"/>
    <w:rsid w:val="47CE7777"/>
    <w:rsid w:val="484123C3"/>
    <w:rsid w:val="488B1B48"/>
    <w:rsid w:val="48B85E47"/>
    <w:rsid w:val="48E26B1E"/>
    <w:rsid w:val="493C4574"/>
    <w:rsid w:val="49B35ECF"/>
    <w:rsid w:val="49E63A52"/>
    <w:rsid w:val="49FC0FBA"/>
    <w:rsid w:val="4A6C409E"/>
    <w:rsid w:val="4AA03036"/>
    <w:rsid w:val="4B334882"/>
    <w:rsid w:val="4BCA6307"/>
    <w:rsid w:val="4BFA0F73"/>
    <w:rsid w:val="4C673035"/>
    <w:rsid w:val="4CE94821"/>
    <w:rsid w:val="4CFB09F8"/>
    <w:rsid w:val="4D1C2677"/>
    <w:rsid w:val="4D2E5FD8"/>
    <w:rsid w:val="4D3D6B7B"/>
    <w:rsid w:val="4D752558"/>
    <w:rsid w:val="4D7D358A"/>
    <w:rsid w:val="4D9A3D6D"/>
    <w:rsid w:val="4DD10ED9"/>
    <w:rsid w:val="4DD85184"/>
    <w:rsid w:val="4E3C7EAA"/>
    <w:rsid w:val="4E6B1F26"/>
    <w:rsid w:val="4E6C318B"/>
    <w:rsid w:val="4EB650D4"/>
    <w:rsid w:val="4EC07803"/>
    <w:rsid w:val="4EDB288F"/>
    <w:rsid w:val="4EF54A9B"/>
    <w:rsid w:val="4F8545A9"/>
    <w:rsid w:val="4F9842DC"/>
    <w:rsid w:val="4FA90200"/>
    <w:rsid w:val="4FB010F3"/>
    <w:rsid w:val="4FBA057D"/>
    <w:rsid w:val="4FBA4253"/>
    <w:rsid w:val="4FBB2527"/>
    <w:rsid w:val="4FC71A12"/>
    <w:rsid w:val="4FD03A76"/>
    <w:rsid w:val="4FD64204"/>
    <w:rsid w:val="500C4424"/>
    <w:rsid w:val="50662C3E"/>
    <w:rsid w:val="50BB2A09"/>
    <w:rsid w:val="515A1CFC"/>
    <w:rsid w:val="5191524F"/>
    <w:rsid w:val="51D37E07"/>
    <w:rsid w:val="51D7701E"/>
    <w:rsid w:val="527B23BF"/>
    <w:rsid w:val="529A036B"/>
    <w:rsid w:val="52A65DDA"/>
    <w:rsid w:val="52B21252"/>
    <w:rsid w:val="52B7716F"/>
    <w:rsid w:val="52F67A4C"/>
    <w:rsid w:val="52F90FB4"/>
    <w:rsid w:val="5311687F"/>
    <w:rsid w:val="53467CD3"/>
    <w:rsid w:val="53F6208D"/>
    <w:rsid w:val="546450D5"/>
    <w:rsid w:val="549C03CB"/>
    <w:rsid w:val="54AB4AB2"/>
    <w:rsid w:val="54B25E40"/>
    <w:rsid w:val="54B621F5"/>
    <w:rsid w:val="54B831BE"/>
    <w:rsid w:val="54D37691"/>
    <w:rsid w:val="555166D3"/>
    <w:rsid w:val="556B7ED7"/>
    <w:rsid w:val="55802459"/>
    <w:rsid w:val="55D40D5D"/>
    <w:rsid w:val="55D87B28"/>
    <w:rsid w:val="56026953"/>
    <w:rsid w:val="56A85113"/>
    <w:rsid w:val="56B539C6"/>
    <w:rsid w:val="56F12761"/>
    <w:rsid w:val="57351577"/>
    <w:rsid w:val="57707013"/>
    <w:rsid w:val="578A029C"/>
    <w:rsid w:val="578F2341"/>
    <w:rsid w:val="57AA29AA"/>
    <w:rsid w:val="57B123DF"/>
    <w:rsid w:val="57B90F5E"/>
    <w:rsid w:val="58067C35"/>
    <w:rsid w:val="58A35F9C"/>
    <w:rsid w:val="59031E19"/>
    <w:rsid w:val="594E40CF"/>
    <w:rsid w:val="599550EE"/>
    <w:rsid w:val="59A55F73"/>
    <w:rsid w:val="59C32BAC"/>
    <w:rsid w:val="59D84C70"/>
    <w:rsid w:val="59F53571"/>
    <w:rsid w:val="5A094754"/>
    <w:rsid w:val="5A0F163F"/>
    <w:rsid w:val="5A7523A8"/>
    <w:rsid w:val="5A851901"/>
    <w:rsid w:val="5A897643"/>
    <w:rsid w:val="5A8D2D48"/>
    <w:rsid w:val="5AB93586"/>
    <w:rsid w:val="5AD564B8"/>
    <w:rsid w:val="5B40799D"/>
    <w:rsid w:val="5BA30291"/>
    <w:rsid w:val="5BE75FAA"/>
    <w:rsid w:val="5BEA277A"/>
    <w:rsid w:val="5C520D53"/>
    <w:rsid w:val="5CB52971"/>
    <w:rsid w:val="5CBA3AE4"/>
    <w:rsid w:val="5D3537E5"/>
    <w:rsid w:val="5D412701"/>
    <w:rsid w:val="5D751094"/>
    <w:rsid w:val="5DA57E53"/>
    <w:rsid w:val="5DAD18E5"/>
    <w:rsid w:val="5DDE2CEB"/>
    <w:rsid w:val="5DE56D33"/>
    <w:rsid w:val="5DF50B4C"/>
    <w:rsid w:val="5E576187"/>
    <w:rsid w:val="5E7A738C"/>
    <w:rsid w:val="5E7B65FE"/>
    <w:rsid w:val="5E8A71EF"/>
    <w:rsid w:val="5E92150B"/>
    <w:rsid w:val="5ED1684F"/>
    <w:rsid w:val="5F2B2A77"/>
    <w:rsid w:val="5F2C38EE"/>
    <w:rsid w:val="5F447FDD"/>
    <w:rsid w:val="5F9616B4"/>
    <w:rsid w:val="5F96519B"/>
    <w:rsid w:val="5F993E84"/>
    <w:rsid w:val="5FAA0209"/>
    <w:rsid w:val="5FE42B98"/>
    <w:rsid w:val="5FF50DB6"/>
    <w:rsid w:val="5FF939FE"/>
    <w:rsid w:val="60096E3A"/>
    <w:rsid w:val="607A0ACB"/>
    <w:rsid w:val="608E7761"/>
    <w:rsid w:val="60F03B02"/>
    <w:rsid w:val="61277CB2"/>
    <w:rsid w:val="612A008B"/>
    <w:rsid w:val="61AE5BE1"/>
    <w:rsid w:val="61CD5316"/>
    <w:rsid w:val="61D513C0"/>
    <w:rsid w:val="61F45FE9"/>
    <w:rsid w:val="624A0A25"/>
    <w:rsid w:val="62660BF4"/>
    <w:rsid w:val="62D16A8D"/>
    <w:rsid w:val="62FF66F4"/>
    <w:rsid w:val="632C3F5B"/>
    <w:rsid w:val="633914DA"/>
    <w:rsid w:val="634B193A"/>
    <w:rsid w:val="636D1953"/>
    <w:rsid w:val="637A5D7B"/>
    <w:rsid w:val="637B1B67"/>
    <w:rsid w:val="63B514A9"/>
    <w:rsid w:val="63F36CC5"/>
    <w:rsid w:val="6501337F"/>
    <w:rsid w:val="652D3B62"/>
    <w:rsid w:val="65783887"/>
    <w:rsid w:val="65845F9C"/>
    <w:rsid w:val="65982E30"/>
    <w:rsid w:val="65DF4ABD"/>
    <w:rsid w:val="65F20792"/>
    <w:rsid w:val="66214BC6"/>
    <w:rsid w:val="6673555F"/>
    <w:rsid w:val="667E7310"/>
    <w:rsid w:val="66A870A3"/>
    <w:rsid w:val="67002D5C"/>
    <w:rsid w:val="674610B8"/>
    <w:rsid w:val="67706206"/>
    <w:rsid w:val="677D3648"/>
    <w:rsid w:val="6784541A"/>
    <w:rsid w:val="67850373"/>
    <w:rsid w:val="67B4217D"/>
    <w:rsid w:val="67B850C4"/>
    <w:rsid w:val="67C4276C"/>
    <w:rsid w:val="67F53910"/>
    <w:rsid w:val="680B20B0"/>
    <w:rsid w:val="6833256D"/>
    <w:rsid w:val="68420AA1"/>
    <w:rsid w:val="68582403"/>
    <w:rsid w:val="687C041B"/>
    <w:rsid w:val="688A2F04"/>
    <w:rsid w:val="690B1AFC"/>
    <w:rsid w:val="695B664F"/>
    <w:rsid w:val="696372FB"/>
    <w:rsid w:val="6A2C460B"/>
    <w:rsid w:val="6A325A93"/>
    <w:rsid w:val="6A3B63DF"/>
    <w:rsid w:val="6A8614A9"/>
    <w:rsid w:val="6A9030FE"/>
    <w:rsid w:val="6B2D401B"/>
    <w:rsid w:val="6B317D0F"/>
    <w:rsid w:val="6B826114"/>
    <w:rsid w:val="6B9F6CC6"/>
    <w:rsid w:val="6BC2633C"/>
    <w:rsid w:val="6C3D3559"/>
    <w:rsid w:val="6C474C68"/>
    <w:rsid w:val="6C7D2E62"/>
    <w:rsid w:val="6CD209D6"/>
    <w:rsid w:val="6CD80675"/>
    <w:rsid w:val="6D226FA0"/>
    <w:rsid w:val="6D997745"/>
    <w:rsid w:val="6DB6210A"/>
    <w:rsid w:val="6DC62AE9"/>
    <w:rsid w:val="6DCA1ED4"/>
    <w:rsid w:val="6E363B46"/>
    <w:rsid w:val="6E4C510A"/>
    <w:rsid w:val="6E510020"/>
    <w:rsid w:val="6E87564F"/>
    <w:rsid w:val="6F241291"/>
    <w:rsid w:val="6F63625D"/>
    <w:rsid w:val="6F99614B"/>
    <w:rsid w:val="7041400D"/>
    <w:rsid w:val="706E4EB9"/>
    <w:rsid w:val="70825F2C"/>
    <w:rsid w:val="708448E0"/>
    <w:rsid w:val="708C533F"/>
    <w:rsid w:val="70DC0075"/>
    <w:rsid w:val="70F669F5"/>
    <w:rsid w:val="714D67F7"/>
    <w:rsid w:val="715674E5"/>
    <w:rsid w:val="71DF78C7"/>
    <w:rsid w:val="72361A07"/>
    <w:rsid w:val="72425336"/>
    <w:rsid w:val="724D3C51"/>
    <w:rsid w:val="729D55E2"/>
    <w:rsid w:val="72E2393D"/>
    <w:rsid w:val="730247A7"/>
    <w:rsid w:val="737437FD"/>
    <w:rsid w:val="738D5249"/>
    <w:rsid w:val="73937890"/>
    <w:rsid w:val="739B3B7A"/>
    <w:rsid w:val="739E1612"/>
    <w:rsid w:val="73A376AD"/>
    <w:rsid w:val="73D019E7"/>
    <w:rsid w:val="745B39A7"/>
    <w:rsid w:val="74E379A2"/>
    <w:rsid w:val="74F811F5"/>
    <w:rsid w:val="750A2733"/>
    <w:rsid w:val="7544268D"/>
    <w:rsid w:val="756B7C19"/>
    <w:rsid w:val="75714A9E"/>
    <w:rsid w:val="757D26F8"/>
    <w:rsid w:val="757D55EC"/>
    <w:rsid w:val="759058D2"/>
    <w:rsid w:val="75C33018"/>
    <w:rsid w:val="76071789"/>
    <w:rsid w:val="765A4CFD"/>
    <w:rsid w:val="766052A4"/>
    <w:rsid w:val="76F51E90"/>
    <w:rsid w:val="76F53C3E"/>
    <w:rsid w:val="77242BC9"/>
    <w:rsid w:val="77317A79"/>
    <w:rsid w:val="7776456D"/>
    <w:rsid w:val="778648C1"/>
    <w:rsid w:val="77A05EDF"/>
    <w:rsid w:val="77BA7CF2"/>
    <w:rsid w:val="77D2120F"/>
    <w:rsid w:val="77DB732A"/>
    <w:rsid w:val="781F0BD2"/>
    <w:rsid w:val="78A0113B"/>
    <w:rsid w:val="78AE679B"/>
    <w:rsid w:val="78B572EB"/>
    <w:rsid w:val="7913169A"/>
    <w:rsid w:val="793D7B1F"/>
    <w:rsid w:val="79517126"/>
    <w:rsid w:val="798057FE"/>
    <w:rsid w:val="79CE01D4"/>
    <w:rsid w:val="7A0128FA"/>
    <w:rsid w:val="7A053DF4"/>
    <w:rsid w:val="7A1F7224"/>
    <w:rsid w:val="7A676F29"/>
    <w:rsid w:val="7A6D5F07"/>
    <w:rsid w:val="7ABB0CFB"/>
    <w:rsid w:val="7ABD5CE4"/>
    <w:rsid w:val="7B333917"/>
    <w:rsid w:val="7B3F1F96"/>
    <w:rsid w:val="7B446F42"/>
    <w:rsid w:val="7B5B0730"/>
    <w:rsid w:val="7B6C0691"/>
    <w:rsid w:val="7B930378"/>
    <w:rsid w:val="7C0447A2"/>
    <w:rsid w:val="7C2E76D6"/>
    <w:rsid w:val="7C6D13D7"/>
    <w:rsid w:val="7CB327E5"/>
    <w:rsid w:val="7D1F1D43"/>
    <w:rsid w:val="7D731D61"/>
    <w:rsid w:val="7D887A39"/>
    <w:rsid w:val="7DCB0DF5"/>
    <w:rsid w:val="7DE06CCB"/>
    <w:rsid w:val="7DE9463D"/>
    <w:rsid w:val="7DEC0085"/>
    <w:rsid w:val="7E092845"/>
    <w:rsid w:val="7E4C4FE6"/>
    <w:rsid w:val="7E670906"/>
    <w:rsid w:val="7EC00FD6"/>
    <w:rsid w:val="7EC04977"/>
    <w:rsid w:val="7EDD1803"/>
    <w:rsid w:val="7F0C363E"/>
    <w:rsid w:val="7F2D5F40"/>
    <w:rsid w:val="7F4C2DEE"/>
    <w:rsid w:val="7FB64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unhideWhenUsed/>
    <w:qFormat/>
    <w:uiPriority w:val="99"/>
    <w:pPr>
      <w:ind w:firstLine="420"/>
    </w:pPr>
    <w:rPr>
      <w:szCs w:val="24"/>
    </w:rPr>
  </w:style>
  <w:style w:type="paragraph" w:styleId="6">
    <w:name w:val="annotation text"/>
    <w:basedOn w:val="1"/>
    <w:link w:val="37"/>
    <w:qFormat/>
    <w:uiPriority w:val="0"/>
    <w:pPr>
      <w:jc w:val="left"/>
    </w:pPr>
  </w:style>
  <w:style w:type="paragraph" w:styleId="7">
    <w:name w:val="Body Text"/>
    <w:basedOn w:val="1"/>
    <w:next w:val="8"/>
    <w:qFormat/>
    <w:uiPriority w:val="0"/>
    <w:pPr>
      <w:spacing w:after="120"/>
    </w:pPr>
    <w:rPr>
      <w:kern w:val="0"/>
      <w:sz w:val="20"/>
      <w:szCs w:val="20"/>
    </w:rPr>
  </w:style>
  <w:style w:type="paragraph" w:styleId="8">
    <w:name w:val="toc 5"/>
    <w:basedOn w:val="1"/>
    <w:next w:val="1"/>
    <w:qFormat/>
    <w:uiPriority w:val="0"/>
    <w:pPr>
      <w:ind w:left="1680"/>
    </w:pPr>
  </w:style>
  <w:style w:type="paragraph" w:styleId="9">
    <w:name w:val="Body Text Indent"/>
    <w:basedOn w:val="1"/>
    <w:unhideWhenUsed/>
    <w:qFormat/>
    <w:uiPriority w:val="99"/>
    <w:pPr>
      <w:spacing w:after="120"/>
      <w:ind w:left="420" w:leftChars="200"/>
    </w:pPr>
  </w:style>
  <w:style w:type="paragraph" w:styleId="10">
    <w:name w:val="toc 3"/>
    <w:basedOn w:val="1"/>
    <w:next w:val="1"/>
    <w:qFormat/>
    <w:uiPriority w:val="0"/>
    <w:pPr>
      <w:ind w:left="840"/>
    </w:pPr>
  </w:style>
  <w:style w:type="paragraph" w:styleId="11">
    <w:name w:val="Plain Text"/>
    <w:basedOn w:val="1"/>
    <w:qFormat/>
    <w:uiPriority w:val="0"/>
    <w:rPr>
      <w:rFonts w:ascii="宋体" w:hAnsi="Courier New"/>
      <w:kern w:val="0"/>
      <w:sz w:val="20"/>
      <w:szCs w:val="20"/>
    </w:rPr>
  </w:style>
  <w:style w:type="paragraph" w:styleId="12">
    <w:name w:val="Date"/>
    <w:basedOn w:val="1"/>
    <w:next w:val="1"/>
    <w:qFormat/>
    <w:uiPriority w:val="0"/>
    <w:pPr>
      <w:ind w:left="2500" w:leftChars="2500"/>
    </w:pPr>
  </w:style>
  <w:style w:type="paragraph" w:styleId="13">
    <w:name w:val="Balloon Text"/>
    <w:basedOn w:val="1"/>
    <w:qFormat/>
    <w:uiPriority w:val="0"/>
    <w:rPr>
      <w:sz w:val="18"/>
      <w:szCs w:val="18"/>
    </w:rPr>
  </w:style>
  <w:style w:type="paragraph" w:styleId="14">
    <w:name w:val="footer"/>
    <w:basedOn w:val="1"/>
    <w:link w:val="38"/>
    <w:qFormat/>
    <w:uiPriority w:val="0"/>
    <w:pPr>
      <w:tabs>
        <w:tab w:val="center" w:pos="4153"/>
        <w:tab w:val="right" w:pos="8306"/>
      </w:tabs>
      <w:snapToGrid w:val="0"/>
      <w:jc w:val="left"/>
    </w:pPr>
    <w:rPr>
      <w:kern w:val="0"/>
      <w:sz w:val="18"/>
      <w:szCs w:val="18"/>
    </w:rPr>
  </w:style>
  <w:style w:type="paragraph" w:styleId="15">
    <w:name w:val="header"/>
    <w:basedOn w:val="1"/>
    <w:link w:val="39"/>
    <w:qFormat/>
    <w:uiPriority w:val="0"/>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qFormat/>
    <w:uiPriority w:val="0"/>
  </w:style>
  <w:style w:type="paragraph" w:styleId="17">
    <w:name w:val="toc 4"/>
    <w:basedOn w:val="1"/>
    <w:next w:val="1"/>
    <w:qFormat/>
    <w:uiPriority w:val="0"/>
    <w:pPr>
      <w:ind w:left="1260"/>
    </w:pPr>
  </w:style>
  <w:style w:type="paragraph" w:styleId="18">
    <w:name w:val="toc 2"/>
    <w:basedOn w:val="1"/>
    <w:next w:val="1"/>
    <w:qFormat/>
    <w:uiPriority w:val="0"/>
    <w:pPr>
      <w:ind w:left="420"/>
    </w:pPr>
  </w:style>
  <w:style w:type="paragraph" w:styleId="19">
    <w:name w:val="Body Text 2"/>
    <w:basedOn w:val="1"/>
    <w:qFormat/>
    <w:uiPriority w:val="0"/>
    <w:pPr>
      <w:spacing w:after="120" w:line="480" w:lineRule="auto"/>
    </w:pPr>
    <w:rPr>
      <w:kern w:val="0"/>
      <w:sz w:val="20"/>
      <w:szCs w:val="24"/>
    </w:rPr>
  </w:style>
  <w:style w:type="paragraph" w:styleId="20">
    <w:name w:val="Normal (Web)"/>
    <w:basedOn w:val="1"/>
    <w:qFormat/>
    <w:uiPriority w:val="0"/>
    <w:pPr>
      <w:spacing w:beforeAutospacing="1" w:afterAutospacing="1"/>
      <w:jc w:val="left"/>
    </w:pPr>
    <w:rPr>
      <w:kern w:val="0"/>
      <w:sz w:val="24"/>
    </w:rPr>
  </w:style>
  <w:style w:type="paragraph" w:styleId="21">
    <w:name w:val="annotation subject"/>
    <w:basedOn w:val="6"/>
    <w:next w:val="6"/>
    <w:link w:val="40"/>
    <w:qFormat/>
    <w:uiPriority w:val="0"/>
    <w:rPr>
      <w:b/>
      <w:bCs/>
    </w:rPr>
  </w:style>
  <w:style w:type="paragraph" w:styleId="22">
    <w:name w:val="Body Text First Indent"/>
    <w:basedOn w:val="1"/>
    <w:qFormat/>
    <w:uiPriority w:val="0"/>
    <w:pPr>
      <w:spacing w:line="312" w:lineRule="auto"/>
      <w:ind w:firstLine="420"/>
    </w:pPr>
    <w:rPr>
      <w:kern w:val="0"/>
      <w:sz w:val="20"/>
      <w:szCs w:val="24"/>
    </w:rPr>
  </w:style>
  <w:style w:type="paragraph" w:styleId="23">
    <w:name w:val="Body Text First Indent 2"/>
    <w:basedOn w:val="9"/>
    <w:unhideWhenUsed/>
    <w:qFormat/>
    <w:uiPriority w:val="99"/>
    <w:pPr>
      <w:spacing w:after="0"/>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rPr>
  </w:style>
  <w:style w:type="character" w:styleId="28">
    <w:name w:val="page number"/>
    <w:qFormat/>
    <w:uiPriority w:val="0"/>
    <w:rPr>
      <w:rFonts w:ascii="Times New Roman" w:hAnsi="Times New Roman" w:eastAsia="宋体" w:cs="Times New Roman"/>
      <w:lang w:bidi="ar-SA"/>
    </w:rPr>
  </w:style>
  <w:style w:type="character" w:styleId="29">
    <w:name w:val="FollowedHyperlink"/>
    <w:qFormat/>
    <w:uiPriority w:val="0"/>
    <w:rPr>
      <w:rFonts w:ascii="Times New Roman" w:hAnsi="Times New Roman" w:eastAsia="宋体" w:cs="Times New Roman"/>
      <w:color w:val="000000"/>
      <w:u w:val="none"/>
      <w:lang w:bidi="ar-SA"/>
    </w:rPr>
  </w:style>
  <w:style w:type="character" w:styleId="30">
    <w:name w:val="HTML Definition"/>
    <w:qFormat/>
    <w:uiPriority w:val="0"/>
    <w:rPr>
      <w:i/>
    </w:rPr>
  </w:style>
  <w:style w:type="character" w:styleId="31">
    <w:name w:val="Hyperlink"/>
    <w:qFormat/>
    <w:uiPriority w:val="0"/>
    <w:rPr>
      <w:rFonts w:ascii="Times New Roman" w:hAnsi="Times New Roman" w:eastAsia="宋体" w:cs="Times New Roman"/>
      <w:color w:val="000000"/>
      <w:u w:val="none"/>
      <w:lang w:bidi="ar-SA"/>
    </w:rPr>
  </w:style>
  <w:style w:type="character" w:styleId="32">
    <w:name w:val="HTML Code"/>
    <w:qFormat/>
    <w:uiPriority w:val="0"/>
    <w:rPr>
      <w:rFonts w:ascii="Consolas" w:hAnsi="Consolas" w:eastAsia="Consolas" w:cs="Consolas"/>
      <w:color w:val="C7254E"/>
      <w:sz w:val="21"/>
      <w:szCs w:val="21"/>
      <w:bdr w:val="single" w:color="E1E1E1" w:sz="4" w:space="0"/>
      <w:shd w:val="clear" w:color="auto" w:fill="F9F2F4"/>
      <w:lang w:bidi="ar-SA"/>
    </w:rPr>
  </w:style>
  <w:style w:type="character" w:styleId="33">
    <w:name w:val="annotation reference"/>
    <w:qFormat/>
    <w:uiPriority w:val="0"/>
    <w:rPr>
      <w:rFonts w:ascii="Times New Roman" w:hAnsi="Times New Roman" w:eastAsia="宋体" w:cs="Times New Roman"/>
      <w:sz w:val="21"/>
      <w:szCs w:val="21"/>
      <w:lang w:bidi="ar-SA"/>
    </w:rPr>
  </w:style>
  <w:style w:type="character" w:styleId="34">
    <w:name w:val="HTML Keyboard"/>
    <w:qFormat/>
    <w:uiPriority w:val="0"/>
    <w:rPr>
      <w:rFonts w:ascii="Consolas" w:hAnsi="Consolas" w:eastAsia="Consolas" w:cs="Consolas"/>
      <w:color w:val="FFFFFF"/>
      <w:sz w:val="21"/>
      <w:szCs w:val="21"/>
      <w:shd w:val="clear" w:color="auto" w:fill="333333"/>
      <w:lang w:bidi="ar-SA"/>
    </w:rPr>
  </w:style>
  <w:style w:type="character" w:styleId="35">
    <w:name w:val="HTML Sample"/>
    <w:qFormat/>
    <w:uiPriority w:val="0"/>
    <w:rPr>
      <w:rFonts w:ascii="Consolas" w:hAnsi="Consolas" w:eastAsia="Consolas" w:cs="Consolas"/>
      <w:sz w:val="21"/>
      <w:szCs w:val="21"/>
      <w:lang w:bidi="ar-SA"/>
    </w:rPr>
  </w:style>
  <w:style w:type="paragraph" w:customStyle="1" w:styleId="36">
    <w:name w:val="_Style 3"/>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7">
    <w:name w:val="批注文字 字符"/>
    <w:link w:val="6"/>
    <w:qFormat/>
    <w:uiPriority w:val="0"/>
    <w:rPr>
      <w:kern w:val="2"/>
      <w:sz w:val="21"/>
      <w:szCs w:val="22"/>
    </w:rPr>
  </w:style>
  <w:style w:type="character" w:customStyle="1" w:styleId="38">
    <w:name w:val="页脚 字符1"/>
    <w:link w:val="14"/>
    <w:qFormat/>
    <w:uiPriority w:val="0"/>
    <w:rPr>
      <w:sz w:val="18"/>
      <w:szCs w:val="18"/>
    </w:rPr>
  </w:style>
  <w:style w:type="character" w:customStyle="1" w:styleId="39">
    <w:name w:val="页眉 字符"/>
    <w:link w:val="15"/>
    <w:qFormat/>
    <w:uiPriority w:val="0"/>
    <w:rPr>
      <w:sz w:val="18"/>
      <w:szCs w:val="18"/>
    </w:rPr>
  </w:style>
  <w:style w:type="character" w:customStyle="1" w:styleId="40">
    <w:name w:val="批注主题 字符"/>
    <w:link w:val="21"/>
    <w:qFormat/>
    <w:uiPriority w:val="0"/>
    <w:rPr>
      <w:b/>
      <w:bCs/>
      <w:kern w:val="2"/>
      <w:sz w:val="21"/>
      <w:szCs w:val="22"/>
    </w:rPr>
  </w:style>
  <w:style w:type="character" w:customStyle="1" w:styleId="41">
    <w:name w:val="页脚 字符"/>
    <w:qFormat/>
    <w:uiPriority w:val="0"/>
  </w:style>
  <w:style w:type="character" w:customStyle="1" w:styleId="42">
    <w:name w:val="hover42"/>
    <w:qFormat/>
    <w:uiPriority w:val="0"/>
  </w:style>
  <w:style w:type="character" w:customStyle="1" w:styleId="43">
    <w:name w:val="正文文本 2 Char1"/>
    <w:qFormat/>
    <w:uiPriority w:val="0"/>
    <w:rPr>
      <w:rFonts w:ascii="Times New Roman" w:hAnsi="Times New Roman" w:eastAsia="宋体" w:cs="Times New Roman"/>
      <w:lang w:bidi="ar-SA"/>
    </w:rPr>
  </w:style>
  <w:style w:type="character" w:customStyle="1" w:styleId="44">
    <w:name w:val="正文首行缩进 Char1"/>
    <w:qFormat/>
    <w:uiPriority w:val="0"/>
    <w:rPr>
      <w:rFonts w:ascii="Times New Roman" w:hAnsi="Times New Roman" w:eastAsia="宋体" w:cs="Times New Roman"/>
      <w:lang w:bidi="ar-SA"/>
    </w:rPr>
  </w:style>
  <w:style w:type="character" w:customStyle="1" w:styleId="45">
    <w:name w:val="username"/>
    <w:qFormat/>
    <w:uiPriority w:val="0"/>
  </w:style>
  <w:style w:type="character" w:customStyle="1" w:styleId="46">
    <w:name w:val="title24"/>
    <w:qFormat/>
    <w:uiPriority w:val="0"/>
  </w:style>
  <w:style w:type="character" w:customStyle="1" w:styleId="47">
    <w:name w:val="times"/>
    <w:qFormat/>
    <w:uiPriority w:val="0"/>
    <w:rPr>
      <w:rFonts w:ascii="Times New Roman" w:hAnsi="Times New Roman" w:eastAsia="宋体" w:cs="Times New Roman"/>
      <w:color w:val="CDCDCD"/>
      <w:bdr w:val="single" w:color="CDCDCD" w:sz="6" w:space="0"/>
      <w:shd w:val="clear" w:color="auto" w:fill="EFEFEF"/>
      <w:lang w:bidi="ar-SA"/>
    </w:rPr>
  </w:style>
  <w:style w:type="character" w:customStyle="1" w:styleId="48">
    <w:name w:val="times1"/>
    <w:qFormat/>
    <w:uiPriority w:val="0"/>
    <w:rPr>
      <w:rFonts w:ascii="Times New Roman" w:hAnsi="Times New Roman" w:eastAsia="宋体" w:cs="Times New Roman"/>
      <w:color w:val="3399FF"/>
      <w:bdr w:val="single" w:color="D1EDF8" w:sz="6" w:space="0"/>
      <w:shd w:val="clear" w:color="auto" w:fill="EAF9FF"/>
      <w:lang w:bidi="ar-SA"/>
    </w:rPr>
  </w:style>
  <w:style w:type="paragraph" w:customStyle="1" w:styleId="49">
    <w:name w:val="正文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发文落款"/>
    <w:basedOn w:val="51"/>
    <w:qFormat/>
    <w:uiPriority w:val="0"/>
    <w:pPr>
      <w:ind w:left="4094" w:right="607" w:firstLine="0"/>
      <w:jc w:val="center"/>
    </w:pPr>
    <w:rPr>
      <w:rFonts w:ascii="Times New Roman" w:eastAsia="宋体"/>
    </w:rPr>
  </w:style>
  <w:style w:type="paragraph" w:customStyle="1" w:styleId="51">
    <w:name w:val="公文正文"/>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52">
    <w:name w:val="a0"/>
    <w:basedOn w:val="1"/>
    <w:qFormat/>
    <w:uiPriority w:val="0"/>
    <w:pPr>
      <w:widowControl/>
      <w:jc w:val="left"/>
    </w:pPr>
    <w:rPr>
      <w:rFonts w:ascii="宋体" w:cs="宋体"/>
      <w:kern w:val="0"/>
      <w:sz w:val="24"/>
      <w:szCs w:val="24"/>
    </w:rPr>
  </w:style>
  <w:style w:type="paragraph" w:customStyle="1" w:styleId="53">
    <w:name w:val="_Style 51"/>
    <w:qFormat/>
    <w:uiPriority w:val="0"/>
    <w:rPr>
      <w:rFonts w:ascii="Times New Roman" w:hAnsi="Times New Roman" w:eastAsia="宋体" w:cs="Times New Roman"/>
      <w:kern w:val="2"/>
      <w:sz w:val="21"/>
      <w:szCs w:val="22"/>
      <w:lang w:val="en-US" w:eastAsia="zh-CN" w:bidi="ar-SA"/>
    </w:rPr>
  </w:style>
  <w:style w:type="paragraph" w:customStyle="1" w:styleId="54">
    <w:name w:val="样式 宋体 行距: 1.5 倍行距"/>
    <w:basedOn w:val="1"/>
    <w:qFormat/>
    <w:uiPriority w:val="0"/>
    <w:pPr>
      <w:jc w:val="center"/>
    </w:pPr>
    <w:rPr>
      <w:b/>
    </w:rPr>
  </w:style>
  <w:style w:type="paragraph" w:customStyle="1" w:styleId="55">
    <w:name w:val="1-封面公司名与日期"/>
    <w:basedOn w:val="1"/>
    <w:next w:val="1"/>
    <w:qFormat/>
    <w:uiPriority w:val="0"/>
    <w:pPr>
      <w:jc w:val="center"/>
    </w:pPr>
    <w:rPr>
      <w:rFonts w:eastAsia="楷体_GB2312"/>
      <w:kern w:val="2"/>
      <w:sz w:val="36"/>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11531</Words>
  <Characters>12134</Characters>
  <Lines>98</Lines>
  <Paragraphs>27</Paragraphs>
  <TotalTime>27</TotalTime>
  <ScaleCrop>false</ScaleCrop>
  <LinksUpToDate>false</LinksUpToDate>
  <CharactersWithSpaces>12517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2024-05-07T06:14:00Z</dcterms:created>
  <dc:creator>10662</dc:creator>
  <cp:lastModifiedBy>czb</cp:lastModifiedBy>
  <cp:lastPrinted>2024-01-31T08:44:00Z</cp:lastPrinted>
  <dcterms:modified xsi:type="dcterms:W3CDTF">2025-08-01T01:08:03Z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23855F29E5EA4028B3822DEE573DAD6B_13</vt:lpwstr>
  </property>
  <property fmtid="{D5CDD505-2E9C-101B-9397-08002B2CF9AE}" pid="4" name="commondata">
    <vt:lpwstr>eyJoZGlkIjoiMzVjNTgwYTZmYjgwMWUxM2QyOGQwYzM1YTk3MzAzZDEifQ==</vt:lpwstr>
  </property>
  <property fmtid="{D5CDD505-2E9C-101B-9397-08002B2CF9AE}" pid="5" name="KSOTemplateDocerSaveRecord">
    <vt:lpwstr>eyJoZGlkIjoiNGU5YTk2NWU3OTRhNTU0YjZlNWE0ODExMjY4YzM0MTgiLCJ1c2VySWQiOiI1MzA2NTI5NzMifQ==</vt:lpwstr>
  </property>
</Properties>
</file>