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4202D">
      <w:pPr>
        <w:spacing w:line="360" w:lineRule="auto"/>
        <w:ind w:left="359" w:leftChars="171"/>
        <w:jc w:val="center"/>
        <w:rPr>
          <w:color w:val="auto"/>
          <w:sz w:val="36"/>
          <w:highlight w:val="none"/>
        </w:rPr>
      </w:pPr>
    </w:p>
    <w:p w14:paraId="308072B7">
      <w:pPr>
        <w:autoSpaceDE w:val="0"/>
        <w:autoSpaceDN w:val="0"/>
        <w:adjustRightInd w:val="0"/>
        <w:spacing w:line="360" w:lineRule="auto"/>
        <w:jc w:val="center"/>
        <w:rPr>
          <w:rFonts w:hint="eastAsia" w:ascii="宋体" w:hAnsi="宋体" w:cs="宋体"/>
          <w:b/>
          <w:bCs/>
          <w:color w:val="auto"/>
          <w:sz w:val="52"/>
          <w:szCs w:val="52"/>
          <w:highlight w:val="none"/>
          <w:lang w:val="zh-CN"/>
        </w:rPr>
      </w:pPr>
    </w:p>
    <w:p w14:paraId="5A5D67B1">
      <w:pPr>
        <w:autoSpaceDE w:val="0"/>
        <w:autoSpaceDN w:val="0"/>
        <w:adjustRightInd w:val="0"/>
        <w:spacing w:line="360" w:lineRule="auto"/>
        <w:jc w:val="center"/>
        <w:rPr>
          <w:rFonts w:hint="eastAsia" w:ascii="宋体" w:hAnsi="宋体" w:cs="宋体"/>
          <w:b/>
          <w:bCs/>
          <w:color w:val="auto"/>
          <w:sz w:val="52"/>
          <w:szCs w:val="52"/>
          <w:highlight w:val="none"/>
          <w:lang w:val="zh-CN"/>
        </w:rPr>
      </w:pPr>
      <w:r>
        <w:rPr>
          <w:rFonts w:hint="eastAsia" w:ascii="宋体" w:hAnsi="宋体" w:cs="宋体"/>
          <w:b/>
          <w:bCs/>
          <w:color w:val="auto"/>
          <w:sz w:val="52"/>
          <w:szCs w:val="52"/>
          <w:highlight w:val="none"/>
          <w:lang w:val="zh-CN"/>
        </w:rPr>
        <w:t>宁西街太和三路建设工程施工总承包</w:t>
      </w:r>
    </w:p>
    <w:p w14:paraId="4C5FE60A">
      <w:pPr>
        <w:spacing w:line="360" w:lineRule="auto"/>
        <w:ind w:left="359" w:leftChars="171"/>
        <w:jc w:val="center"/>
        <w:rPr>
          <w:rFonts w:hint="eastAsia" w:ascii="宋体" w:hAnsi="宋体" w:cs="宋体"/>
          <w:color w:val="auto"/>
          <w:sz w:val="52"/>
          <w:szCs w:val="52"/>
          <w:highlight w:val="none"/>
        </w:rPr>
      </w:pPr>
    </w:p>
    <w:p w14:paraId="1608E753">
      <w:pPr>
        <w:pStyle w:val="7"/>
        <w:rPr>
          <w:rFonts w:hint="eastAsia" w:ascii="宋体" w:hAnsi="宋体" w:cs="宋体"/>
          <w:color w:val="auto"/>
          <w:sz w:val="52"/>
          <w:szCs w:val="52"/>
          <w:highlight w:val="none"/>
        </w:rPr>
      </w:pPr>
    </w:p>
    <w:p w14:paraId="6E9F1EE3">
      <w:pPr>
        <w:rPr>
          <w:color w:val="auto"/>
          <w:highlight w:val="none"/>
        </w:rPr>
      </w:pPr>
    </w:p>
    <w:p w14:paraId="6970CC18">
      <w:pPr>
        <w:rPr>
          <w:color w:val="auto"/>
          <w:highlight w:val="none"/>
        </w:rPr>
      </w:pPr>
    </w:p>
    <w:p w14:paraId="2752A8A2">
      <w:pPr>
        <w:spacing w:line="360" w:lineRule="auto"/>
        <w:jc w:val="center"/>
        <w:rPr>
          <w:color w:val="auto"/>
          <w:sz w:val="36"/>
          <w:highlight w:val="none"/>
          <w:u w:val="single"/>
        </w:rPr>
      </w:pPr>
    </w:p>
    <w:p w14:paraId="291C289E">
      <w:pPr>
        <w:spacing w:line="360" w:lineRule="auto"/>
        <w:jc w:val="center"/>
        <w:rPr>
          <w:rFonts w:eastAsia="楷体_GB2312"/>
          <w:b/>
          <w:bCs/>
          <w:color w:val="auto"/>
          <w:spacing w:val="26"/>
          <w:sz w:val="110"/>
          <w:szCs w:val="110"/>
          <w:highlight w:val="none"/>
          <w14:shadow w14:blurRad="50800" w14:dist="38100" w14:dir="2700000" w14:sx="100000" w14:sy="100000" w14:kx="0" w14:ky="0" w14:algn="tl">
            <w14:srgbClr w14:val="000000">
              <w14:alpha w14:val="60000"/>
            </w14:srgbClr>
          </w14:shadow>
        </w:rPr>
      </w:pPr>
      <w:r>
        <w:rPr>
          <w:rFonts w:hint="eastAsia" w:eastAsia="楷体_GB2312"/>
          <w:b/>
          <w:bCs/>
          <w:color w:val="auto"/>
          <w:spacing w:val="26"/>
          <w:sz w:val="110"/>
          <w:szCs w:val="110"/>
          <w:highlight w:val="none"/>
          <w14:shadow w14:blurRad="50800" w14:dist="38100" w14:dir="2700000" w14:sx="100000" w14:sy="100000" w14:kx="0" w14:ky="0" w14:algn="tl">
            <w14:srgbClr w14:val="000000">
              <w14:alpha w14:val="60000"/>
            </w14:srgbClr>
          </w14:shadow>
        </w:rPr>
        <w:t>招标文件</w:t>
      </w:r>
    </w:p>
    <w:p w14:paraId="384F001A">
      <w:pPr>
        <w:spacing w:line="360" w:lineRule="auto"/>
        <w:jc w:val="center"/>
        <w:rPr>
          <w:color w:val="auto"/>
          <w:sz w:val="32"/>
          <w:highlight w:val="none"/>
        </w:rPr>
      </w:pPr>
    </w:p>
    <w:p w14:paraId="49C3C2F5">
      <w:pPr>
        <w:spacing w:line="360" w:lineRule="auto"/>
        <w:ind w:firstLine="2560" w:firstLineChars="800"/>
        <w:rPr>
          <w:color w:val="auto"/>
          <w:sz w:val="32"/>
          <w:highlight w:val="none"/>
        </w:rPr>
      </w:pPr>
    </w:p>
    <w:p w14:paraId="761AFEDA">
      <w:pPr>
        <w:pStyle w:val="7"/>
        <w:rPr>
          <w:color w:val="auto"/>
          <w:highlight w:val="none"/>
        </w:rPr>
      </w:pPr>
    </w:p>
    <w:p w14:paraId="04AFE6D6">
      <w:pPr>
        <w:rPr>
          <w:color w:val="auto"/>
          <w:highlight w:val="none"/>
        </w:rPr>
      </w:pPr>
    </w:p>
    <w:p w14:paraId="6B375A1C">
      <w:pPr>
        <w:pStyle w:val="6"/>
        <w:rPr>
          <w:color w:val="auto"/>
          <w:highlight w:val="none"/>
        </w:rPr>
      </w:pPr>
    </w:p>
    <w:p w14:paraId="4588D11E">
      <w:pPr>
        <w:spacing w:line="360" w:lineRule="auto"/>
        <w:ind w:firstLine="900" w:firstLineChars="300"/>
        <w:rPr>
          <w:color w:val="auto"/>
          <w:sz w:val="30"/>
          <w:szCs w:val="30"/>
          <w:highlight w:val="none"/>
          <w:u w:val="single"/>
        </w:rPr>
      </w:pPr>
      <w:r>
        <w:rPr>
          <w:rFonts w:hint="eastAsia"/>
          <w:color w:val="auto"/>
          <w:sz w:val="30"/>
          <w:szCs w:val="30"/>
          <w:highlight w:val="none"/>
        </w:rPr>
        <w:t>招</w:t>
      </w:r>
      <w:r>
        <w:rPr>
          <w:color w:val="auto"/>
          <w:sz w:val="30"/>
          <w:szCs w:val="30"/>
          <w:highlight w:val="none"/>
        </w:rPr>
        <w:t xml:space="preserve">  </w:t>
      </w:r>
      <w:r>
        <w:rPr>
          <w:rFonts w:hint="eastAsia"/>
          <w:color w:val="auto"/>
          <w:sz w:val="30"/>
          <w:szCs w:val="30"/>
          <w:highlight w:val="none"/>
        </w:rPr>
        <w:t>标</w:t>
      </w:r>
      <w:r>
        <w:rPr>
          <w:color w:val="auto"/>
          <w:sz w:val="30"/>
          <w:szCs w:val="30"/>
          <w:highlight w:val="none"/>
        </w:rPr>
        <w:t xml:space="preserve"> </w:t>
      </w:r>
      <w:r>
        <w:rPr>
          <w:rFonts w:hint="eastAsia"/>
          <w:color w:val="auto"/>
          <w:sz w:val="30"/>
          <w:szCs w:val="30"/>
          <w:highlight w:val="none"/>
        </w:rPr>
        <w:t>单</w:t>
      </w:r>
      <w:r>
        <w:rPr>
          <w:color w:val="auto"/>
          <w:sz w:val="30"/>
          <w:szCs w:val="30"/>
          <w:highlight w:val="none"/>
        </w:rPr>
        <w:t xml:space="preserve"> </w:t>
      </w:r>
      <w:r>
        <w:rPr>
          <w:rFonts w:hint="eastAsia"/>
          <w:color w:val="auto"/>
          <w:sz w:val="30"/>
          <w:szCs w:val="30"/>
          <w:highlight w:val="none"/>
        </w:rPr>
        <w:t>位</w:t>
      </w:r>
      <w:r>
        <w:rPr>
          <w:rFonts w:hint="eastAsia" w:ascii="宋体" w:hAnsi="宋体" w:cs="宋体"/>
          <w:color w:val="auto"/>
          <w:sz w:val="30"/>
          <w:szCs w:val="30"/>
          <w:highlight w:val="none"/>
        </w:rPr>
        <w:t>：</w:t>
      </w:r>
      <w:r>
        <w:rPr>
          <w:rFonts w:hint="eastAsia" w:ascii="宋体" w:hAnsi="宋体" w:cs="宋体"/>
          <w:color w:val="auto"/>
          <w:sz w:val="30"/>
          <w:szCs w:val="30"/>
          <w:highlight w:val="none"/>
          <w:u w:val="single"/>
        </w:rPr>
        <w:t>广州市增城区人民政府宁西街道办事处</w:t>
      </w:r>
    </w:p>
    <w:p w14:paraId="2CCB49EF">
      <w:pPr>
        <w:spacing w:line="360" w:lineRule="auto"/>
        <w:ind w:firstLine="945"/>
        <w:rPr>
          <w:color w:val="auto"/>
          <w:sz w:val="30"/>
          <w:szCs w:val="30"/>
          <w:highlight w:val="none"/>
          <w:u w:val="single"/>
        </w:rPr>
      </w:pPr>
      <w:r>
        <w:rPr>
          <w:rFonts w:hint="eastAsia"/>
          <w:color w:val="auto"/>
          <w:sz w:val="30"/>
          <w:szCs w:val="30"/>
          <w:highlight w:val="none"/>
        </w:rPr>
        <w:t>招标代理单位：</w:t>
      </w:r>
      <w:r>
        <w:rPr>
          <w:rFonts w:hint="eastAsia" w:ascii="宋体" w:hAnsi="宋体" w:cs="宋体"/>
          <w:color w:val="auto"/>
          <w:sz w:val="30"/>
          <w:szCs w:val="30"/>
          <w:highlight w:val="none"/>
          <w:u w:val="single"/>
        </w:rPr>
        <w:t>建成工程咨询股份有限公司</w:t>
      </w:r>
    </w:p>
    <w:p w14:paraId="0DE02E18">
      <w:pPr>
        <w:spacing w:line="360" w:lineRule="auto"/>
        <w:ind w:firstLine="945"/>
        <w:rPr>
          <w:color w:val="auto"/>
          <w:sz w:val="32"/>
          <w:highlight w:val="none"/>
        </w:rPr>
      </w:pPr>
      <w:r>
        <w:rPr>
          <w:rFonts w:hint="eastAsia"/>
          <w:color w:val="auto"/>
          <w:sz w:val="32"/>
          <w:highlight w:val="none"/>
        </w:rPr>
        <w:t>日</w:t>
      </w:r>
      <w:r>
        <w:rPr>
          <w:color w:val="auto"/>
          <w:sz w:val="32"/>
          <w:highlight w:val="none"/>
        </w:rPr>
        <w:t xml:space="preserve">       </w:t>
      </w:r>
      <w:r>
        <w:rPr>
          <w:rFonts w:hint="eastAsia"/>
          <w:color w:val="auto"/>
          <w:sz w:val="32"/>
          <w:highlight w:val="none"/>
        </w:rPr>
        <w:t>期：</w:t>
      </w:r>
      <w:r>
        <w:rPr>
          <w:rFonts w:hint="eastAsia"/>
          <w:color w:val="auto"/>
          <w:sz w:val="32"/>
          <w:highlight w:val="none"/>
          <w:u w:val="single"/>
        </w:rPr>
        <w:t>2025</w:t>
      </w:r>
      <w:r>
        <w:rPr>
          <w:rFonts w:hint="eastAsia"/>
          <w:color w:val="auto"/>
          <w:sz w:val="32"/>
          <w:highlight w:val="none"/>
        </w:rPr>
        <w:t>年</w:t>
      </w:r>
      <w:r>
        <w:rPr>
          <w:rFonts w:hint="eastAsia"/>
          <w:color w:val="auto"/>
          <w:sz w:val="32"/>
          <w:highlight w:val="none"/>
          <w:u w:val="single"/>
        </w:rPr>
        <w:t xml:space="preserve"> </w:t>
      </w:r>
      <w:r>
        <w:rPr>
          <w:rFonts w:hint="eastAsia"/>
          <w:color w:val="auto"/>
          <w:sz w:val="32"/>
          <w:highlight w:val="none"/>
          <w:u w:val="single"/>
          <w:lang w:val="en-US" w:eastAsia="zh-CN"/>
        </w:rPr>
        <w:t xml:space="preserve">  8 </w:t>
      </w:r>
      <w:r>
        <w:rPr>
          <w:rFonts w:hint="eastAsia"/>
          <w:color w:val="auto"/>
          <w:sz w:val="32"/>
          <w:highlight w:val="none"/>
          <w:u w:val="single"/>
        </w:rPr>
        <w:t xml:space="preserve"> </w:t>
      </w:r>
      <w:r>
        <w:rPr>
          <w:rFonts w:hint="eastAsia"/>
          <w:color w:val="auto"/>
          <w:sz w:val="32"/>
          <w:highlight w:val="none"/>
        </w:rPr>
        <w:t>月</w:t>
      </w:r>
    </w:p>
    <w:p w14:paraId="6C550125">
      <w:pPr>
        <w:pStyle w:val="5"/>
        <w:rPr>
          <w:color w:val="auto"/>
          <w:highlight w:val="none"/>
        </w:rPr>
      </w:pPr>
      <w:bookmarkStart w:id="0" w:name="_Toc2272545"/>
      <w:bookmarkStart w:id="1" w:name="_Toc21525489"/>
    </w:p>
    <w:p w14:paraId="1419CBA6">
      <w:pPr>
        <w:jc w:val="left"/>
        <w:rPr>
          <w:rFonts w:hint="eastAsia" w:ascii="宋体" w:hAnsi="宋体"/>
          <w:b/>
          <w:bCs/>
          <w:color w:val="auto"/>
          <w:sz w:val="28"/>
          <w:szCs w:val="28"/>
          <w:highlight w:val="none"/>
        </w:rPr>
      </w:pPr>
      <w:r>
        <w:rPr>
          <w:rFonts w:ascii="宋体" w:hAnsi="宋体"/>
          <w:b/>
          <w:bCs/>
          <w:color w:val="auto"/>
          <w:sz w:val="28"/>
          <w:szCs w:val="28"/>
          <w:highlight w:val="none"/>
        </w:rPr>
        <w:br w:type="page"/>
      </w:r>
    </w:p>
    <w:p w14:paraId="3CA665AA">
      <w:pPr>
        <w:jc w:val="center"/>
        <w:rPr>
          <w:rFonts w:hint="eastAsia" w:ascii="宋体" w:hAnsi="宋体"/>
          <w:b/>
          <w:bCs/>
          <w:color w:val="auto"/>
          <w:sz w:val="28"/>
          <w:szCs w:val="28"/>
          <w:highlight w:val="none"/>
        </w:rPr>
      </w:pPr>
    </w:p>
    <w:p w14:paraId="5696F3BD">
      <w:pPr>
        <w:jc w:val="center"/>
        <w:rPr>
          <w:color w:val="auto"/>
          <w:highlight w:val="none"/>
        </w:rPr>
      </w:pPr>
      <w:r>
        <w:rPr>
          <w:rFonts w:ascii="宋体" w:hAnsi="宋体"/>
          <w:b/>
          <w:bCs/>
          <w:color w:val="auto"/>
          <w:sz w:val="28"/>
          <w:szCs w:val="28"/>
          <w:highlight w:val="none"/>
        </w:rPr>
        <w:t>目录</w:t>
      </w:r>
    </w:p>
    <w:p w14:paraId="78117059">
      <w:pPr>
        <w:pStyle w:val="27"/>
        <w:tabs>
          <w:tab w:val="right" w:leader="dot" w:pos="9070"/>
          <w:tab w:val="clear" w:pos="9060"/>
        </w:tabs>
        <w:rPr>
          <w:rFonts w:hint="eastAsia"/>
          <w:color w:val="auto"/>
          <w:highlight w:val="none"/>
        </w:rPr>
      </w:pPr>
      <w:r>
        <w:rPr>
          <w:rFonts w:hint="eastAsia"/>
          <w:color w:val="auto"/>
          <w:highlight w:val="none"/>
        </w:rPr>
        <w:fldChar w:fldCharType="begin"/>
      </w:r>
      <w:r>
        <w:rPr>
          <w:rFonts w:hint="eastAsia"/>
          <w:color w:val="auto"/>
          <w:highlight w:val="none"/>
        </w:rPr>
        <w:instrText xml:space="preserve">TOC \o "1-3" \h \u </w:instrText>
      </w:r>
      <w:r>
        <w:rPr>
          <w:rFonts w:hint="eastAsia"/>
          <w:color w:val="auto"/>
          <w:highlight w:val="none"/>
        </w:rPr>
        <w:fldChar w:fldCharType="separate"/>
      </w:r>
      <w:r>
        <w:rPr>
          <w:color w:val="auto"/>
          <w:highlight w:val="none"/>
        </w:rPr>
        <w:fldChar w:fldCharType="begin"/>
      </w:r>
      <w:r>
        <w:rPr>
          <w:color w:val="auto"/>
          <w:highlight w:val="none"/>
        </w:rPr>
        <w:instrText xml:space="preserve"> HYPERLINK \l "_Toc31735" </w:instrText>
      </w:r>
      <w:r>
        <w:rPr>
          <w:color w:val="auto"/>
          <w:highlight w:val="none"/>
        </w:rPr>
        <w:fldChar w:fldCharType="separate"/>
      </w:r>
      <w:r>
        <w:rPr>
          <w:rFonts w:hint="eastAsia"/>
          <w:color w:val="auto"/>
          <w:highlight w:val="none"/>
        </w:rPr>
        <w:t>第一章</w:t>
      </w:r>
      <w:r>
        <w:rPr>
          <w:color w:val="auto"/>
          <w:highlight w:val="none"/>
        </w:rPr>
        <w:t xml:space="preserve">  </w:t>
      </w:r>
      <w:r>
        <w:rPr>
          <w:rFonts w:hint="eastAsia"/>
          <w:color w:val="auto"/>
          <w:highlight w:val="none"/>
        </w:rPr>
        <w:t>投标须知</w:t>
      </w:r>
      <w:r>
        <w:rPr>
          <w:color w:val="auto"/>
          <w:highlight w:val="none"/>
        </w:rPr>
        <w:tab/>
      </w:r>
      <w:r>
        <w:rPr>
          <w:color w:val="auto"/>
          <w:highlight w:val="none"/>
        </w:rPr>
        <w:fldChar w:fldCharType="begin"/>
      </w:r>
      <w:r>
        <w:rPr>
          <w:color w:val="auto"/>
          <w:highlight w:val="none"/>
        </w:rPr>
        <w:instrText xml:space="preserve"> PAGEREF _Toc31735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50100C9A">
      <w:pPr>
        <w:pStyle w:val="30"/>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"_Toc7462" </w:instrText>
      </w:r>
      <w:r>
        <w:rPr>
          <w:color w:val="auto"/>
          <w:highlight w:val="none"/>
        </w:rPr>
        <w:fldChar w:fldCharType="separate"/>
      </w:r>
      <w:r>
        <w:rPr>
          <w:rFonts w:hint="eastAsia"/>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_Toc7462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12C05CF8">
      <w:pPr>
        <w:pStyle w:val="30"/>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"_Toc28760" </w:instrText>
      </w:r>
      <w:r>
        <w:rPr>
          <w:color w:val="auto"/>
          <w:highlight w:val="none"/>
        </w:rPr>
        <w:fldChar w:fldCharType="separate"/>
      </w:r>
      <w:r>
        <w:rPr>
          <w:rFonts w:hint="eastAsia"/>
          <w:color w:val="auto"/>
          <w:highlight w:val="none"/>
        </w:rPr>
        <w:t>二、投标须知修改表</w:t>
      </w:r>
      <w:r>
        <w:rPr>
          <w:color w:val="auto"/>
          <w:highlight w:val="none"/>
        </w:rPr>
        <w:tab/>
      </w:r>
      <w:r>
        <w:rPr>
          <w:color w:val="auto"/>
          <w:highlight w:val="none"/>
        </w:rPr>
        <w:fldChar w:fldCharType="begin"/>
      </w:r>
      <w:r>
        <w:rPr>
          <w:color w:val="auto"/>
          <w:highlight w:val="none"/>
        </w:rPr>
        <w:instrText xml:space="preserve"> PAGEREF _Toc28760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78BB5495">
      <w:pPr>
        <w:pStyle w:val="30"/>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"_Toc19765" </w:instrText>
      </w:r>
      <w:r>
        <w:rPr>
          <w:color w:val="auto"/>
          <w:highlight w:val="none"/>
        </w:rPr>
        <w:fldChar w:fldCharType="separate"/>
      </w:r>
      <w:r>
        <w:rPr>
          <w:rFonts w:hint="eastAsia"/>
          <w:color w:val="auto"/>
          <w:highlight w:val="none"/>
        </w:rPr>
        <w:t>三、投标须知通用条款</w:t>
      </w:r>
      <w:r>
        <w:rPr>
          <w:color w:val="auto"/>
          <w:highlight w:val="none"/>
        </w:rPr>
        <w:tab/>
      </w:r>
      <w:r>
        <w:rPr>
          <w:color w:val="auto"/>
          <w:highlight w:val="none"/>
        </w:rPr>
        <w:fldChar w:fldCharType="begin"/>
      </w:r>
      <w:r>
        <w:rPr>
          <w:color w:val="auto"/>
          <w:highlight w:val="none"/>
        </w:rPr>
        <w:instrText xml:space="preserve"> PAGEREF _Toc19765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45A8C4B3">
      <w:pPr>
        <w:pStyle w:val="19"/>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"_Toc821" </w:instrText>
      </w:r>
      <w:r>
        <w:rPr>
          <w:color w:val="auto"/>
          <w:highlight w:val="none"/>
        </w:rPr>
        <w:fldChar w:fldCharType="separate"/>
      </w:r>
      <w:r>
        <w:rPr>
          <w:rFonts w:hint="eastAsia"/>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_Toc821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768EE882">
      <w:pPr>
        <w:pStyle w:val="19"/>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"_Toc19361" </w:instrText>
      </w:r>
      <w:r>
        <w:rPr>
          <w:color w:val="auto"/>
          <w:highlight w:val="none"/>
        </w:rPr>
        <w:fldChar w:fldCharType="separate"/>
      </w:r>
      <w:r>
        <w:rPr>
          <w:rFonts w:hint="eastAsia"/>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_Toc19361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637AA921">
      <w:pPr>
        <w:pStyle w:val="19"/>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"_Toc644" </w:instrText>
      </w:r>
      <w:r>
        <w:rPr>
          <w:color w:val="auto"/>
          <w:highlight w:val="none"/>
        </w:rPr>
        <w:fldChar w:fldCharType="separate"/>
      </w:r>
      <w:r>
        <w:rPr>
          <w:rFonts w:hint="eastAsia"/>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_Toc644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73B73206">
      <w:pPr>
        <w:pStyle w:val="19"/>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"_Toc32530" </w:instrText>
      </w:r>
      <w:r>
        <w:rPr>
          <w:color w:val="auto"/>
          <w:highlight w:val="none"/>
        </w:rPr>
        <w:fldChar w:fldCharType="separate"/>
      </w:r>
      <w:r>
        <w:rPr>
          <w:rFonts w:hint="eastAsia"/>
          <w:color w:val="auto"/>
          <w:highlight w:val="none"/>
        </w:rPr>
        <w:t>（四）投标文件的提交</w:t>
      </w:r>
      <w:r>
        <w:rPr>
          <w:color w:val="auto"/>
          <w:highlight w:val="none"/>
        </w:rPr>
        <w:tab/>
      </w:r>
      <w:r>
        <w:rPr>
          <w:color w:val="auto"/>
          <w:highlight w:val="none"/>
        </w:rPr>
        <w:fldChar w:fldCharType="begin"/>
      </w:r>
      <w:r>
        <w:rPr>
          <w:color w:val="auto"/>
          <w:highlight w:val="none"/>
        </w:rPr>
        <w:instrText xml:space="preserve"> PAGEREF _Toc32530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5607049E">
      <w:pPr>
        <w:pStyle w:val="19"/>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"_Toc28853" </w:instrText>
      </w:r>
      <w:r>
        <w:rPr>
          <w:color w:val="auto"/>
          <w:highlight w:val="none"/>
        </w:rPr>
        <w:fldChar w:fldCharType="separate"/>
      </w:r>
      <w:r>
        <w:rPr>
          <w:rFonts w:hint="eastAsia"/>
          <w:color w:val="auto"/>
          <w:highlight w:val="none"/>
        </w:rPr>
        <w:t>（五）开标、评标、定标及合同签定</w:t>
      </w:r>
      <w:r>
        <w:rPr>
          <w:color w:val="auto"/>
          <w:highlight w:val="none"/>
        </w:rPr>
        <w:tab/>
      </w:r>
      <w:r>
        <w:rPr>
          <w:color w:val="auto"/>
          <w:highlight w:val="none"/>
        </w:rPr>
        <w:fldChar w:fldCharType="begin"/>
      </w:r>
      <w:r>
        <w:rPr>
          <w:color w:val="auto"/>
          <w:highlight w:val="none"/>
        </w:rPr>
        <w:instrText xml:space="preserve"> PAGEREF _Toc28853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664905BA">
      <w:pPr>
        <w:pStyle w:val="27"/>
        <w:tabs>
          <w:tab w:val="right" w:leader="dot" w:pos="9070"/>
          <w:tab w:val="clear" w:pos="9060"/>
        </w:tabs>
        <w:rPr>
          <w:rFonts w:hint="eastAsia"/>
          <w:color w:val="auto"/>
          <w:highlight w:val="none"/>
        </w:rPr>
      </w:pPr>
      <w:r>
        <w:rPr>
          <w:color w:val="auto"/>
          <w:highlight w:val="none"/>
        </w:rPr>
        <w:fldChar w:fldCharType="begin"/>
      </w:r>
      <w:r>
        <w:rPr>
          <w:color w:val="auto"/>
          <w:highlight w:val="none"/>
        </w:rPr>
        <w:instrText xml:space="preserve"> HYPERLINK \l "_Toc17683" </w:instrText>
      </w:r>
      <w:r>
        <w:rPr>
          <w:color w:val="auto"/>
          <w:highlight w:val="none"/>
        </w:rPr>
        <w:fldChar w:fldCharType="separate"/>
      </w:r>
      <w:r>
        <w:rPr>
          <w:rFonts w:hint="eastAsia"/>
          <w:color w:val="auto"/>
          <w:highlight w:val="none"/>
        </w:rPr>
        <w:t>第二章</w:t>
      </w:r>
      <w:r>
        <w:rPr>
          <w:color w:val="auto"/>
          <w:highlight w:val="none"/>
        </w:rPr>
        <w:t xml:space="preserve">  </w:t>
      </w:r>
      <w:r>
        <w:rPr>
          <w:rFonts w:hint="eastAsia"/>
          <w:color w:val="auto"/>
          <w:highlight w:val="none"/>
        </w:rPr>
        <w:t>开标、评标及定标办法</w:t>
      </w:r>
      <w:r>
        <w:rPr>
          <w:color w:val="auto"/>
          <w:highlight w:val="none"/>
        </w:rPr>
        <w:tab/>
      </w:r>
      <w:r>
        <w:rPr>
          <w:color w:val="auto"/>
          <w:highlight w:val="none"/>
        </w:rPr>
        <w:fldChar w:fldCharType="begin"/>
      </w:r>
      <w:r>
        <w:rPr>
          <w:color w:val="auto"/>
          <w:highlight w:val="none"/>
        </w:rPr>
        <w:instrText xml:space="preserve"> PAGEREF _Toc17683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1A6D92BB">
      <w:pPr>
        <w:pStyle w:val="30"/>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"_Toc28311" </w:instrText>
      </w:r>
      <w:r>
        <w:rPr>
          <w:color w:val="auto"/>
          <w:highlight w:val="none"/>
        </w:rPr>
        <w:fldChar w:fldCharType="separate"/>
      </w:r>
      <w:r>
        <w:rPr>
          <w:rFonts w:hint="eastAsia"/>
          <w:color w:val="auto"/>
          <w:highlight w:val="none"/>
        </w:rPr>
        <w:t>一、开标、评标及定标办法修改表</w:t>
      </w:r>
      <w:r>
        <w:rPr>
          <w:color w:val="auto"/>
          <w:highlight w:val="none"/>
        </w:rPr>
        <w:tab/>
      </w:r>
      <w:r>
        <w:rPr>
          <w:color w:val="auto"/>
          <w:highlight w:val="none"/>
        </w:rPr>
        <w:fldChar w:fldCharType="begin"/>
      </w:r>
      <w:r>
        <w:rPr>
          <w:color w:val="auto"/>
          <w:highlight w:val="none"/>
        </w:rPr>
        <w:instrText xml:space="preserve"> PAGEREF _Toc28311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78A2C175">
      <w:pPr>
        <w:pStyle w:val="30"/>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"_Toc22241" </w:instrText>
      </w:r>
      <w:r>
        <w:rPr>
          <w:color w:val="auto"/>
          <w:highlight w:val="none"/>
        </w:rPr>
        <w:fldChar w:fldCharType="separate"/>
      </w:r>
      <w:r>
        <w:rPr>
          <w:rFonts w:hint="eastAsia"/>
          <w:color w:val="auto"/>
          <w:highlight w:val="none"/>
        </w:rPr>
        <w:t>二、开标、评标及定标办法通用条款</w:t>
      </w:r>
      <w:r>
        <w:rPr>
          <w:color w:val="auto"/>
          <w:highlight w:val="none"/>
        </w:rPr>
        <w:tab/>
      </w:r>
      <w:r>
        <w:rPr>
          <w:color w:val="auto"/>
          <w:highlight w:val="none"/>
        </w:rPr>
        <w:fldChar w:fldCharType="begin"/>
      </w:r>
      <w:r>
        <w:rPr>
          <w:color w:val="auto"/>
          <w:highlight w:val="none"/>
        </w:rPr>
        <w:instrText xml:space="preserve"> PAGEREF _Toc22241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16E4A82F">
      <w:pPr>
        <w:pStyle w:val="19"/>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"_Toc9587" </w:instrText>
      </w:r>
      <w:r>
        <w:rPr>
          <w:color w:val="auto"/>
          <w:highlight w:val="none"/>
        </w:rPr>
        <w:fldChar w:fldCharType="separate"/>
      </w:r>
      <w:r>
        <w:rPr>
          <w:rFonts w:hint="eastAsia"/>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_Toc9587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5D14BE28">
      <w:pPr>
        <w:pStyle w:val="19"/>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"_Toc16793" </w:instrText>
      </w:r>
      <w:r>
        <w:rPr>
          <w:color w:val="auto"/>
          <w:highlight w:val="none"/>
        </w:rPr>
        <w:fldChar w:fldCharType="separate"/>
      </w:r>
      <w:r>
        <w:rPr>
          <w:rFonts w:hint="eastAsia"/>
          <w:bCs/>
          <w:color w:val="auto"/>
          <w:highlight w:val="none"/>
        </w:rPr>
        <w:t>（二）开标评标办法程序和细则（</w:t>
      </w:r>
      <w:r>
        <w:rPr>
          <w:rFonts w:hint="eastAsia" w:ascii="宋体" w:hAnsi="宋体"/>
          <w:color w:val="auto"/>
          <w:szCs w:val="24"/>
          <w:highlight w:val="none"/>
        </w:rPr>
        <w:t>开评标办法由招标人自行选择，鼓励招标人创新评标办法）</w:t>
      </w:r>
      <w:r>
        <w:rPr>
          <w:color w:val="auto"/>
          <w:highlight w:val="none"/>
        </w:rPr>
        <w:tab/>
      </w:r>
      <w:r>
        <w:rPr>
          <w:color w:val="auto"/>
          <w:highlight w:val="none"/>
        </w:rPr>
        <w:fldChar w:fldCharType="begin"/>
      </w:r>
      <w:r>
        <w:rPr>
          <w:color w:val="auto"/>
          <w:highlight w:val="none"/>
        </w:rPr>
        <w:instrText xml:space="preserve"> PAGEREF _Toc16793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7FCFEF60">
      <w:pPr>
        <w:pStyle w:val="27"/>
        <w:tabs>
          <w:tab w:val="right" w:leader="dot" w:pos="9070"/>
          <w:tab w:val="clear" w:pos="9060"/>
        </w:tabs>
        <w:rPr>
          <w:rFonts w:hint="eastAsia"/>
          <w:color w:val="auto"/>
          <w:highlight w:val="none"/>
        </w:rPr>
      </w:pPr>
      <w:r>
        <w:rPr>
          <w:color w:val="auto"/>
          <w:highlight w:val="none"/>
        </w:rPr>
        <w:fldChar w:fldCharType="begin"/>
      </w:r>
      <w:r>
        <w:rPr>
          <w:color w:val="auto"/>
          <w:highlight w:val="none"/>
        </w:rPr>
        <w:instrText xml:space="preserve"> HYPERLINK \l "_Toc15112" </w:instrText>
      </w:r>
      <w:r>
        <w:rPr>
          <w:color w:val="auto"/>
          <w:highlight w:val="none"/>
        </w:rPr>
        <w:fldChar w:fldCharType="separate"/>
      </w:r>
      <w:r>
        <w:rPr>
          <w:rFonts w:hint="eastAsia"/>
          <w:color w:val="auto"/>
          <w:highlight w:val="none"/>
        </w:rPr>
        <w:t>第三章</w:t>
      </w:r>
      <w:r>
        <w:rPr>
          <w:color w:val="auto"/>
          <w:highlight w:val="none"/>
        </w:rPr>
        <w:t xml:space="preserve">  </w:t>
      </w:r>
      <w:r>
        <w:rPr>
          <w:rFonts w:hint="eastAsia"/>
          <w:color w:val="auto"/>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_Toc15112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14:paraId="671F36D3">
      <w:pPr>
        <w:pStyle w:val="27"/>
        <w:tabs>
          <w:tab w:val="right" w:leader="dot" w:pos="9070"/>
          <w:tab w:val="clear" w:pos="9060"/>
        </w:tabs>
        <w:rPr>
          <w:rFonts w:hint="eastAsia"/>
          <w:color w:val="auto"/>
          <w:highlight w:val="none"/>
        </w:rPr>
      </w:pPr>
      <w:r>
        <w:rPr>
          <w:color w:val="auto"/>
          <w:highlight w:val="none"/>
        </w:rPr>
        <w:fldChar w:fldCharType="begin"/>
      </w:r>
      <w:r>
        <w:rPr>
          <w:color w:val="auto"/>
          <w:highlight w:val="none"/>
        </w:rPr>
        <w:instrText xml:space="preserve"> HYPERLINK \l "_Toc29898" </w:instrText>
      </w:r>
      <w:r>
        <w:rPr>
          <w:color w:val="auto"/>
          <w:highlight w:val="none"/>
        </w:rPr>
        <w:fldChar w:fldCharType="separate"/>
      </w:r>
      <w:r>
        <w:rPr>
          <w:rFonts w:hint="eastAsia"/>
          <w:color w:val="auto"/>
          <w:highlight w:val="none"/>
        </w:rPr>
        <w:t>第四章</w:t>
      </w:r>
      <w:r>
        <w:rPr>
          <w:color w:val="auto"/>
          <w:highlight w:val="none"/>
        </w:rPr>
        <w:t xml:space="preserve">  </w:t>
      </w:r>
      <w:r>
        <w:rPr>
          <w:rFonts w:hint="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_Toc29898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14:paraId="33872DB8">
      <w:pPr>
        <w:pStyle w:val="27"/>
        <w:tabs>
          <w:tab w:val="right" w:leader="dot" w:pos="9070"/>
          <w:tab w:val="clear" w:pos="9060"/>
        </w:tabs>
        <w:rPr>
          <w:rFonts w:hint="eastAsia"/>
          <w:color w:val="auto"/>
          <w:highlight w:val="none"/>
        </w:rPr>
      </w:pPr>
      <w:r>
        <w:rPr>
          <w:color w:val="auto"/>
          <w:highlight w:val="none"/>
        </w:rPr>
        <w:fldChar w:fldCharType="begin"/>
      </w:r>
      <w:r>
        <w:rPr>
          <w:color w:val="auto"/>
          <w:highlight w:val="none"/>
        </w:rPr>
        <w:instrText xml:space="preserve"> HYPERLINK \l "_Toc26180" </w:instrText>
      </w:r>
      <w:r>
        <w:rPr>
          <w:color w:val="auto"/>
          <w:highlight w:val="none"/>
        </w:rPr>
        <w:fldChar w:fldCharType="separate"/>
      </w:r>
      <w:r>
        <w:rPr>
          <w:rFonts w:hint="eastAsia"/>
          <w:color w:val="auto"/>
          <w:highlight w:val="none"/>
        </w:rPr>
        <w:t>第五章</w:t>
      </w:r>
      <w:r>
        <w:rPr>
          <w:color w:val="auto"/>
          <w:highlight w:val="none"/>
        </w:rPr>
        <w:t xml:space="preserve">  </w:t>
      </w:r>
      <w:r>
        <w:rPr>
          <w:rFonts w:hint="eastAsia"/>
          <w:color w:val="auto"/>
          <w:highlight w:val="none"/>
        </w:rPr>
        <w:t>技术条件（工程建设标准）</w:t>
      </w:r>
      <w:r>
        <w:rPr>
          <w:color w:val="auto"/>
          <w:highlight w:val="none"/>
        </w:rPr>
        <w:tab/>
      </w:r>
      <w:r>
        <w:rPr>
          <w:color w:val="auto"/>
          <w:highlight w:val="none"/>
        </w:rPr>
        <w:fldChar w:fldCharType="begin"/>
      </w:r>
      <w:r>
        <w:rPr>
          <w:color w:val="auto"/>
          <w:highlight w:val="none"/>
        </w:rPr>
        <w:instrText xml:space="preserve"> PAGEREF _Toc26180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63F1C95A">
      <w:pPr>
        <w:pStyle w:val="27"/>
        <w:tabs>
          <w:tab w:val="right" w:leader="dot" w:pos="9070"/>
          <w:tab w:val="clear" w:pos="9060"/>
        </w:tabs>
        <w:rPr>
          <w:rFonts w:hint="eastAsia"/>
          <w:color w:val="auto"/>
          <w:highlight w:val="none"/>
        </w:rPr>
      </w:pPr>
      <w:r>
        <w:rPr>
          <w:color w:val="auto"/>
          <w:highlight w:val="none"/>
        </w:rPr>
        <w:fldChar w:fldCharType="begin"/>
      </w:r>
      <w:r>
        <w:rPr>
          <w:color w:val="auto"/>
          <w:highlight w:val="none"/>
        </w:rPr>
        <w:instrText xml:space="preserve"> HYPERLINK \l "_Toc17091" </w:instrText>
      </w:r>
      <w:r>
        <w:rPr>
          <w:color w:val="auto"/>
          <w:highlight w:val="none"/>
        </w:rPr>
        <w:fldChar w:fldCharType="separate"/>
      </w:r>
      <w:r>
        <w:rPr>
          <w:rFonts w:hint="eastAsia"/>
          <w:color w:val="auto"/>
          <w:highlight w:val="none"/>
        </w:rPr>
        <w:t>第六章</w:t>
      </w:r>
      <w:r>
        <w:rPr>
          <w:color w:val="auto"/>
          <w:highlight w:val="none"/>
        </w:rPr>
        <w:t xml:space="preserve">  </w:t>
      </w:r>
      <w:r>
        <w:rPr>
          <w:rFonts w:hint="eastAsia"/>
          <w:color w:val="auto"/>
          <w:highlight w:val="none"/>
        </w:rPr>
        <w:t>图纸及勘察资料</w:t>
      </w:r>
      <w:r>
        <w:rPr>
          <w:color w:val="auto"/>
          <w:highlight w:val="none"/>
        </w:rPr>
        <w:tab/>
      </w:r>
      <w:r>
        <w:rPr>
          <w:color w:val="auto"/>
          <w:highlight w:val="none"/>
        </w:rPr>
        <w:fldChar w:fldCharType="begin"/>
      </w:r>
      <w:r>
        <w:rPr>
          <w:color w:val="auto"/>
          <w:highlight w:val="none"/>
        </w:rPr>
        <w:instrText xml:space="preserve"> PAGEREF _Toc17091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14:paraId="4DC675E9">
      <w:pPr>
        <w:pStyle w:val="27"/>
        <w:tabs>
          <w:tab w:val="right" w:leader="dot" w:pos="9070"/>
          <w:tab w:val="clear" w:pos="9060"/>
        </w:tabs>
        <w:rPr>
          <w:rFonts w:hint="eastAsia"/>
          <w:color w:val="auto"/>
          <w:highlight w:val="none"/>
        </w:rPr>
      </w:pPr>
      <w:r>
        <w:rPr>
          <w:color w:val="auto"/>
          <w:highlight w:val="none"/>
        </w:rPr>
        <w:fldChar w:fldCharType="begin"/>
      </w:r>
      <w:r>
        <w:rPr>
          <w:color w:val="auto"/>
          <w:highlight w:val="none"/>
        </w:rPr>
        <w:instrText xml:space="preserve"> HYPERLINK \l "_Toc13042" </w:instrText>
      </w:r>
      <w:r>
        <w:rPr>
          <w:color w:val="auto"/>
          <w:highlight w:val="none"/>
        </w:rPr>
        <w:fldChar w:fldCharType="separate"/>
      </w:r>
      <w:r>
        <w:rPr>
          <w:rFonts w:hint="eastAsia"/>
          <w:color w:val="auto"/>
          <w:highlight w:val="none"/>
        </w:rPr>
        <w:t>第七章</w:t>
      </w:r>
      <w:r>
        <w:rPr>
          <w:color w:val="auto"/>
          <w:highlight w:val="none"/>
        </w:rPr>
        <w:t xml:space="preserve">  </w:t>
      </w:r>
      <w:r>
        <w:rPr>
          <w:rFonts w:hint="eastAsia"/>
          <w:color w:val="auto"/>
          <w:highlight w:val="none"/>
        </w:rPr>
        <w:t>工程量清单</w:t>
      </w:r>
      <w:r>
        <w:rPr>
          <w:color w:val="auto"/>
          <w:highlight w:val="none"/>
        </w:rPr>
        <w:tab/>
      </w:r>
      <w:r>
        <w:rPr>
          <w:color w:val="auto"/>
          <w:highlight w:val="none"/>
        </w:rPr>
        <w:fldChar w:fldCharType="begin"/>
      </w:r>
      <w:r>
        <w:rPr>
          <w:color w:val="auto"/>
          <w:highlight w:val="none"/>
        </w:rPr>
        <w:instrText xml:space="preserve"> PAGEREF _Toc13042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14:paraId="51A63AEB">
      <w:pPr>
        <w:pStyle w:val="27"/>
        <w:tabs>
          <w:tab w:val="right" w:leader="dot" w:pos="9070"/>
          <w:tab w:val="clear" w:pos="9060"/>
        </w:tabs>
        <w:rPr>
          <w:rFonts w:hint="eastAsia"/>
          <w:color w:val="auto"/>
          <w:highlight w:val="none"/>
        </w:rPr>
      </w:pPr>
      <w:r>
        <w:rPr>
          <w:color w:val="auto"/>
          <w:highlight w:val="none"/>
        </w:rPr>
        <w:fldChar w:fldCharType="begin"/>
      </w:r>
      <w:r>
        <w:rPr>
          <w:color w:val="auto"/>
          <w:highlight w:val="none"/>
        </w:rPr>
        <w:instrText xml:space="preserve"> HYPERLINK \l "_Toc18445" </w:instrText>
      </w:r>
      <w:r>
        <w:rPr>
          <w:color w:val="auto"/>
          <w:highlight w:val="none"/>
        </w:rPr>
        <w:fldChar w:fldCharType="separate"/>
      </w:r>
      <w:r>
        <w:rPr>
          <w:rFonts w:hint="eastAsia"/>
          <w:color w:val="auto"/>
          <w:highlight w:val="none"/>
        </w:rPr>
        <w:t>第八章</w:t>
      </w:r>
      <w:r>
        <w:rPr>
          <w:color w:val="auto"/>
          <w:highlight w:val="none"/>
        </w:rPr>
        <w:t xml:space="preserve">  </w:t>
      </w:r>
      <w:r>
        <w:rPr>
          <w:rFonts w:hint="eastAsia"/>
          <w:color w:val="auto"/>
          <w:highlight w:val="none"/>
        </w:rPr>
        <w:t>最高投标限价</w:t>
      </w:r>
      <w:r>
        <w:rPr>
          <w:color w:val="auto"/>
          <w:highlight w:val="none"/>
        </w:rPr>
        <w:tab/>
      </w:r>
      <w:r>
        <w:rPr>
          <w:color w:val="auto"/>
          <w:highlight w:val="none"/>
        </w:rPr>
        <w:fldChar w:fldCharType="begin"/>
      </w:r>
      <w:r>
        <w:rPr>
          <w:color w:val="auto"/>
          <w:highlight w:val="none"/>
        </w:rPr>
        <w:instrText xml:space="preserve"> PAGEREF _Toc18445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712F29F3">
      <w:pPr>
        <w:pStyle w:val="3"/>
        <w:rPr>
          <w:color w:val="auto"/>
          <w:highlight w:val="none"/>
        </w:rPr>
      </w:pPr>
      <w:r>
        <w:rPr>
          <w:rFonts w:hint="eastAsia"/>
          <w:color w:val="auto"/>
          <w:highlight w:val="none"/>
        </w:rPr>
        <w:fldChar w:fldCharType="end"/>
      </w:r>
    </w:p>
    <w:p w14:paraId="396954A7">
      <w:pPr>
        <w:pStyle w:val="3"/>
        <w:rPr>
          <w:color w:val="auto"/>
          <w:highlight w:val="none"/>
        </w:rPr>
      </w:pPr>
      <w:bookmarkStart w:id="2" w:name="_Toc31735"/>
      <w:bookmarkStart w:id="3" w:name="_Toc20110"/>
    </w:p>
    <w:p w14:paraId="18E14A6F">
      <w:pPr>
        <w:pStyle w:val="5"/>
        <w:rPr>
          <w:color w:val="auto"/>
          <w:highlight w:val="none"/>
        </w:rPr>
      </w:pPr>
    </w:p>
    <w:p w14:paraId="15F14DE8">
      <w:pPr>
        <w:pStyle w:val="5"/>
        <w:rPr>
          <w:color w:val="auto"/>
          <w:highlight w:val="none"/>
        </w:rPr>
      </w:pPr>
    </w:p>
    <w:p w14:paraId="65467EFE">
      <w:pPr>
        <w:pStyle w:val="5"/>
        <w:rPr>
          <w:color w:val="auto"/>
          <w:highlight w:val="none"/>
        </w:rPr>
      </w:pPr>
    </w:p>
    <w:p w14:paraId="5C82BB93">
      <w:pPr>
        <w:pStyle w:val="3"/>
        <w:rPr>
          <w:color w:val="auto"/>
          <w:highlight w:val="none"/>
        </w:rPr>
      </w:pPr>
      <w:r>
        <w:rPr>
          <w:rFonts w:hint="eastAsia"/>
          <w:color w:val="auto"/>
          <w:highlight w:val="none"/>
        </w:rPr>
        <w:t>第一章</w:t>
      </w:r>
      <w:r>
        <w:rPr>
          <w:color w:val="auto"/>
          <w:highlight w:val="none"/>
        </w:rPr>
        <w:t xml:space="preserve">  </w:t>
      </w:r>
      <w:r>
        <w:rPr>
          <w:rFonts w:hint="eastAsia"/>
          <w:color w:val="auto"/>
          <w:highlight w:val="none"/>
        </w:rPr>
        <w:t>投标须知</w:t>
      </w:r>
      <w:bookmarkEnd w:id="0"/>
      <w:bookmarkEnd w:id="1"/>
      <w:bookmarkEnd w:id="2"/>
      <w:bookmarkEnd w:id="3"/>
    </w:p>
    <w:p w14:paraId="1E62E66C">
      <w:pPr>
        <w:pStyle w:val="7"/>
        <w:rPr>
          <w:color w:val="auto"/>
          <w:highlight w:val="none"/>
        </w:rPr>
      </w:pPr>
      <w:bookmarkStart w:id="4" w:name="_Toc2272546"/>
      <w:bookmarkStart w:id="5" w:name="_Toc28976"/>
      <w:bookmarkStart w:id="6" w:name="_Toc7462"/>
      <w:bookmarkStart w:id="7" w:name="_Toc21525490"/>
      <w:r>
        <w:rPr>
          <w:rFonts w:hint="eastAsia"/>
          <w:color w:val="auto"/>
          <w:highlight w:val="none"/>
        </w:rPr>
        <w:t>一、投标须知前附表</w:t>
      </w:r>
      <w:bookmarkEnd w:id="4"/>
      <w:bookmarkEnd w:id="5"/>
      <w:bookmarkEnd w:id="6"/>
      <w:bookmarkEnd w:id="7"/>
    </w:p>
    <w:p w14:paraId="532E85EA">
      <w:pPr>
        <w:pStyle w:val="2"/>
        <w:spacing w:line="360" w:lineRule="auto"/>
        <w:ind w:firstLine="0"/>
        <w:rPr>
          <w:rFonts w:hint="eastAsia" w:ascii="宋体" w:hAnsi="宋体"/>
          <w:b/>
          <w:color w:val="auto"/>
          <w:sz w:val="24"/>
          <w:szCs w:val="24"/>
          <w:highlight w:val="none"/>
        </w:rPr>
      </w:pPr>
      <w:r>
        <w:rPr>
          <w:rFonts w:hint="eastAsia" w:ascii="宋体" w:hAnsi="宋体"/>
          <w:b/>
          <w:color w:val="auto"/>
          <w:sz w:val="24"/>
          <w:szCs w:val="24"/>
          <w:highlight w:val="none"/>
        </w:rPr>
        <w:t>声明：本投标须知前附表使用GZJTZB2025-3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6"/>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733"/>
        <w:gridCol w:w="5934"/>
      </w:tblGrid>
      <w:tr w14:paraId="54E2CB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14:paraId="3AD44331">
            <w:pPr>
              <w:jc w:val="center"/>
              <w:rPr>
                <w:rFonts w:hint="eastAsia" w:ascii="宋体" w:hAnsi="宋体"/>
                <w:color w:val="auto"/>
                <w:szCs w:val="21"/>
                <w:highlight w:val="none"/>
              </w:rPr>
            </w:pPr>
            <w:r>
              <w:rPr>
                <w:rFonts w:hint="eastAsia" w:ascii="宋体" w:hAnsi="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14:paraId="7C2278D4">
            <w:pPr>
              <w:rPr>
                <w:rFonts w:hint="eastAsia" w:ascii="宋体" w:hAnsi="宋体"/>
                <w:color w:val="auto"/>
                <w:szCs w:val="21"/>
                <w:highlight w:val="none"/>
              </w:rPr>
            </w:pPr>
            <w:r>
              <w:rPr>
                <w:rFonts w:hint="eastAsia" w:ascii="宋体" w:hAnsi="宋体"/>
                <w:color w:val="auto"/>
                <w:szCs w:val="21"/>
                <w:highlight w:val="none"/>
              </w:rPr>
              <w:t>条款号</w:t>
            </w:r>
          </w:p>
        </w:tc>
        <w:tc>
          <w:tcPr>
            <w:tcW w:w="1733" w:type="dxa"/>
            <w:tcBorders>
              <w:top w:val="double" w:color="auto" w:sz="4" w:space="0"/>
              <w:left w:val="single" w:color="auto" w:sz="4" w:space="0"/>
              <w:bottom w:val="single" w:color="auto" w:sz="4" w:space="0"/>
              <w:right w:val="single" w:color="auto" w:sz="4" w:space="0"/>
            </w:tcBorders>
            <w:vAlign w:val="center"/>
          </w:tcPr>
          <w:p w14:paraId="51824889">
            <w:pPr>
              <w:ind w:firstLine="458"/>
              <w:rPr>
                <w:rFonts w:hint="eastAsia" w:ascii="宋体" w:hAnsi="宋体"/>
                <w:color w:val="auto"/>
                <w:szCs w:val="21"/>
                <w:highlight w:val="none"/>
              </w:rPr>
            </w:pPr>
            <w:r>
              <w:rPr>
                <w:rFonts w:hint="eastAsia" w:ascii="宋体" w:hAnsi="宋体"/>
                <w:color w:val="auto"/>
                <w:szCs w:val="21"/>
                <w:highlight w:val="none"/>
              </w:rPr>
              <w:t>内容</w:t>
            </w:r>
          </w:p>
        </w:tc>
        <w:tc>
          <w:tcPr>
            <w:tcW w:w="5934" w:type="dxa"/>
            <w:tcBorders>
              <w:top w:val="double" w:color="auto" w:sz="4" w:space="0"/>
              <w:left w:val="single" w:color="auto" w:sz="4" w:space="0"/>
              <w:bottom w:val="single" w:color="auto" w:sz="4" w:space="0"/>
              <w:right w:val="double" w:color="auto" w:sz="4" w:space="0"/>
            </w:tcBorders>
            <w:vAlign w:val="center"/>
          </w:tcPr>
          <w:p w14:paraId="0E25A2CA">
            <w:pPr>
              <w:pStyle w:val="21"/>
              <w:ind w:firstLine="458"/>
              <w:jc w:val="center"/>
              <w:rPr>
                <w:rFonts w:hint="eastAsia" w:ascii="宋体" w:hAnsi="宋体"/>
                <w:color w:val="auto"/>
                <w:szCs w:val="21"/>
                <w:highlight w:val="none"/>
              </w:rPr>
            </w:pPr>
            <w:r>
              <w:rPr>
                <w:rFonts w:hint="eastAsia" w:ascii="宋体" w:hAnsi="宋体"/>
                <w:color w:val="auto"/>
                <w:szCs w:val="21"/>
                <w:highlight w:val="none"/>
              </w:rPr>
              <w:t>说明与要求</w:t>
            </w:r>
          </w:p>
        </w:tc>
      </w:tr>
      <w:tr w14:paraId="704E28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14:paraId="1BB4BFA0">
            <w:pPr>
              <w:jc w:val="center"/>
              <w:rPr>
                <w:rFonts w:hint="eastAsia" w:ascii="宋体" w:hAnsi="宋体"/>
                <w:color w:val="auto"/>
                <w:szCs w:val="21"/>
                <w:highlight w:val="none"/>
              </w:rPr>
            </w:pPr>
            <w:r>
              <w:rPr>
                <w:rFonts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14:paraId="00280FC8">
            <w:pPr>
              <w:rPr>
                <w:rFonts w:hint="eastAsia" w:ascii="宋体" w:hAnsi="宋体"/>
                <w:color w:val="auto"/>
                <w:szCs w:val="21"/>
                <w:highlight w:val="none"/>
              </w:rPr>
            </w:pPr>
            <w:r>
              <w:rPr>
                <w:rFonts w:ascii="宋体" w:hAnsi="宋体"/>
                <w:color w:val="auto"/>
                <w:szCs w:val="21"/>
                <w:highlight w:val="none"/>
              </w:rPr>
              <w:t>1</w:t>
            </w:r>
          </w:p>
        </w:tc>
        <w:tc>
          <w:tcPr>
            <w:tcW w:w="1733" w:type="dxa"/>
            <w:tcBorders>
              <w:top w:val="single" w:color="auto" w:sz="4" w:space="0"/>
              <w:left w:val="single" w:color="auto" w:sz="4" w:space="0"/>
              <w:bottom w:val="single" w:color="auto" w:sz="4" w:space="0"/>
              <w:right w:val="single" w:color="auto" w:sz="4" w:space="0"/>
            </w:tcBorders>
            <w:vAlign w:val="center"/>
          </w:tcPr>
          <w:p w14:paraId="1BF2170B">
            <w:pPr>
              <w:jc w:val="center"/>
              <w:rPr>
                <w:rFonts w:hint="eastAsia" w:ascii="宋体" w:hAnsi="宋体"/>
                <w:color w:val="auto"/>
                <w:szCs w:val="21"/>
                <w:highlight w:val="none"/>
              </w:rPr>
            </w:pPr>
            <w:r>
              <w:rPr>
                <w:rFonts w:hint="eastAsia" w:ascii="宋体" w:hAnsi="宋体"/>
                <w:color w:val="auto"/>
                <w:szCs w:val="21"/>
                <w:highlight w:val="none"/>
              </w:rPr>
              <w:t>定义</w:t>
            </w:r>
          </w:p>
        </w:tc>
        <w:tc>
          <w:tcPr>
            <w:tcW w:w="5934" w:type="dxa"/>
            <w:tcBorders>
              <w:top w:val="single" w:color="auto" w:sz="4" w:space="0"/>
              <w:left w:val="single" w:color="auto" w:sz="4" w:space="0"/>
              <w:bottom w:val="single" w:color="auto" w:sz="4" w:space="0"/>
              <w:right w:val="double" w:color="auto" w:sz="4" w:space="0"/>
            </w:tcBorders>
            <w:vAlign w:val="center"/>
          </w:tcPr>
          <w:p w14:paraId="316ABAFE">
            <w:pPr>
              <w:rPr>
                <w:rFonts w:hint="eastAsia" w:ascii="宋体" w:hAnsi="宋体"/>
                <w:color w:val="auto"/>
                <w:szCs w:val="21"/>
                <w:highlight w:val="none"/>
                <w:u w:val="single"/>
              </w:rPr>
            </w:pPr>
            <w:r>
              <w:rPr>
                <w:rFonts w:hint="eastAsia" w:ascii="宋体" w:hAnsi="宋体"/>
                <w:color w:val="auto"/>
                <w:szCs w:val="21"/>
                <w:highlight w:val="none"/>
                <w:u w:val="single"/>
              </w:rPr>
              <w:t>招标人（即发包人）：广州市增城区人民政府宁西街道办事处</w:t>
            </w:r>
          </w:p>
          <w:p w14:paraId="66947AC3">
            <w:pPr>
              <w:rPr>
                <w:rFonts w:hint="eastAsia" w:ascii="宋体" w:hAnsi="宋体"/>
                <w:color w:val="auto"/>
                <w:szCs w:val="21"/>
                <w:highlight w:val="none"/>
                <w:u w:val="single"/>
              </w:rPr>
            </w:pPr>
            <w:r>
              <w:rPr>
                <w:rFonts w:hint="eastAsia" w:ascii="宋体" w:hAnsi="宋体"/>
                <w:color w:val="auto"/>
                <w:szCs w:val="21"/>
                <w:highlight w:val="none"/>
                <w:u w:val="single"/>
              </w:rPr>
              <w:t>招标代理：建成工程咨询股份有限公司</w:t>
            </w:r>
          </w:p>
          <w:p w14:paraId="69367888">
            <w:pPr>
              <w:rPr>
                <w:rFonts w:hint="eastAsia" w:ascii="Helvetica" w:hAnsi="Helvetica" w:eastAsia="宋体" w:cs="Helvetica"/>
                <w:color w:val="auto"/>
                <w:szCs w:val="21"/>
                <w:highlight w:val="none"/>
                <w:shd w:val="clear" w:color="auto" w:fill="FFFFFF"/>
                <w:lang w:eastAsia="zh-CN"/>
              </w:rPr>
            </w:pPr>
            <w:r>
              <w:rPr>
                <w:rFonts w:hint="eastAsia" w:ascii="宋体" w:hAnsi="宋体"/>
                <w:color w:val="auto"/>
                <w:szCs w:val="21"/>
                <w:highlight w:val="none"/>
                <w:u w:val="single"/>
              </w:rPr>
              <w:t>设计单位：</w:t>
            </w:r>
            <w:r>
              <w:rPr>
                <w:rFonts w:hint="eastAsia" w:ascii="Helvetica" w:hAnsi="Helvetica" w:eastAsia="宋体" w:cs="Helvetica"/>
                <w:color w:val="auto"/>
                <w:szCs w:val="21"/>
                <w:highlight w:val="none"/>
                <w:u w:val="single"/>
                <w:shd w:val="clear" w:color="auto" w:fill="FFFFFF"/>
                <w:lang w:eastAsia="zh-CN"/>
              </w:rPr>
              <w:t>中誉设计有限公司</w:t>
            </w:r>
          </w:p>
          <w:p w14:paraId="69BAF69C">
            <w:pPr>
              <w:rPr>
                <w:rFonts w:hint="eastAsia" w:ascii="宋体" w:hAnsi="宋体"/>
                <w:color w:val="auto"/>
                <w:szCs w:val="21"/>
                <w:highlight w:val="none"/>
                <w:u w:val="single"/>
              </w:rPr>
            </w:pPr>
            <w:r>
              <w:rPr>
                <w:rFonts w:hint="eastAsia" w:ascii="宋体" w:hAnsi="宋体"/>
                <w:color w:val="auto"/>
                <w:szCs w:val="21"/>
                <w:highlight w:val="none"/>
                <w:u w:val="single"/>
              </w:rPr>
              <w:t>监理单位：/</w:t>
            </w:r>
          </w:p>
          <w:p w14:paraId="4493AC84">
            <w:pPr>
              <w:rPr>
                <w:rFonts w:hint="eastAsia" w:ascii="宋体" w:hAnsi="宋体"/>
                <w:color w:val="auto"/>
                <w:szCs w:val="21"/>
                <w:highlight w:val="none"/>
              </w:rPr>
            </w:pPr>
            <w:r>
              <w:rPr>
                <w:rFonts w:hint="eastAsia" w:ascii="宋体" w:hAnsi="宋体"/>
                <w:color w:val="auto"/>
                <w:szCs w:val="21"/>
                <w:highlight w:val="none"/>
                <w:u w:val="single"/>
              </w:rPr>
              <w:t>检测机构：/</w:t>
            </w:r>
          </w:p>
        </w:tc>
      </w:tr>
      <w:tr w14:paraId="740AD7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702" w:type="dxa"/>
            <w:tcBorders>
              <w:top w:val="single" w:color="auto" w:sz="4" w:space="0"/>
              <w:left w:val="double" w:color="auto" w:sz="4" w:space="0"/>
              <w:bottom w:val="single" w:color="auto" w:sz="4" w:space="0"/>
              <w:right w:val="single" w:color="auto" w:sz="4" w:space="0"/>
            </w:tcBorders>
            <w:vAlign w:val="center"/>
          </w:tcPr>
          <w:p w14:paraId="017D738A">
            <w:pPr>
              <w:jc w:val="center"/>
              <w:rPr>
                <w:rFonts w:hint="eastAsia" w:ascii="宋体" w:hAnsi="宋体"/>
                <w:color w:val="auto"/>
                <w:szCs w:val="21"/>
                <w:highlight w:val="none"/>
              </w:rPr>
            </w:pPr>
            <w:r>
              <w:rPr>
                <w:rFonts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14:paraId="44C6344C">
            <w:pPr>
              <w:rPr>
                <w:rFonts w:hint="eastAsia" w:ascii="宋体" w:hAnsi="宋体"/>
                <w:color w:val="auto"/>
                <w:szCs w:val="21"/>
                <w:highlight w:val="none"/>
              </w:rPr>
            </w:pPr>
            <w:r>
              <w:rPr>
                <w:rFonts w:ascii="宋体" w:hAnsi="宋体"/>
                <w:color w:val="auto"/>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14:paraId="02D1262D">
            <w:pPr>
              <w:jc w:val="center"/>
              <w:rPr>
                <w:rFonts w:hint="eastAsia" w:ascii="宋体" w:hAnsi="宋体"/>
                <w:color w:val="auto"/>
                <w:szCs w:val="21"/>
                <w:highlight w:val="none"/>
              </w:rPr>
            </w:pPr>
            <w:r>
              <w:rPr>
                <w:rFonts w:hint="eastAsia" w:ascii="宋体" w:hAnsi="宋体"/>
                <w:color w:val="auto"/>
                <w:szCs w:val="21"/>
                <w:highlight w:val="none"/>
              </w:rPr>
              <w:t>名称</w:t>
            </w:r>
          </w:p>
        </w:tc>
        <w:tc>
          <w:tcPr>
            <w:tcW w:w="5934" w:type="dxa"/>
            <w:tcBorders>
              <w:top w:val="single" w:color="auto" w:sz="4" w:space="0"/>
              <w:left w:val="single" w:color="auto" w:sz="4" w:space="0"/>
              <w:bottom w:val="single" w:color="auto" w:sz="4" w:space="0"/>
              <w:right w:val="double" w:color="auto" w:sz="4" w:space="0"/>
            </w:tcBorders>
            <w:vAlign w:val="center"/>
          </w:tcPr>
          <w:p w14:paraId="4A92927E">
            <w:pPr>
              <w:pStyle w:val="20"/>
              <w:rPr>
                <w:color w:val="auto"/>
                <w:highlight w:val="none"/>
                <w:u w:val="single"/>
              </w:rPr>
            </w:pPr>
            <w:r>
              <w:rPr>
                <w:rFonts w:hint="eastAsia" w:hAnsi="宋体"/>
                <w:color w:val="auto"/>
                <w:szCs w:val="21"/>
                <w:highlight w:val="none"/>
              </w:rPr>
              <w:t>招标项目名称：</w:t>
            </w:r>
            <w:r>
              <w:rPr>
                <w:rFonts w:hint="eastAsia" w:hAnsi="宋体"/>
                <w:color w:val="auto"/>
                <w:szCs w:val="21"/>
                <w:highlight w:val="none"/>
                <w:u w:val="single"/>
                <w:lang w:eastAsia="zh-CN"/>
              </w:rPr>
              <w:t>宁西街太和三路建设工程</w:t>
            </w:r>
            <w:r>
              <w:rPr>
                <w:rFonts w:hint="eastAsia" w:hAnsi="宋体"/>
                <w:color w:val="auto"/>
                <w:szCs w:val="21"/>
                <w:highlight w:val="none"/>
                <w:u w:val="single"/>
              </w:rPr>
              <w:t>施工总承包</w:t>
            </w:r>
          </w:p>
        </w:tc>
      </w:tr>
      <w:tr w14:paraId="6A3AAF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14:paraId="5F094A26">
            <w:pPr>
              <w:jc w:val="center"/>
              <w:rPr>
                <w:rFonts w:hint="eastAsia" w:ascii="宋体" w:hAnsi="宋体"/>
                <w:color w:val="auto"/>
                <w:szCs w:val="21"/>
                <w:highlight w:val="none"/>
              </w:rPr>
            </w:pPr>
            <w:r>
              <w:rPr>
                <w:rFonts w:ascii="宋体" w:hAnsi="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14:paraId="026E8B9E">
            <w:pPr>
              <w:rPr>
                <w:rFonts w:hint="eastAsia" w:ascii="宋体" w:hAnsi="宋体"/>
                <w:color w:val="auto"/>
                <w:szCs w:val="21"/>
                <w:highlight w:val="none"/>
              </w:rPr>
            </w:pPr>
            <w:r>
              <w:rPr>
                <w:rFonts w:ascii="宋体" w:hAnsi="宋体"/>
                <w:color w:val="auto"/>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14:paraId="65EEF0E2">
            <w:pPr>
              <w:jc w:val="center"/>
              <w:rPr>
                <w:rFonts w:hint="eastAsia" w:ascii="宋体" w:hAnsi="宋体"/>
                <w:color w:val="auto"/>
                <w:szCs w:val="21"/>
                <w:highlight w:val="none"/>
              </w:rPr>
            </w:pPr>
            <w:r>
              <w:rPr>
                <w:rFonts w:hint="eastAsia" w:ascii="宋体" w:hAnsi="宋体"/>
                <w:color w:val="auto"/>
                <w:szCs w:val="21"/>
                <w:highlight w:val="none"/>
              </w:rPr>
              <w:t>建设地点</w:t>
            </w:r>
          </w:p>
        </w:tc>
        <w:tc>
          <w:tcPr>
            <w:tcW w:w="5934" w:type="dxa"/>
            <w:tcBorders>
              <w:top w:val="single" w:color="auto" w:sz="4" w:space="0"/>
              <w:left w:val="single" w:color="auto" w:sz="4" w:space="0"/>
              <w:bottom w:val="single" w:color="auto" w:sz="4" w:space="0"/>
              <w:right w:val="double" w:color="auto" w:sz="4" w:space="0"/>
            </w:tcBorders>
            <w:vAlign w:val="center"/>
          </w:tcPr>
          <w:p w14:paraId="1A9BE8B2">
            <w:pPr>
              <w:rPr>
                <w:rFonts w:hint="eastAsia" w:ascii="宋体" w:hAnsi="宋体" w:eastAsia="宋体"/>
                <w:color w:val="auto"/>
                <w:szCs w:val="21"/>
                <w:highlight w:val="none"/>
                <w:u w:val="single"/>
                <w:lang w:eastAsia="zh-CN"/>
              </w:rPr>
            </w:pPr>
            <w:r>
              <w:rPr>
                <w:rFonts w:hint="eastAsia" w:ascii="宋体" w:hAnsi="宋体"/>
                <w:color w:val="auto"/>
                <w:szCs w:val="21"/>
                <w:highlight w:val="none"/>
                <w:u w:val="single"/>
                <w:lang w:eastAsia="zh-CN"/>
              </w:rPr>
              <w:t>广州市增城区宁西街</w:t>
            </w:r>
          </w:p>
        </w:tc>
      </w:tr>
      <w:tr w14:paraId="1F273C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14:paraId="687C314C">
            <w:pPr>
              <w:jc w:val="center"/>
              <w:rPr>
                <w:rFonts w:hint="eastAsia" w:ascii="宋体" w:hAnsi="宋体"/>
                <w:color w:val="auto"/>
                <w:szCs w:val="21"/>
                <w:highlight w:val="none"/>
              </w:rPr>
            </w:pPr>
            <w:r>
              <w:rPr>
                <w:rFonts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14:paraId="7F7C29C4">
            <w:pPr>
              <w:rPr>
                <w:rFonts w:hint="eastAsia" w:ascii="宋体" w:hAnsi="宋体"/>
                <w:color w:val="auto"/>
                <w:szCs w:val="21"/>
                <w:highlight w:val="none"/>
              </w:rPr>
            </w:pPr>
            <w:r>
              <w:rPr>
                <w:rFonts w:ascii="宋体" w:hAnsi="宋体"/>
                <w:color w:val="auto"/>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14:paraId="595B3964">
            <w:pPr>
              <w:jc w:val="center"/>
              <w:rPr>
                <w:rFonts w:hint="eastAsia" w:ascii="宋体" w:hAnsi="宋体"/>
                <w:color w:val="auto"/>
                <w:szCs w:val="21"/>
                <w:highlight w:val="none"/>
              </w:rPr>
            </w:pPr>
            <w:r>
              <w:rPr>
                <w:rFonts w:hint="eastAsia" w:ascii="宋体" w:hAnsi="宋体"/>
                <w:color w:val="auto"/>
                <w:szCs w:val="21"/>
                <w:highlight w:val="none"/>
              </w:rPr>
              <w:t>建设规模</w:t>
            </w:r>
          </w:p>
        </w:tc>
        <w:tc>
          <w:tcPr>
            <w:tcW w:w="5934" w:type="dxa"/>
            <w:tcBorders>
              <w:top w:val="single" w:color="auto" w:sz="4" w:space="0"/>
              <w:left w:val="single" w:color="auto" w:sz="4" w:space="0"/>
              <w:bottom w:val="single" w:color="auto" w:sz="4" w:space="0"/>
              <w:right w:val="double" w:color="auto" w:sz="4" w:space="0"/>
            </w:tcBorders>
            <w:vAlign w:val="center"/>
          </w:tcPr>
          <w:p w14:paraId="1BB58E77">
            <w:pPr>
              <w:rPr>
                <w:rFonts w:hint="eastAsia" w:ascii="宋体" w:hAnsi="宋体"/>
                <w:color w:val="auto"/>
                <w:szCs w:val="21"/>
                <w:highlight w:val="none"/>
                <w:u w:val="single"/>
              </w:rPr>
            </w:pPr>
            <w:r>
              <w:rPr>
                <w:rFonts w:hint="eastAsia" w:ascii="宋体" w:hAnsi="宋体" w:eastAsia="宋体" w:cs="宋体"/>
                <w:b w:val="0"/>
                <w:bCs w:val="0"/>
                <w:color w:val="auto"/>
                <w:sz w:val="21"/>
                <w:szCs w:val="21"/>
                <w:highlight w:val="none"/>
                <w:u w:val="single"/>
              </w:rPr>
              <w:t>本项目位于增城区宁西街工业园，道路起点接现状工业一路，终点接太和三路（二期），长度约0.56km，规划红线宽度30米，双向四车道，道路等级城市次干路，设计时速为40km/h，工程内容主要包括:道路工程、给排水工程、交通工程、照明工程、绿化工程、管线综合工程、电力管沟工程等。</w:t>
            </w:r>
          </w:p>
        </w:tc>
      </w:tr>
      <w:tr w14:paraId="1A8B76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14:paraId="3F4CC3D3">
            <w:pPr>
              <w:jc w:val="center"/>
              <w:rPr>
                <w:rFonts w:hint="eastAsia" w:ascii="宋体" w:hAnsi="宋体"/>
                <w:color w:val="auto"/>
                <w:szCs w:val="21"/>
                <w:highlight w:val="none"/>
              </w:rPr>
            </w:pPr>
            <w:r>
              <w:rPr>
                <w:rFonts w:ascii="宋体" w:hAnsi="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14:paraId="7F01545C">
            <w:pPr>
              <w:rPr>
                <w:rFonts w:hint="eastAsia" w:ascii="宋体" w:hAnsi="宋体"/>
                <w:color w:val="auto"/>
                <w:szCs w:val="21"/>
                <w:highlight w:val="none"/>
              </w:rPr>
            </w:pPr>
            <w:r>
              <w:rPr>
                <w:rFonts w:ascii="宋体" w:hAnsi="宋体"/>
                <w:color w:val="auto"/>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14:paraId="710E3E09">
            <w:pPr>
              <w:jc w:val="center"/>
              <w:rPr>
                <w:rFonts w:hint="eastAsia" w:ascii="宋体" w:hAnsi="宋体"/>
                <w:color w:val="auto"/>
                <w:szCs w:val="21"/>
                <w:highlight w:val="none"/>
              </w:rPr>
            </w:pPr>
            <w:r>
              <w:rPr>
                <w:rFonts w:hint="eastAsia" w:ascii="宋体" w:hAnsi="宋体"/>
                <w:color w:val="auto"/>
                <w:szCs w:val="21"/>
                <w:highlight w:val="none"/>
              </w:rPr>
              <w:t>承包方式</w:t>
            </w:r>
          </w:p>
        </w:tc>
        <w:tc>
          <w:tcPr>
            <w:tcW w:w="5934" w:type="dxa"/>
            <w:tcBorders>
              <w:top w:val="single" w:color="auto" w:sz="4" w:space="0"/>
              <w:left w:val="single" w:color="auto" w:sz="4" w:space="0"/>
              <w:bottom w:val="single" w:color="auto" w:sz="4" w:space="0"/>
              <w:right w:val="double" w:color="auto" w:sz="4" w:space="0"/>
            </w:tcBorders>
            <w:vAlign w:val="center"/>
          </w:tcPr>
          <w:p w14:paraId="4A6EDFC5">
            <w:pPr>
              <w:rPr>
                <w:rFonts w:hint="eastAsia" w:ascii="宋体" w:hAnsi="宋体"/>
                <w:color w:val="auto"/>
                <w:szCs w:val="21"/>
                <w:highlight w:val="none"/>
              </w:rPr>
            </w:pPr>
            <w:r>
              <w:rPr>
                <w:rFonts w:hint="eastAsia" w:ascii="宋体" w:hAnsi="宋体" w:cs="宋体"/>
                <w:color w:val="auto"/>
                <w:szCs w:val="21"/>
                <w:highlight w:val="none"/>
                <w:u w:val="single"/>
              </w:rPr>
              <w:t>包工、包料、包工期、包质量、包安全、包文明施工。综合单价包干、项目措施费包干。</w:t>
            </w:r>
          </w:p>
        </w:tc>
      </w:tr>
      <w:tr w14:paraId="2F15D8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14:paraId="7341DF4F">
            <w:pPr>
              <w:jc w:val="center"/>
              <w:rPr>
                <w:rFonts w:hint="eastAsia" w:ascii="宋体" w:hAnsi="宋体"/>
                <w:color w:val="auto"/>
                <w:szCs w:val="21"/>
                <w:highlight w:val="none"/>
              </w:rPr>
            </w:pPr>
            <w:r>
              <w:rPr>
                <w:rFonts w:ascii="宋体" w:hAnsi="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14:paraId="4120CBAA">
            <w:pPr>
              <w:rPr>
                <w:rFonts w:hint="eastAsia" w:ascii="宋体" w:hAnsi="宋体"/>
                <w:color w:val="auto"/>
                <w:szCs w:val="21"/>
                <w:highlight w:val="none"/>
              </w:rPr>
            </w:pPr>
            <w:r>
              <w:rPr>
                <w:rFonts w:ascii="宋体" w:hAnsi="宋体"/>
                <w:color w:val="auto"/>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14:paraId="22321D3D">
            <w:pPr>
              <w:jc w:val="center"/>
              <w:rPr>
                <w:rFonts w:hint="eastAsia" w:ascii="宋体" w:hAnsi="宋体"/>
                <w:color w:val="auto"/>
                <w:szCs w:val="21"/>
                <w:highlight w:val="none"/>
              </w:rPr>
            </w:pPr>
            <w:r>
              <w:rPr>
                <w:rFonts w:hint="eastAsia" w:ascii="宋体" w:hAnsi="宋体"/>
                <w:color w:val="auto"/>
                <w:szCs w:val="21"/>
                <w:highlight w:val="none"/>
              </w:rPr>
              <w:t>质量标准</w:t>
            </w:r>
          </w:p>
        </w:tc>
        <w:tc>
          <w:tcPr>
            <w:tcW w:w="5934" w:type="dxa"/>
            <w:tcBorders>
              <w:top w:val="single" w:color="auto" w:sz="4" w:space="0"/>
              <w:left w:val="single" w:color="auto" w:sz="4" w:space="0"/>
              <w:bottom w:val="single" w:color="auto" w:sz="4" w:space="0"/>
              <w:right w:val="double" w:color="auto" w:sz="4" w:space="0"/>
            </w:tcBorders>
            <w:vAlign w:val="center"/>
          </w:tcPr>
          <w:p w14:paraId="779876E3">
            <w:pPr>
              <w:rPr>
                <w:rFonts w:hint="eastAsia" w:ascii="宋体" w:hAnsi="宋体"/>
                <w:color w:val="auto"/>
                <w:szCs w:val="21"/>
                <w:highlight w:val="none"/>
                <w:u w:val="single"/>
              </w:rPr>
            </w:pPr>
            <w:r>
              <w:rPr>
                <w:rFonts w:hint="eastAsia" w:ascii="宋体" w:hAnsi="宋体" w:cs="宋体"/>
                <w:color w:val="auto"/>
                <w:szCs w:val="21"/>
                <w:highlight w:val="none"/>
                <w:u w:val="single"/>
              </w:rPr>
              <w:t>执行国家、地方或行业现行的工程建设质量验收标准及规范，须达到合格标准。</w:t>
            </w:r>
          </w:p>
        </w:tc>
      </w:tr>
      <w:tr w14:paraId="6F2881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14:paraId="741E9D74">
            <w:pPr>
              <w:jc w:val="center"/>
              <w:rPr>
                <w:rFonts w:hint="eastAsia" w:ascii="宋体" w:hAnsi="宋体"/>
                <w:color w:val="auto"/>
                <w:szCs w:val="21"/>
                <w:highlight w:val="none"/>
              </w:rPr>
            </w:pPr>
            <w:r>
              <w:rPr>
                <w:rFonts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14:paraId="558B62E0">
            <w:pPr>
              <w:rPr>
                <w:rFonts w:hint="eastAsia" w:ascii="宋体" w:hAnsi="宋体"/>
                <w:color w:val="auto"/>
                <w:szCs w:val="21"/>
                <w:highlight w:val="none"/>
              </w:rPr>
            </w:pPr>
            <w:r>
              <w:rPr>
                <w:rFonts w:ascii="宋体" w:hAnsi="宋体"/>
                <w:color w:val="auto"/>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14:paraId="5F5D0F67">
            <w:pPr>
              <w:jc w:val="center"/>
              <w:rPr>
                <w:rFonts w:hint="eastAsia" w:ascii="宋体" w:hAnsi="宋体"/>
                <w:color w:val="auto"/>
                <w:szCs w:val="21"/>
                <w:highlight w:val="none"/>
              </w:rPr>
            </w:pPr>
            <w:r>
              <w:rPr>
                <w:rFonts w:hint="eastAsia" w:ascii="宋体" w:hAnsi="宋体"/>
                <w:color w:val="auto"/>
                <w:szCs w:val="21"/>
                <w:highlight w:val="none"/>
              </w:rPr>
              <w:t>招标范围</w:t>
            </w:r>
          </w:p>
        </w:tc>
        <w:tc>
          <w:tcPr>
            <w:tcW w:w="5934" w:type="dxa"/>
            <w:tcBorders>
              <w:top w:val="single" w:color="auto" w:sz="4" w:space="0"/>
              <w:left w:val="single" w:color="auto" w:sz="4" w:space="0"/>
              <w:bottom w:val="single" w:color="auto" w:sz="4" w:space="0"/>
              <w:right w:val="double" w:color="auto" w:sz="4" w:space="0"/>
            </w:tcBorders>
            <w:vAlign w:val="center"/>
          </w:tcPr>
          <w:p w14:paraId="1024CF11">
            <w:pPr>
              <w:rPr>
                <w:rFonts w:hint="eastAsia" w:ascii="宋体" w:hAnsi="宋体"/>
                <w:color w:val="auto"/>
                <w:szCs w:val="21"/>
                <w:highlight w:val="none"/>
                <w:u w:val="single"/>
              </w:rPr>
            </w:pPr>
            <w:r>
              <w:rPr>
                <w:rFonts w:hint="eastAsia" w:ascii="宋体" w:hAnsi="宋体" w:cs="宋体"/>
                <w:color w:val="auto"/>
                <w:szCs w:val="21"/>
                <w:highlight w:val="none"/>
                <w:u w:val="single"/>
              </w:rPr>
              <w:t>按招标人提供的招标文件、工程量清单、招标答疑文件、全套施工图设计、设计说明及补充说明（具体以招标人所发施工图纸为准）。</w:t>
            </w:r>
          </w:p>
        </w:tc>
      </w:tr>
      <w:tr w14:paraId="1A47DB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14:paraId="7FF0E93F">
            <w:pPr>
              <w:jc w:val="center"/>
              <w:rPr>
                <w:rFonts w:hint="eastAsia" w:ascii="宋体" w:hAnsi="宋体"/>
                <w:color w:val="auto"/>
                <w:szCs w:val="21"/>
                <w:highlight w:val="none"/>
              </w:rPr>
            </w:pPr>
            <w:r>
              <w:rPr>
                <w:rFonts w:ascii="宋体" w:hAnsi="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14:paraId="58311BC8">
            <w:pPr>
              <w:rPr>
                <w:rFonts w:hint="eastAsia" w:ascii="宋体" w:hAnsi="宋体"/>
                <w:color w:val="auto"/>
                <w:szCs w:val="21"/>
                <w:highlight w:val="none"/>
              </w:rPr>
            </w:pPr>
            <w:r>
              <w:rPr>
                <w:rFonts w:ascii="宋体" w:hAnsi="宋体"/>
                <w:color w:val="auto"/>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14:paraId="6F03B845">
            <w:pPr>
              <w:jc w:val="center"/>
              <w:rPr>
                <w:rFonts w:hint="eastAsia" w:ascii="宋体" w:hAnsi="宋体"/>
                <w:color w:val="auto"/>
                <w:szCs w:val="21"/>
                <w:highlight w:val="none"/>
              </w:rPr>
            </w:pPr>
            <w:r>
              <w:rPr>
                <w:rFonts w:hint="eastAsia" w:ascii="宋体" w:hAnsi="宋体"/>
                <w:color w:val="auto"/>
                <w:szCs w:val="21"/>
                <w:highlight w:val="none"/>
              </w:rPr>
              <w:t>工期要求</w:t>
            </w:r>
          </w:p>
        </w:tc>
        <w:tc>
          <w:tcPr>
            <w:tcW w:w="5934" w:type="dxa"/>
            <w:tcBorders>
              <w:top w:val="single" w:color="auto" w:sz="4" w:space="0"/>
              <w:left w:val="single" w:color="auto" w:sz="4" w:space="0"/>
              <w:bottom w:val="single" w:color="auto" w:sz="4" w:space="0"/>
              <w:right w:val="double" w:color="auto" w:sz="4" w:space="0"/>
            </w:tcBorders>
            <w:vAlign w:val="center"/>
          </w:tcPr>
          <w:p w14:paraId="7CC12F7D">
            <w:pPr>
              <w:rPr>
                <w:rFonts w:hint="eastAsia" w:ascii="宋体" w:hAnsi="宋体"/>
                <w:color w:val="auto"/>
                <w:szCs w:val="21"/>
                <w:highlight w:val="none"/>
              </w:rPr>
            </w:pPr>
            <w:r>
              <w:rPr>
                <w:rFonts w:hint="eastAsia" w:ascii="宋体" w:hAnsi="宋体"/>
                <w:color w:val="auto"/>
                <w:szCs w:val="21"/>
                <w:highlight w:val="none"/>
                <w:u w:val="single"/>
              </w:rPr>
              <w:t>2025</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日计划开工，施工总期：</w:t>
            </w:r>
            <w:r>
              <w:rPr>
                <w:rFonts w:hint="eastAsia" w:ascii="宋体" w:hAnsi="宋体"/>
                <w:color w:val="auto"/>
                <w:szCs w:val="21"/>
                <w:highlight w:val="none"/>
                <w:u w:val="single"/>
              </w:rPr>
              <w:t>180</w:t>
            </w:r>
            <w:r>
              <w:rPr>
                <w:rFonts w:hint="eastAsia" w:ascii="宋体" w:hAnsi="宋体"/>
                <w:color w:val="auto"/>
                <w:szCs w:val="21"/>
                <w:highlight w:val="none"/>
              </w:rPr>
              <w:t>日历天。</w:t>
            </w:r>
            <w:r>
              <w:rPr>
                <w:rFonts w:hint="eastAsia" w:ascii="宋体" w:hAnsi="宋体" w:cs="宋体"/>
                <w:color w:val="auto"/>
                <w:szCs w:val="21"/>
                <w:highlight w:val="none"/>
              </w:rPr>
              <w:t>具体开工时间以招标人书面通知为准。</w:t>
            </w:r>
            <w:r>
              <w:rPr>
                <w:rFonts w:ascii="宋体" w:hAnsi="宋体"/>
                <w:color w:val="auto"/>
                <w:szCs w:val="21"/>
                <w:highlight w:val="none"/>
              </w:rPr>
              <w:t xml:space="preserve">                                                                       </w:t>
            </w:r>
          </w:p>
        </w:tc>
      </w:tr>
      <w:tr w14:paraId="649D53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51BC988A">
            <w:pPr>
              <w:jc w:val="center"/>
              <w:rPr>
                <w:rFonts w:hint="eastAsia" w:ascii="宋体" w:hAnsi="宋体"/>
                <w:color w:val="auto"/>
                <w:szCs w:val="21"/>
                <w:highlight w:val="none"/>
              </w:rPr>
            </w:pPr>
            <w:r>
              <w:rPr>
                <w:rFonts w:ascii="宋体" w:hAnsi="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14:paraId="4B34B435">
            <w:pPr>
              <w:rPr>
                <w:rFonts w:hint="eastAsia" w:ascii="宋体" w:hAnsi="宋体"/>
                <w:color w:val="auto"/>
                <w:szCs w:val="21"/>
                <w:highlight w:val="none"/>
              </w:rPr>
            </w:pPr>
            <w:r>
              <w:rPr>
                <w:rFonts w:ascii="宋体" w:hAnsi="宋体"/>
                <w:color w:val="auto"/>
                <w:szCs w:val="21"/>
                <w:highlight w:val="none"/>
              </w:rPr>
              <w:t>3.1</w:t>
            </w:r>
          </w:p>
        </w:tc>
        <w:tc>
          <w:tcPr>
            <w:tcW w:w="1733" w:type="dxa"/>
            <w:tcBorders>
              <w:top w:val="single" w:color="auto" w:sz="4" w:space="0"/>
              <w:left w:val="single" w:color="auto" w:sz="4" w:space="0"/>
              <w:bottom w:val="single" w:color="auto" w:sz="4" w:space="0"/>
              <w:right w:val="single" w:color="auto" w:sz="4" w:space="0"/>
            </w:tcBorders>
            <w:vAlign w:val="center"/>
          </w:tcPr>
          <w:p w14:paraId="3FF2396F">
            <w:pPr>
              <w:jc w:val="center"/>
              <w:rPr>
                <w:rFonts w:hint="eastAsia" w:ascii="宋体" w:hAnsi="宋体"/>
                <w:color w:val="auto"/>
                <w:szCs w:val="21"/>
                <w:highlight w:val="none"/>
              </w:rPr>
            </w:pPr>
            <w:r>
              <w:rPr>
                <w:rFonts w:hint="eastAsia" w:ascii="宋体" w:hAnsi="宋体"/>
                <w:color w:val="auto"/>
                <w:szCs w:val="21"/>
                <w:highlight w:val="none"/>
              </w:rPr>
              <w:t>资金来源</w:t>
            </w:r>
          </w:p>
        </w:tc>
        <w:tc>
          <w:tcPr>
            <w:tcW w:w="5934" w:type="dxa"/>
            <w:tcBorders>
              <w:top w:val="single" w:color="auto" w:sz="4" w:space="0"/>
              <w:left w:val="single" w:color="auto" w:sz="4" w:space="0"/>
              <w:bottom w:val="single" w:color="auto" w:sz="4" w:space="0"/>
              <w:right w:val="double" w:color="auto" w:sz="4" w:space="0"/>
            </w:tcBorders>
            <w:vAlign w:val="center"/>
          </w:tcPr>
          <w:p w14:paraId="4A922B8B">
            <w:pPr>
              <w:rPr>
                <w:rFonts w:hint="eastAsia" w:ascii="宋体" w:hAnsi="宋体"/>
                <w:color w:val="auto"/>
                <w:szCs w:val="21"/>
                <w:highlight w:val="none"/>
                <w:u w:val="single"/>
              </w:rPr>
            </w:pPr>
            <w:r>
              <w:rPr>
                <w:rFonts w:hint="eastAsia" w:ascii="宋体" w:hAnsi="宋体"/>
                <w:color w:val="auto"/>
                <w:szCs w:val="21"/>
                <w:highlight w:val="none"/>
                <w:u w:val="single"/>
              </w:rPr>
              <w:t>国有资金（国企投资）。</w:t>
            </w:r>
          </w:p>
        </w:tc>
      </w:tr>
      <w:tr w14:paraId="333BC6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14:paraId="029E230E">
            <w:pPr>
              <w:jc w:val="center"/>
              <w:rPr>
                <w:rFonts w:hint="eastAsia" w:ascii="宋体" w:hAnsi="宋体"/>
                <w:color w:val="auto"/>
                <w:szCs w:val="21"/>
                <w:highlight w:val="none"/>
              </w:rPr>
            </w:pPr>
            <w:r>
              <w:rPr>
                <w:rFonts w:ascii="宋体" w:hAnsi="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14:paraId="07B38237">
            <w:pPr>
              <w:rPr>
                <w:rFonts w:hint="eastAsia" w:ascii="宋体" w:hAnsi="宋体"/>
                <w:color w:val="auto"/>
                <w:szCs w:val="21"/>
                <w:highlight w:val="none"/>
              </w:rPr>
            </w:pPr>
            <w:r>
              <w:rPr>
                <w:rFonts w:ascii="宋体" w:hAnsi="宋体"/>
                <w:color w:val="auto"/>
                <w:szCs w:val="21"/>
                <w:highlight w:val="none"/>
              </w:rPr>
              <w:t>4.1</w:t>
            </w:r>
          </w:p>
        </w:tc>
        <w:tc>
          <w:tcPr>
            <w:tcW w:w="1733" w:type="dxa"/>
            <w:tcBorders>
              <w:top w:val="single" w:color="auto" w:sz="4" w:space="0"/>
              <w:left w:val="single" w:color="auto" w:sz="4" w:space="0"/>
              <w:bottom w:val="single" w:color="auto" w:sz="4" w:space="0"/>
              <w:right w:val="single" w:color="auto" w:sz="4" w:space="0"/>
            </w:tcBorders>
            <w:vAlign w:val="center"/>
          </w:tcPr>
          <w:p w14:paraId="0C973F51">
            <w:pPr>
              <w:jc w:val="center"/>
              <w:rPr>
                <w:rFonts w:hint="eastAsia" w:ascii="宋体" w:hAnsi="宋体"/>
                <w:color w:val="auto"/>
                <w:szCs w:val="21"/>
                <w:highlight w:val="none"/>
              </w:rPr>
            </w:pPr>
            <w:r>
              <w:rPr>
                <w:rFonts w:hint="eastAsia" w:ascii="宋体" w:hAnsi="宋体"/>
                <w:color w:val="auto"/>
                <w:szCs w:val="21"/>
                <w:highlight w:val="none"/>
              </w:rPr>
              <w:t>投标人资质等级及项目负责人等级要求</w:t>
            </w:r>
          </w:p>
        </w:tc>
        <w:tc>
          <w:tcPr>
            <w:tcW w:w="5934" w:type="dxa"/>
            <w:tcBorders>
              <w:top w:val="single" w:color="auto" w:sz="4" w:space="0"/>
              <w:left w:val="single" w:color="auto" w:sz="4" w:space="0"/>
              <w:bottom w:val="single" w:color="auto" w:sz="4" w:space="0"/>
              <w:right w:val="double" w:color="auto" w:sz="4" w:space="0"/>
            </w:tcBorders>
            <w:vAlign w:val="center"/>
          </w:tcPr>
          <w:p w14:paraId="2164CDE6">
            <w:pPr>
              <w:rPr>
                <w:rFonts w:hint="eastAsia" w:ascii="宋体" w:hAnsi="宋体"/>
                <w:color w:val="auto"/>
                <w:szCs w:val="21"/>
                <w:highlight w:val="none"/>
              </w:rPr>
            </w:pPr>
            <w:r>
              <w:rPr>
                <w:rFonts w:hint="eastAsia" w:ascii="宋体" w:hAnsi="宋体"/>
                <w:color w:val="auto"/>
                <w:szCs w:val="21"/>
                <w:highlight w:val="none"/>
              </w:rPr>
              <w:t>详见本工程招标公告。</w:t>
            </w:r>
          </w:p>
        </w:tc>
      </w:tr>
      <w:tr w14:paraId="5ECDCB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172AB1D4">
            <w:pPr>
              <w:jc w:val="center"/>
              <w:rPr>
                <w:rFonts w:hint="eastAsia" w:ascii="宋体" w:hAnsi="宋体"/>
                <w:color w:val="auto"/>
                <w:szCs w:val="21"/>
                <w:highlight w:val="none"/>
              </w:rPr>
            </w:pPr>
            <w:r>
              <w:rPr>
                <w:rFonts w:ascii="宋体" w:hAnsi="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14:paraId="5BF4CD35">
            <w:pPr>
              <w:rPr>
                <w:rFonts w:hint="eastAsia" w:ascii="宋体" w:hAnsi="宋体"/>
                <w:color w:val="auto"/>
                <w:szCs w:val="21"/>
                <w:highlight w:val="none"/>
              </w:rPr>
            </w:pPr>
            <w:r>
              <w:rPr>
                <w:rFonts w:hint="eastAsia" w:ascii="宋体" w:hAnsi="宋体"/>
                <w:color w:val="auto"/>
                <w:szCs w:val="21"/>
                <w:highlight w:val="none"/>
              </w:rPr>
              <w:t>4.2</w:t>
            </w:r>
          </w:p>
        </w:tc>
        <w:tc>
          <w:tcPr>
            <w:tcW w:w="1733" w:type="dxa"/>
            <w:tcBorders>
              <w:top w:val="single" w:color="auto" w:sz="4" w:space="0"/>
              <w:left w:val="single" w:color="auto" w:sz="4" w:space="0"/>
              <w:bottom w:val="single" w:color="auto" w:sz="4" w:space="0"/>
              <w:right w:val="single" w:color="auto" w:sz="4" w:space="0"/>
            </w:tcBorders>
            <w:vAlign w:val="center"/>
          </w:tcPr>
          <w:p w14:paraId="59715720">
            <w:pPr>
              <w:jc w:val="center"/>
              <w:rPr>
                <w:rFonts w:hint="eastAsia" w:ascii="宋体" w:hAnsi="宋体"/>
                <w:color w:val="auto"/>
                <w:szCs w:val="21"/>
                <w:highlight w:val="none"/>
              </w:rPr>
            </w:pPr>
            <w:r>
              <w:rPr>
                <w:rFonts w:hint="eastAsia" w:ascii="宋体" w:hAnsi="宋体"/>
                <w:color w:val="auto"/>
                <w:szCs w:val="21"/>
                <w:highlight w:val="none"/>
              </w:rPr>
              <w:t>资格审查方式</w:t>
            </w:r>
          </w:p>
        </w:tc>
        <w:tc>
          <w:tcPr>
            <w:tcW w:w="5934" w:type="dxa"/>
            <w:tcBorders>
              <w:top w:val="single" w:color="auto" w:sz="4" w:space="0"/>
              <w:left w:val="single" w:color="auto" w:sz="4" w:space="0"/>
              <w:bottom w:val="single" w:color="auto" w:sz="4" w:space="0"/>
              <w:right w:val="double" w:color="auto" w:sz="4" w:space="0"/>
            </w:tcBorders>
            <w:vAlign w:val="center"/>
          </w:tcPr>
          <w:p w14:paraId="6C283D8A">
            <w:pPr>
              <w:rPr>
                <w:rFonts w:hint="eastAsia" w:ascii="宋体" w:hAnsi="宋体"/>
                <w:color w:val="auto"/>
                <w:szCs w:val="21"/>
                <w:highlight w:val="none"/>
              </w:rPr>
            </w:pPr>
            <w:r>
              <w:rPr>
                <w:rFonts w:hint="eastAsia" w:ascii="宋体" w:hAnsi="宋体"/>
                <w:color w:val="auto"/>
                <w:szCs w:val="21"/>
                <w:highlight w:val="none"/>
              </w:rPr>
              <w:t>详见本工程招标公告。</w:t>
            </w:r>
          </w:p>
        </w:tc>
      </w:tr>
      <w:tr w14:paraId="086C95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1815E3A6">
            <w:pPr>
              <w:jc w:val="center"/>
              <w:rPr>
                <w:rFonts w:hint="eastAsia" w:ascii="宋体" w:hAnsi="宋体"/>
                <w:color w:val="auto"/>
                <w:szCs w:val="21"/>
                <w:highlight w:val="none"/>
              </w:rPr>
            </w:pPr>
            <w:r>
              <w:rPr>
                <w:rFonts w:hint="eastAsia" w:ascii="宋体" w:hAnsi="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14:paraId="1ACB1DE4">
            <w:pPr>
              <w:rPr>
                <w:rFonts w:hint="eastAsia" w:ascii="宋体" w:hAnsi="宋体"/>
                <w:color w:val="auto"/>
                <w:szCs w:val="21"/>
                <w:highlight w:val="none"/>
              </w:rPr>
            </w:pPr>
            <w:r>
              <w:rPr>
                <w:rFonts w:ascii="宋体" w:hAnsi="宋体"/>
                <w:color w:val="auto"/>
                <w:szCs w:val="21"/>
                <w:highlight w:val="none"/>
              </w:rPr>
              <w:t>5</w:t>
            </w:r>
          </w:p>
        </w:tc>
        <w:tc>
          <w:tcPr>
            <w:tcW w:w="1733" w:type="dxa"/>
            <w:tcBorders>
              <w:top w:val="single" w:color="auto" w:sz="4" w:space="0"/>
              <w:left w:val="single" w:color="auto" w:sz="4" w:space="0"/>
              <w:bottom w:val="single" w:color="auto" w:sz="4" w:space="0"/>
              <w:right w:val="single" w:color="auto" w:sz="4" w:space="0"/>
            </w:tcBorders>
            <w:vAlign w:val="center"/>
          </w:tcPr>
          <w:p w14:paraId="7D466B59">
            <w:pPr>
              <w:jc w:val="center"/>
              <w:rPr>
                <w:rFonts w:hint="eastAsia" w:ascii="宋体" w:hAnsi="宋体"/>
                <w:color w:val="auto"/>
                <w:szCs w:val="21"/>
                <w:highlight w:val="none"/>
              </w:rPr>
            </w:pPr>
            <w:r>
              <w:rPr>
                <w:rFonts w:hint="eastAsia" w:ascii="宋体" w:hAnsi="宋体"/>
                <w:color w:val="auto"/>
                <w:szCs w:val="21"/>
                <w:highlight w:val="none"/>
              </w:rPr>
              <w:t>踏勘现场及投标费用</w:t>
            </w:r>
          </w:p>
        </w:tc>
        <w:tc>
          <w:tcPr>
            <w:tcW w:w="5934" w:type="dxa"/>
            <w:tcBorders>
              <w:top w:val="single" w:color="auto" w:sz="4" w:space="0"/>
              <w:left w:val="single" w:color="auto" w:sz="4" w:space="0"/>
              <w:bottom w:val="single" w:color="auto" w:sz="4" w:space="0"/>
              <w:right w:val="double" w:color="auto" w:sz="4" w:space="0"/>
            </w:tcBorders>
            <w:vAlign w:val="center"/>
          </w:tcPr>
          <w:p w14:paraId="11912607">
            <w:pPr>
              <w:pStyle w:val="21"/>
              <w:rPr>
                <w:rFonts w:hint="eastAsia" w:ascii="宋体" w:hAnsi="宋体"/>
                <w:color w:val="auto"/>
                <w:szCs w:val="21"/>
                <w:highlight w:val="none"/>
              </w:rPr>
            </w:pPr>
            <w:r>
              <w:rPr>
                <w:rFonts w:hint="eastAsia" w:ascii="宋体" w:hAnsi="宋体"/>
                <w:color w:val="auto"/>
                <w:highlight w:val="none"/>
              </w:rPr>
              <w:t>招标人不集中组织，由投标人自行踏勘；自</w:t>
            </w:r>
            <w:r>
              <w:rPr>
                <w:rFonts w:hint="eastAsia" w:ascii="宋体" w:hAnsi="宋体" w:cs="宋体"/>
                <w:color w:val="auto"/>
                <w:szCs w:val="21"/>
                <w:highlight w:val="none"/>
                <w:u w:val="single"/>
              </w:rPr>
              <w:t>发布招标公告之日起</w:t>
            </w:r>
            <w:r>
              <w:rPr>
                <w:rFonts w:hint="eastAsia" w:ascii="宋体" w:hAnsi="宋体"/>
                <w:color w:val="auto"/>
                <w:highlight w:val="none"/>
              </w:rPr>
              <w:t>日起具备现场踏勘条件；现场详细地点：</w:t>
            </w:r>
            <w:r>
              <w:rPr>
                <w:rFonts w:hint="eastAsia" w:ascii="宋体" w:hAnsi="宋体" w:cs="宋体"/>
                <w:color w:val="auto"/>
                <w:szCs w:val="21"/>
                <w:highlight w:val="none"/>
                <w:u w:val="single"/>
              </w:rPr>
              <w:t>详见招标公告</w:t>
            </w:r>
            <w:r>
              <w:rPr>
                <w:rFonts w:ascii="宋体" w:hAnsi="宋体"/>
                <w:color w:val="auto"/>
                <w:szCs w:val="21"/>
                <w:highlight w:val="none"/>
              </w:rPr>
              <w:t xml:space="preserve"> </w:t>
            </w:r>
          </w:p>
        </w:tc>
      </w:tr>
      <w:tr w14:paraId="682180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48A51B13">
            <w:pPr>
              <w:jc w:val="center"/>
              <w:rPr>
                <w:rFonts w:hint="eastAsia" w:ascii="宋体" w:hAnsi="宋体"/>
                <w:color w:val="auto"/>
                <w:szCs w:val="21"/>
                <w:highlight w:val="none"/>
              </w:rPr>
            </w:pPr>
            <w:r>
              <w:rPr>
                <w:rFonts w:hint="eastAsia" w:ascii="宋体" w:hAnsi="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14:paraId="010C754F">
            <w:pPr>
              <w:rPr>
                <w:rFonts w:hint="eastAsia" w:ascii="宋体" w:hAnsi="宋体"/>
                <w:color w:val="auto"/>
                <w:szCs w:val="21"/>
                <w:highlight w:val="none"/>
              </w:rPr>
            </w:pPr>
            <w:r>
              <w:rPr>
                <w:rFonts w:ascii="宋体" w:hAnsi="宋体"/>
                <w:color w:val="auto"/>
                <w:szCs w:val="21"/>
                <w:highlight w:val="none"/>
              </w:rPr>
              <w:t>8</w:t>
            </w:r>
          </w:p>
        </w:tc>
        <w:tc>
          <w:tcPr>
            <w:tcW w:w="1733" w:type="dxa"/>
            <w:tcBorders>
              <w:top w:val="single" w:color="auto" w:sz="4" w:space="0"/>
              <w:left w:val="single" w:color="auto" w:sz="4" w:space="0"/>
              <w:bottom w:val="single" w:color="auto" w:sz="4" w:space="0"/>
              <w:right w:val="single" w:color="auto" w:sz="4" w:space="0"/>
            </w:tcBorders>
            <w:vAlign w:val="center"/>
          </w:tcPr>
          <w:p w14:paraId="55FCFD2A">
            <w:pPr>
              <w:jc w:val="center"/>
              <w:rPr>
                <w:rFonts w:hint="eastAsia" w:ascii="宋体" w:hAnsi="宋体"/>
                <w:color w:val="auto"/>
                <w:szCs w:val="21"/>
                <w:highlight w:val="none"/>
              </w:rPr>
            </w:pPr>
            <w:r>
              <w:rPr>
                <w:rFonts w:hint="eastAsia" w:ascii="宋体" w:hAnsi="宋体"/>
                <w:color w:val="auto"/>
                <w:szCs w:val="21"/>
                <w:highlight w:val="none"/>
              </w:rPr>
              <w:t>投标答疑</w:t>
            </w:r>
          </w:p>
        </w:tc>
        <w:tc>
          <w:tcPr>
            <w:tcW w:w="5934" w:type="dxa"/>
            <w:tcBorders>
              <w:top w:val="single" w:color="auto" w:sz="4" w:space="0"/>
              <w:left w:val="single" w:color="auto" w:sz="4" w:space="0"/>
              <w:bottom w:val="single" w:color="auto" w:sz="4" w:space="0"/>
              <w:right w:val="double" w:color="auto" w:sz="4" w:space="0"/>
            </w:tcBorders>
            <w:vAlign w:val="center"/>
          </w:tcPr>
          <w:p w14:paraId="65890734">
            <w:pPr>
              <w:rPr>
                <w:rFonts w:hint="eastAsia" w:ascii="宋体" w:hAnsi="宋体"/>
                <w:color w:val="auto"/>
                <w:szCs w:val="21"/>
                <w:highlight w:val="none"/>
              </w:rPr>
            </w:pPr>
            <w:r>
              <w:rPr>
                <w:rFonts w:hint="eastAsia" w:ascii="宋体" w:hAnsi="宋体"/>
                <w:color w:val="auto"/>
                <w:szCs w:val="21"/>
                <w:highlight w:val="none"/>
              </w:rPr>
              <w:t>疑问提交时间：</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时前；</w:t>
            </w:r>
          </w:p>
          <w:p w14:paraId="54E63E1D">
            <w:pPr>
              <w:rPr>
                <w:rFonts w:hint="eastAsia" w:ascii="宋体" w:hAnsi="宋体" w:cs="宋体"/>
                <w:color w:val="auto"/>
                <w:szCs w:val="21"/>
                <w:highlight w:val="none"/>
              </w:rPr>
            </w:pPr>
            <w:r>
              <w:rPr>
                <w:rFonts w:hint="eastAsia" w:ascii="宋体" w:hAnsi="宋体"/>
                <w:color w:val="auto"/>
                <w:szCs w:val="21"/>
                <w:highlight w:val="none"/>
              </w:rPr>
              <w:t>形式：投标人的疑问通过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交易平台提交。</w:t>
            </w:r>
          </w:p>
          <w:p w14:paraId="1FE9D1C7">
            <w:pPr>
              <w:rPr>
                <w:rFonts w:hint="eastAsia" w:ascii="宋体" w:hAnsi="宋体"/>
                <w:color w:val="auto"/>
                <w:highlight w:val="none"/>
              </w:rPr>
            </w:pPr>
            <w:r>
              <w:rPr>
                <w:rFonts w:hint="eastAsia" w:ascii="宋体" w:hAnsi="宋体" w:cs="宋体"/>
                <w:color w:val="auto"/>
                <w:szCs w:val="21"/>
                <w:highlight w:val="none"/>
              </w:rPr>
              <w:t>具体要求：按照交易平台关于全流程电子化项目的相关</w:t>
            </w:r>
            <w:r>
              <w:rPr>
                <w:rFonts w:hint="eastAsia" w:ascii="宋体" w:hAnsi="宋体"/>
                <w:color w:val="auto"/>
                <w:szCs w:val="21"/>
                <w:highlight w:val="none"/>
              </w:rPr>
              <w:t>指南进行操作，详见：</w:t>
            </w:r>
            <w:r>
              <w:rPr>
                <w:rFonts w:hint="eastAsia" w:ascii="宋体" w:hAnsi="宋体" w:cs="宋体"/>
                <w:color w:val="auto"/>
                <w:szCs w:val="21"/>
                <w:highlight w:val="none"/>
                <w:u w:val="single"/>
              </w:rPr>
              <w:t>广州交易集团有限公司（广州公共资源交易中心）网站</w:t>
            </w:r>
            <w:r>
              <w:rPr>
                <w:rFonts w:hint="eastAsia" w:ascii="宋体" w:hAnsi="宋体"/>
                <w:color w:val="auto"/>
                <w:szCs w:val="21"/>
                <w:highlight w:val="none"/>
              </w:rPr>
              <w:t>。提问一律不得署名。</w:t>
            </w:r>
          </w:p>
        </w:tc>
      </w:tr>
      <w:tr w14:paraId="75CE7D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6853692E">
            <w:pPr>
              <w:jc w:val="center"/>
              <w:rPr>
                <w:rFonts w:hint="eastAsia" w:ascii="宋体" w:hAnsi="宋体"/>
                <w:color w:val="auto"/>
                <w:szCs w:val="21"/>
                <w:highlight w:val="none"/>
              </w:rPr>
            </w:pPr>
            <w:r>
              <w:rPr>
                <w:rFonts w:hint="eastAsia" w:ascii="宋体" w:hAnsi="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14:paraId="62F70A36">
            <w:pPr>
              <w:rPr>
                <w:rFonts w:hint="eastAsia" w:ascii="宋体" w:hAnsi="宋体"/>
                <w:color w:val="auto"/>
                <w:szCs w:val="21"/>
                <w:highlight w:val="none"/>
              </w:rPr>
            </w:pPr>
            <w:r>
              <w:rPr>
                <w:rFonts w:ascii="宋体" w:hAnsi="宋体"/>
                <w:color w:val="auto"/>
                <w:szCs w:val="21"/>
                <w:highlight w:val="none"/>
              </w:rPr>
              <w:t>13.1</w:t>
            </w:r>
          </w:p>
        </w:tc>
        <w:tc>
          <w:tcPr>
            <w:tcW w:w="1733" w:type="dxa"/>
            <w:tcBorders>
              <w:top w:val="single" w:color="auto" w:sz="4" w:space="0"/>
              <w:left w:val="single" w:color="auto" w:sz="4" w:space="0"/>
              <w:bottom w:val="single" w:color="auto" w:sz="4" w:space="0"/>
              <w:right w:val="single" w:color="auto" w:sz="4" w:space="0"/>
            </w:tcBorders>
            <w:vAlign w:val="center"/>
          </w:tcPr>
          <w:p w14:paraId="3A4FA72A">
            <w:pPr>
              <w:jc w:val="center"/>
              <w:rPr>
                <w:rFonts w:hint="eastAsia" w:ascii="宋体" w:hAnsi="宋体"/>
                <w:color w:val="auto"/>
                <w:szCs w:val="21"/>
                <w:highlight w:val="none"/>
              </w:rPr>
            </w:pPr>
            <w:r>
              <w:rPr>
                <w:rFonts w:hint="eastAsia" w:ascii="宋体" w:hAnsi="宋体"/>
                <w:color w:val="auto"/>
                <w:szCs w:val="21"/>
                <w:highlight w:val="none"/>
              </w:rPr>
              <w:t>报价以及单价和总价计算方式</w:t>
            </w:r>
          </w:p>
        </w:tc>
        <w:tc>
          <w:tcPr>
            <w:tcW w:w="5934" w:type="dxa"/>
            <w:tcBorders>
              <w:top w:val="single" w:color="auto" w:sz="4" w:space="0"/>
              <w:left w:val="single" w:color="auto" w:sz="4" w:space="0"/>
              <w:bottom w:val="single" w:color="auto" w:sz="4" w:space="0"/>
              <w:right w:val="double" w:color="auto" w:sz="4" w:space="0"/>
            </w:tcBorders>
            <w:vAlign w:val="center"/>
          </w:tcPr>
          <w:p w14:paraId="1CCCBF2A">
            <w:pPr>
              <w:rPr>
                <w:rFonts w:hint="eastAsia" w:ascii="宋体" w:hAnsi="宋体"/>
                <w:color w:val="auto"/>
                <w:szCs w:val="21"/>
                <w:highlight w:val="none"/>
              </w:rPr>
            </w:pPr>
            <w:bookmarkStart w:id="8" w:name="EBdfd7e3fe86a241738f1c1d356c309534"/>
            <w:r>
              <w:rPr>
                <w:rFonts w:hint="eastAsia" w:ascii="宋体" w:hAnsi="宋体" w:cs="宋体"/>
                <w:color w:val="auto"/>
                <w:szCs w:val="21"/>
                <w:highlight w:val="none"/>
                <w:u w:val="single"/>
              </w:rPr>
              <w:t>工程量清单计价，按国家、省有关计价规范执行。</w:t>
            </w:r>
            <w:bookmarkEnd w:id="8"/>
          </w:p>
        </w:tc>
      </w:tr>
      <w:tr w14:paraId="48DF57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0DC3EA37">
            <w:pPr>
              <w:jc w:val="center"/>
              <w:rPr>
                <w:rFonts w:hint="eastAsia" w:ascii="宋体" w:hAnsi="宋体"/>
                <w:color w:val="auto"/>
                <w:szCs w:val="21"/>
                <w:highlight w:val="none"/>
              </w:rPr>
            </w:pPr>
            <w:r>
              <w:rPr>
                <w:rFonts w:hint="eastAsia" w:ascii="宋体" w:hAnsi="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14:paraId="2FFD0657">
            <w:pPr>
              <w:rPr>
                <w:rFonts w:hint="eastAsia" w:ascii="宋体" w:hAnsi="宋体"/>
                <w:color w:val="auto"/>
                <w:szCs w:val="21"/>
                <w:highlight w:val="none"/>
              </w:rPr>
            </w:pPr>
            <w:r>
              <w:rPr>
                <w:rFonts w:ascii="宋体" w:hAnsi="宋体"/>
                <w:color w:val="auto"/>
                <w:szCs w:val="21"/>
                <w:highlight w:val="none"/>
              </w:rPr>
              <w:t>15.1</w:t>
            </w:r>
          </w:p>
        </w:tc>
        <w:tc>
          <w:tcPr>
            <w:tcW w:w="1733" w:type="dxa"/>
            <w:tcBorders>
              <w:top w:val="single" w:color="auto" w:sz="4" w:space="0"/>
              <w:left w:val="single" w:color="auto" w:sz="4" w:space="0"/>
              <w:bottom w:val="single" w:color="auto" w:sz="4" w:space="0"/>
              <w:right w:val="single" w:color="auto" w:sz="4" w:space="0"/>
            </w:tcBorders>
            <w:vAlign w:val="center"/>
          </w:tcPr>
          <w:p w14:paraId="18E90097">
            <w:pPr>
              <w:jc w:val="center"/>
              <w:rPr>
                <w:rFonts w:hint="eastAsia" w:ascii="宋体" w:hAnsi="宋体"/>
                <w:color w:val="auto"/>
                <w:szCs w:val="21"/>
                <w:highlight w:val="none"/>
              </w:rPr>
            </w:pPr>
            <w:r>
              <w:rPr>
                <w:rFonts w:hint="eastAsia" w:ascii="宋体" w:hAnsi="宋体"/>
                <w:color w:val="auto"/>
                <w:szCs w:val="21"/>
                <w:highlight w:val="none"/>
              </w:rPr>
              <w:t>投标有效期</w:t>
            </w:r>
          </w:p>
        </w:tc>
        <w:tc>
          <w:tcPr>
            <w:tcW w:w="5934" w:type="dxa"/>
            <w:tcBorders>
              <w:top w:val="single" w:color="auto" w:sz="4" w:space="0"/>
              <w:left w:val="single" w:color="auto" w:sz="4" w:space="0"/>
              <w:bottom w:val="single" w:color="auto" w:sz="4" w:space="0"/>
              <w:right w:val="double" w:color="auto" w:sz="4" w:space="0"/>
            </w:tcBorders>
            <w:vAlign w:val="center"/>
          </w:tcPr>
          <w:p w14:paraId="3DC8512F">
            <w:pPr>
              <w:rPr>
                <w:rFonts w:hint="eastAsia" w:ascii="宋体" w:hAnsi="宋体"/>
                <w:color w:val="auto"/>
                <w:szCs w:val="21"/>
                <w:highlight w:val="none"/>
                <w:u w:val="single"/>
              </w:rPr>
            </w:pPr>
            <w:r>
              <w:rPr>
                <w:rFonts w:hint="eastAsia" w:ascii="宋体" w:hAnsi="宋体"/>
                <w:color w:val="auto"/>
                <w:szCs w:val="21"/>
                <w:highlight w:val="none"/>
                <w:u w:val="single"/>
              </w:rPr>
              <w:t>90</w:t>
            </w:r>
            <w:r>
              <w:rPr>
                <w:rFonts w:hint="eastAsia" w:ascii="宋体" w:hAnsi="宋体"/>
                <w:color w:val="auto"/>
                <w:szCs w:val="21"/>
                <w:highlight w:val="none"/>
              </w:rPr>
              <w:t>日历天。（从投标截止之日计起）</w:t>
            </w:r>
          </w:p>
        </w:tc>
      </w:tr>
      <w:tr w14:paraId="53A9D9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3B3F2534">
            <w:pPr>
              <w:jc w:val="center"/>
              <w:rPr>
                <w:rFonts w:hint="eastAsia" w:ascii="宋体" w:hAnsi="宋体"/>
                <w:color w:val="auto"/>
                <w:szCs w:val="21"/>
                <w:highlight w:val="none"/>
              </w:rPr>
            </w:pPr>
            <w:r>
              <w:rPr>
                <w:rFonts w:hint="eastAsia" w:ascii="宋体" w:hAnsi="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14:paraId="008320C0">
            <w:pPr>
              <w:rPr>
                <w:rFonts w:hint="eastAsia" w:ascii="宋体" w:hAnsi="宋体"/>
                <w:color w:val="auto"/>
                <w:szCs w:val="21"/>
                <w:highlight w:val="none"/>
              </w:rPr>
            </w:pPr>
            <w:r>
              <w:rPr>
                <w:rFonts w:ascii="宋体" w:hAnsi="宋体"/>
                <w:color w:val="auto"/>
                <w:szCs w:val="21"/>
                <w:highlight w:val="none"/>
              </w:rPr>
              <w:t>16.1</w:t>
            </w:r>
          </w:p>
        </w:tc>
        <w:tc>
          <w:tcPr>
            <w:tcW w:w="1733" w:type="dxa"/>
            <w:tcBorders>
              <w:top w:val="single" w:color="auto" w:sz="4" w:space="0"/>
              <w:left w:val="single" w:color="auto" w:sz="4" w:space="0"/>
              <w:bottom w:val="single" w:color="auto" w:sz="4" w:space="0"/>
              <w:right w:val="single" w:color="auto" w:sz="4" w:space="0"/>
            </w:tcBorders>
            <w:vAlign w:val="center"/>
          </w:tcPr>
          <w:p w14:paraId="418C0598">
            <w:pPr>
              <w:jc w:val="center"/>
              <w:rPr>
                <w:rFonts w:hint="eastAsia" w:ascii="宋体" w:hAnsi="宋体"/>
                <w:color w:val="auto"/>
                <w:szCs w:val="21"/>
                <w:highlight w:val="none"/>
              </w:rPr>
            </w:pPr>
            <w:r>
              <w:rPr>
                <w:rFonts w:hint="eastAsia" w:ascii="宋体" w:hAnsi="宋体"/>
                <w:color w:val="auto"/>
                <w:szCs w:val="21"/>
                <w:highlight w:val="none"/>
              </w:rPr>
              <w:t>投标保证金</w:t>
            </w:r>
          </w:p>
        </w:tc>
        <w:tc>
          <w:tcPr>
            <w:tcW w:w="5934" w:type="dxa"/>
            <w:tcBorders>
              <w:top w:val="single" w:color="auto" w:sz="4" w:space="0"/>
              <w:left w:val="single" w:color="auto" w:sz="4" w:space="0"/>
              <w:bottom w:val="single" w:color="auto" w:sz="4" w:space="0"/>
              <w:right w:val="double" w:color="auto" w:sz="4" w:space="0"/>
            </w:tcBorders>
            <w:vAlign w:val="center"/>
          </w:tcPr>
          <w:p w14:paraId="33BF79A1">
            <w:pPr>
              <w:pStyle w:val="20"/>
              <w:rPr>
                <w:color w:val="auto"/>
                <w:highlight w:val="none"/>
              </w:rPr>
            </w:pPr>
            <w:r>
              <w:rPr>
                <w:rFonts w:hint="eastAsia"/>
                <w:color w:val="auto"/>
                <w:highlight w:val="none"/>
              </w:rPr>
              <w:t>方式一：本项目不收投标保证金。</w:t>
            </w:r>
          </w:p>
        </w:tc>
      </w:tr>
      <w:tr w14:paraId="504A27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360AC0D2">
            <w:pPr>
              <w:jc w:val="center"/>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14:paraId="55941BA5">
            <w:pPr>
              <w:rPr>
                <w:rFonts w:hint="eastAsia"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1733" w:type="dxa"/>
            <w:tcBorders>
              <w:top w:val="single" w:color="auto" w:sz="4" w:space="0"/>
              <w:left w:val="single" w:color="auto" w:sz="4" w:space="0"/>
              <w:bottom w:val="single" w:color="auto" w:sz="4" w:space="0"/>
              <w:right w:val="single" w:color="auto" w:sz="4" w:space="0"/>
            </w:tcBorders>
            <w:vAlign w:val="center"/>
          </w:tcPr>
          <w:p w14:paraId="2DF55D3D">
            <w:pPr>
              <w:jc w:val="center"/>
              <w:rPr>
                <w:rFonts w:hint="eastAsia" w:ascii="宋体" w:hAnsi="宋体"/>
                <w:color w:val="auto"/>
                <w:szCs w:val="21"/>
                <w:highlight w:val="none"/>
              </w:rPr>
            </w:pPr>
            <w:r>
              <w:rPr>
                <w:rFonts w:hint="eastAsia" w:ascii="宋体" w:hAnsi="宋体"/>
                <w:color w:val="auto"/>
                <w:szCs w:val="21"/>
                <w:highlight w:val="none"/>
              </w:rPr>
              <w:t>投标截止时间</w:t>
            </w:r>
          </w:p>
        </w:tc>
        <w:tc>
          <w:tcPr>
            <w:tcW w:w="5934" w:type="dxa"/>
            <w:tcBorders>
              <w:top w:val="single" w:color="auto" w:sz="4" w:space="0"/>
              <w:left w:val="single" w:color="auto" w:sz="4" w:space="0"/>
              <w:bottom w:val="single" w:color="auto" w:sz="4" w:space="0"/>
              <w:right w:val="double" w:color="auto" w:sz="4" w:space="0"/>
            </w:tcBorders>
            <w:vAlign w:val="center"/>
          </w:tcPr>
          <w:p w14:paraId="3906ADE6">
            <w:pPr>
              <w:rPr>
                <w:rFonts w:hint="eastAsia" w:ascii="宋体" w:hAnsi="宋体"/>
                <w:strike/>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时（北京时间）。</w:t>
            </w:r>
            <w:r>
              <w:rPr>
                <w:rFonts w:hint="eastAsia" w:ascii="宋体" w:hAnsi="宋体" w:cs="宋体"/>
                <w:b/>
                <w:bCs/>
                <w:color w:val="auto"/>
                <w:szCs w:val="21"/>
                <w:highlight w:val="none"/>
                <w:u w:val="single"/>
              </w:rPr>
              <w:t>注：中标单位中标后须按招标人要求提供完整的纸质版投标文件一式四份。</w:t>
            </w:r>
          </w:p>
        </w:tc>
      </w:tr>
      <w:tr w14:paraId="6CF4EC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47ED3A80">
            <w:pPr>
              <w:jc w:val="center"/>
              <w:rPr>
                <w:rFonts w:hint="eastAsia" w:ascii="宋体" w:hAnsi="宋体"/>
                <w:color w:val="auto"/>
                <w:szCs w:val="21"/>
                <w:highlight w:val="none"/>
              </w:rPr>
            </w:pPr>
            <w:r>
              <w:rPr>
                <w:rFonts w:hint="eastAsia" w:ascii="宋体" w:hAnsi="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14:paraId="72EA2AAC">
            <w:pPr>
              <w:rPr>
                <w:rFonts w:hint="eastAsia" w:ascii="宋体" w:hAnsi="宋体"/>
                <w:color w:val="auto"/>
                <w:szCs w:val="21"/>
                <w:highlight w:val="none"/>
              </w:rPr>
            </w:pPr>
            <w:r>
              <w:rPr>
                <w:rFonts w:ascii="宋体" w:hAnsi="宋体"/>
                <w:color w:val="auto"/>
                <w:szCs w:val="21"/>
                <w:highlight w:val="none"/>
              </w:rPr>
              <w:t>20.1</w:t>
            </w:r>
          </w:p>
        </w:tc>
        <w:tc>
          <w:tcPr>
            <w:tcW w:w="1733" w:type="dxa"/>
            <w:tcBorders>
              <w:top w:val="single" w:color="auto" w:sz="4" w:space="0"/>
              <w:left w:val="single" w:color="auto" w:sz="4" w:space="0"/>
              <w:bottom w:val="single" w:color="auto" w:sz="4" w:space="0"/>
              <w:right w:val="single" w:color="auto" w:sz="4" w:space="0"/>
            </w:tcBorders>
            <w:vAlign w:val="center"/>
          </w:tcPr>
          <w:p w14:paraId="1C73F116">
            <w:pPr>
              <w:jc w:val="center"/>
              <w:rPr>
                <w:rFonts w:hint="eastAsia" w:ascii="宋体" w:hAnsi="宋体"/>
                <w:color w:val="auto"/>
                <w:szCs w:val="21"/>
                <w:highlight w:val="none"/>
              </w:rPr>
            </w:pPr>
            <w:r>
              <w:rPr>
                <w:rFonts w:hint="eastAsia" w:ascii="宋体" w:hAnsi="宋体"/>
                <w:color w:val="auto"/>
                <w:szCs w:val="21"/>
                <w:highlight w:val="none"/>
              </w:rPr>
              <w:t>开标开始时间和地点</w:t>
            </w:r>
          </w:p>
        </w:tc>
        <w:tc>
          <w:tcPr>
            <w:tcW w:w="5934" w:type="dxa"/>
            <w:tcBorders>
              <w:top w:val="single" w:color="auto" w:sz="4" w:space="0"/>
              <w:left w:val="single" w:color="auto" w:sz="4" w:space="0"/>
              <w:bottom w:val="single" w:color="auto" w:sz="4" w:space="0"/>
              <w:right w:val="double" w:color="auto" w:sz="4" w:space="0"/>
            </w:tcBorders>
            <w:vAlign w:val="center"/>
          </w:tcPr>
          <w:p w14:paraId="2F7B4F69">
            <w:pPr>
              <w:widowControl/>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（技术标和经济标同时开标）</w:t>
            </w:r>
          </w:p>
          <w:p w14:paraId="0DFE7EF5">
            <w:pPr>
              <w:widowControl/>
              <w:numPr>
                <w:ilvl w:val="0"/>
                <w:numId w:val="3"/>
              </w:numPr>
              <w:jc w:val="left"/>
              <w:rPr>
                <w:rFonts w:hint="eastAsia" w:ascii="宋体" w:hAnsi="宋体" w:cs="宋体"/>
                <w:b w:val="0"/>
                <w:bCs w:val="0"/>
                <w:color w:val="auto"/>
                <w:kern w:val="0"/>
                <w:szCs w:val="21"/>
                <w:highlight w:val="none"/>
              </w:rPr>
            </w:pPr>
            <w:r>
              <w:rPr>
                <w:rFonts w:hint="eastAsia" w:ascii="宋体" w:hAnsi="宋体" w:cs="宋体"/>
                <w:bCs/>
                <w:color w:val="auto"/>
                <w:kern w:val="0"/>
                <w:szCs w:val="21"/>
                <w:highlight w:val="none"/>
              </w:rPr>
              <w:t>开标开始时间：</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日</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时</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分（与投标截止时间为同一时间），地点：</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lang w:val="en-US" w:eastAsia="zh-CN"/>
              </w:rPr>
              <w:t>增城交易部</w:t>
            </w:r>
            <w:r>
              <w:rPr>
                <w:rFonts w:hint="eastAsia" w:ascii="宋体" w:hAnsi="宋体" w:cs="宋体"/>
                <w:color w:val="auto"/>
                <w:szCs w:val="21"/>
                <w:highlight w:val="none"/>
                <w:u w:val="single"/>
              </w:rPr>
              <w:t>第   开标室</w:t>
            </w:r>
            <w:r>
              <w:rPr>
                <w:rFonts w:hint="eastAsia" w:ascii="宋体" w:hAnsi="宋体" w:cs="宋体"/>
                <w:bCs/>
                <w:color w:val="auto"/>
                <w:kern w:val="0"/>
                <w:szCs w:val="21"/>
                <w:highlight w:val="none"/>
              </w:rPr>
              <w:t>。</w:t>
            </w:r>
            <w:r>
              <w:rPr>
                <w:rFonts w:hint="eastAsia" w:ascii="宋体" w:hAnsi="宋体" w:cs="宋体"/>
                <w:b w:val="0"/>
                <w:bCs w:val="0"/>
                <w:color w:val="auto"/>
                <w:kern w:val="0"/>
                <w:szCs w:val="21"/>
                <w:highlight w:val="none"/>
              </w:rPr>
              <w:t>投标人也可选择参加在线开标，具体按照交易平台相关指南进行操作。详见：</w:t>
            </w:r>
            <w:r>
              <w:rPr>
                <w:rFonts w:hint="eastAsia"/>
                <w:color w:val="auto"/>
                <w:highlight w:val="none"/>
                <w:u w:val="single"/>
                <w:lang w:eastAsia="zh-CN"/>
              </w:rPr>
              <w:t>广州交易集团有限公司（广州公共资源交易中心）</w:t>
            </w:r>
            <w:r>
              <w:rPr>
                <w:rFonts w:hint="eastAsia"/>
                <w:color w:val="auto"/>
                <w:highlight w:val="none"/>
                <w:u w:val="single"/>
              </w:rPr>
              <w:t>网站</w:t>
            </w:r>
            <w:r>
              <w:rPr>
                <w:rFonts w:hint="eastAsia" w:ascii="宋体" w:hAnsi="宋体" w:cs="宋体"/>
                <w:color w:val="auto"/>
                <w:szCs w:val="21"/>
                <w:highlight w:val="none"/>
                <w:u w:val="single"/>
              </w:rPr>
              <w:t>。</w:t>
            </w:r>
          </w:p>
          <w:p w14:paraId="5D4F79A2">
            <w:pPr>
              <w:widowControl/>
              <w:jc w:val="left"/>
              <w:rPr>
                <w:rFonts w:hint="eastAsia"/>
                <w:color w:val="auto"/>
                <w:highlight w:val="none"/>
              </w:rPr>
            </w:pPr>
            <w:r>
              <w:rPr>
                <w:color w:val="auto"/>
                <w:highlight w:val="none"/>
              </w:rPr>
              <w:t>2、递交投标文件备用光盘时间：</w:t>
            </w:r>
            <w:r>
              <w:rPr>
                <w:color w:val="auto"/>
                <w:highlight w:val="none"/>
                <w:u w:val="single"/>
              </w:rPr>
              <w:t xml:space="preserve">    </w:t>
            </w:r>
            <w:r>
              <w:rPr>
                <w:rFonts w:hint="eastAsia"/>
                <w:color w:val="auto"/>
                <w:highlight w:val="none"/>
                <w:u w:val="single"/>
              </w:rPr>
              <w:t>年</w:t>
            </w:r>
            <w:r>
              <w:rPr>
                <w:color w:val="auto"/>
                <w:highlight w:val="none"/>
                <w:u w:val="single"/>
              </w:rPr>
              <w:t xml:space="preserve">   </w:t>
            </w:r>
            <w:r>
              <w:rPr>
                <w:rFonts w:hint="eastAsia"/>
                <w:color w:val="auto"/>
                <w:highlight w:val="none"/>
                <w:u w:val="single"/>
              </w:rPr>
              <w:t>月</w:t>
            </w:r>
            <w:r>
              <w:rPr>
                <w:color w:val="auto"/>
                <w:highlight w:val="none"/>
                <w:u w:val="single"/>
              </w:rPr>
              <w:t xml:space="preserve">   </w:t>
            </w:r>
            <w:r>
              <w:rPr>
                <w:rFonts w:hint="eastAsia"/>
                <w:color w:val="auto"/>
                <w:highlight w:val="none"/>
                <w:u w:val="single"/>
              </w:rPr>
              <w:t>日</w:t>
            </w:r>
            <w:r>
              <w:rPr>
                <w:color w:val="auto"/>
                <w:highlight w:val="none"/>
                <w:u w:val="single"/>
              </w:rPr>
              <w:t xml:space="preserve">   </w:t>
            </w:r>
            <w:r>
              <w:rPr>
                <w:rFonts w:hint="eastAsia"/>
                <w:color w:val="auto"/>
                <w:highlight w:val="none"/>
                <w:u w:val="single"/>
              </w:rPr>
              <w:t>时</w:t>
            </w:r>
            <w:r>
              <w:rPr>
                <w:color w:val="auto"/>
                <w:highlight w:val="none"/>
                <w:u w:val="single"/>
              </w:rPr>
              <w:t xml:space="preserve">   </w:t>
            </w:r>
            <w:r>
              <w:rPr>
                <w:rFonts w:hint="eastAsia"/>
                <w:color w:val="auto"/>
                <w:highlight w:val="none"/>
                <w:u w:val="single"/>
              </w:rPr>
              <w:t>分至</w:t>
            </w:r>
            <w:r>
              <w:rPr>
                <w:color w:val="auto"/>
                <w:highlight w:val="none"/>
                <w:u w:val="single"/>
              </w:rPr>
              <w:t xml:space="preserve">     </w:t>
            </w:r>
            <w:r>
              <w:rPr>
                <w:rFonts w:hint="eastAsia"/>
                <w:color w:val="auto"/>
                <w:highlight w:val="none"/>
                <w:u w:val="single"/>
              </w:rPr>
              <w:t>年</w:t>
            </w:r>
            <w:r>
              <w:rPr>
                <w:color w:val="auto"/>
                <w:highlight w:val="none"/>
                <w:u w:val="single"/>
              </w:rPr>
              <w:t xml:space="preserve">   </w:t>
            </w:r>
            <w:r>
              <w:rPr>
                <w:rFonts w:hint="eastAsia"/>
                <w:color w:val="auto"/>
                <w:highlight w:val="none"/>
                <w:u w:val="single"/>
              </w:rPr>
              <w:t>月</w:t>
            </w:r>
            <w:r>
              <w:rPr>
                <w:color w:val="auto"/>
                <w:highlight w:val="none"/>
                <w:u w:val="single"/>
              </w:rPr>
              <w:t xml:space="preserve">   </w:t>
            </w:r>
            <w:r>
              <w:rPr>
                <w:rFonts w:hint="eastAsia"/>
                <w:color w:val="auto"/>
                <w:highlight w:val="none"/>
                <w:u w:val="single"/>
              </w:rPr>
              <w:t>日</w:t>
            </w:r>
            <w:r>
              <w:rPr>
                <w:color w:val="auto"/>
                <w:highlight w:val="none"/>
                <w:u w:val="single"/>
              </w:rPr>
              <w:t xml:space="preserve">   </w:t>
            </w:r>
            <w:r>
              <w:rPr>
                <w:rFonts w:hint="eastAsia"/>
                <w:color w:val="auto"/>
                <w:highlight w:val="none"/>
                <w:u w:val="single"/>
              </w:rPr>
              <w:t>时</w:t>
            </w:r>
            <w:r>
              <w:rPr>
                <w:color w:val="auto"/>
                <w:highlight w:val="none"/>
                <w:u w:val="single"/>
              </w:rPr>
              <w:t xml:space="preserve">   </w:t>
            </w:r>
            <w:r>
              <w:rPr>
                <w:rFonts w:hint="eastAsia"/>
                <w:color w:val="auto"/>
                <w:highlight w:val="none"/>
                <w:u w:val="single"/>
              </w:rPr>
              <w:t>分；递交地点：</w:t>
            </w:r>
            <w:r>
              <w:rPr>
                <w:rFonts w:hint="eastAsia" w:ascii="宋体" w:hAnsi="宋体" w:cs="宋体"/>
                <w:color w:val="auto"/>
                <w:szCs w:val="21"/>
                <w:highlight w:val="none"/>
                <w:u w:val="single"/>
              </w:rPr>
              <w:t>增城交易部开标室</w:t>
            </w:r>
            <w:r>
              <w:rPr>
                <w:rFonts w:hint="eastAsia"/>
                <w:color w:val="auto"/>
                <w:highlight w:val="none"/>
              </w:rPr>
              <w:t>。</w:t>
            </w:r>
            <w:r>
              <w:rPr>
                <w:color w:val="auto"/>
                <w:highlight w:val="none"/>
              </w:rPr>
              <w:t>(建议安排在投标文件截止时间前15分钟至投标文件截止时间）</w:t>
            </w:r>
          </w:p>
          <w:p w14:paraId="50A53527">
            <w:pPr>
              <w:widowControl/>
              <w:jc w:val="left"/>
              <w:rPr>
                <w:rFonts w:hint="eastAsia" w:ascii="宋体" w:hAnsi="宋体" w:cs="宋体"/>
                <w:bCs/>
                <w:color w:val="auto"/>
                <w:kern w:val="0"/>
                <w:szCs w:val="21"/>
                <w:highlight w:val="none"/>
              </w:rPr>
            </w:pPr>
            <w:r>
              <w:rPr>
                <w:rFonts w:hint="eastAsia"/>
                <w:color w:val="auto"/>
                <w:highlight w:val="none"/>
              </w:rPr>
              <w:t>上述时间及地点是否有改变，请密切留意补充公告和招标答疑纪要的相关信息。</w:t>
            </w:r>
            <w:r>
              <w:rPr>
                <w:rFonts w:hint="eastAsia"/>
                <w:color w:val="auto"/>
                <w:highlight w:val="none"/>
              </w:rPr>
              <w:t>。</w:t>
            </w:r>
          </w:p>
        </w:tc>
      </w:tr>
      <w:tr w14:paraId="6F6406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14:paraId="0B1E70C8">
            <w:pPr>
              <w:jc w:val="center"/>
              <w:rPr>
                <w:rFonts w:hint="eastAsia" w:ascii="宋体" w:hAnsi="宋体"/>
                <w:color w:val="auto"/>
                <w:szCs w:val="21"/>
                <w:highlight w:val="none"/>
              </w:rPr>
            </w:pPr>
            <w:r>
              <w:rPr>
                <w:rFonts w:hint="eastAsia" w:ascii="宋体" w:hAnsi="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14:paraId="29D96D38">
            <w:pPr>
              <w:rPr>
                <w:rFonts w:hint="eastAsia" w:ascii="宋体" w:hAnsi="宋体"/>
                <w:color w:val="auto"/>
                <w:szCs w:val="21"/>
                <w:highlight w:val="none"/>
              </w:rPr>
            </w:pPr>
            <w:r>
              <w:rPr>
                <w:rFonts w:ascii="宋体" w:hAnsi="宋体"/>
                <w:color w:val="auto"/>
                <w:szCs w:val="21"/>
                <w:highlight w:val="none"/>
              </w:rPr>
              <w:t>26</w:t>
            </w:r>
          </w:p>
        </w:tc>
        <w:tc>
          <w:tcPr>
            <w:tcW w:w="1733" w:type="dxa"/>
            <w:tcBorders>
              <w:top w:val="single" w:color="auto" w:sz="4" w:space="0"/>
              <w:left w:val="single" w:color="auto" w:sz="4" w:space="0"/>
              <w:bottom w:val="single" w:color="auto" w:sz="4" w:space="0"/>
              <w:right w:val="single" w:color="auto" w:sz="4" w:space="0"/>
            </w:tcBorders>
            <w:vAlign w:val="center"/>
          </w:tcPr>
          <w:p w14:paraId="153FB88A">
            <w:pPr>
              <w:jc w:val="center"/>
              <w:rPr>
                <w:rFonts w:hint="eastAsia" w:ascii="宋体" w:hAnsi="宋体"/>
                <w:color w:val="auto"/>
                <w:szCs w:val="21"/>
                <w:highlight w:val="none"/>
              </w:rPr>
            </w:pPr>
            <w:r>
              <w:rPr>
                <w:rFonts w:hint="eastAsia" w:ascii="宋体" w:hAnsi="宋体"/>
                <w:color w:val="auto"/>
                <w:szCs w:val="21"/>
                <w:highlight w:val="none"/>
              </w:rPr>
              <w:t>开标评标办法</w:t>
            </w:r>
          </w:p>
        </w:tc>
        <w:tc>
          <w:tcPr>
            <w:tcW w:w="5934" w:type="dxa"/>
            <w:tcBorders>
              <w:top w:val="single" w:color="auto" w:sz="4" w:space="0"/>
              <w:left w:val="single" w:color="auto" w:sz="4" w:space="0"/>
              <w:bottom w:val="single" w:color="auto" w:sz="4" w:space="0"/>
              <w:right w:val="double" w:color="auto" w:sz="4" w:space="0"/>
            </w:tcBorders>
            <w:vAlign w:val="center"/>
          </w:tcPr>
          <w:p w14:paraId="48974CA4">
            <w:pPr>
              <w:pStyle w:val="5"/>
              <w:ind w:firstLine="0"/>
              <w:rPr>
                <w:rFonts w:hint="eastAsia" w:ascii="宋体" w:hAnsi="宋体"/>
                <w:color w:val="auto"/>
                <w:szCs w:val="21"/>
                <w:highlight w:val="none"/>
              </w:rPr>
            </w:pPr>
            <w:r>
              <w:rPr>
                <w:rFonts w:hint="eastAsia" w:ascii="宋体" w:hAnsi="宋体"/>
                <w:color w:val="auto"/>
                <w:szCs w:val="21"/>
                <w:highlight w:val="none"/>
              </w:rPr>
              <w:t>方式一：选取方法</w:t>
            </w:r>
            <w:r>
              <w:rPr>
                <w:rFonts w:hint="eastAsia" w:ascii="宋体" w:hAnsi="宋体"/>
                <w:color w:val="auto"/>
                <w:szCs w:val="21"/>
                <w:highlight w:val="none"/>
                <w:lang w:val="en-US" w:eastAsia="zh-CN"/>
              </w:rPr>
              <w:t>为</w:t>
            </w:r>
            <w:r>
              <w:rPr>
                <w:rFonts w:hint="eastAsia" w:ascii="宋体" w:hAnsi="宋体"/>
                <w:color w:val="auto"/>
                <w:szCs w:val="21"/>
                <w:highlight w:val="none"/>
              </w:rPr>
              <w:t>办法七（适合综合评分法四，技术标与经济标同时开启）</w:t>
            </w:r>
          </w:p>
        </w:tc>
      </w:tr>
      <w:tr w14:paraId="3DA3AA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14:paraId="6B5A0496">
            <w:pPr>
              <w:jc w:val="center"/>
              <w:rPr>
                <w:rFonts w:hint="eastAsia" w:ascii="宋体" w:hAnsi="宋体"/>
                <w:color w:val="auto"/>
                <w:szCs w:val="21"/>
                <w:highlight w:val="none"/>
              </w:rPr>
            </w:pPr>
            <w:r>
              <w:rPr>
                <w:rFonts w:hint="eastAsia" w:ascii="宋体" w:hAnsi="宋体"/>
                <w:color w:val="auto"/>
                <w:szCs w:val="21"/>
                <w:highlight w:val="none"/>
              </w:rPr>
              <w:t>20</w:t>
            </w:r>
          </w:p>
        </w:tc>
        <w:tc>
          <w:tcPr>
            <w:tcW w:w="981" w:type="dxa"/>
            <w:tcBorders>
              <w:top w:val="single" w:color="auto" w:sz="4" w:space="0"/>
              <w:left w:val="single" w:color="auto" w:sz="4" w:space="0"/>
              <w:bottom w:val="single" w:color="auto" w:sz="4" w:space="0"/>
              <w:right w:val="single" w:color="auto" w:sz="4" w:space="0"/>
            </w:tcBorders>
            <w:vAlign w:val="center"/>
          </w:tcPr>
          <w:p w14:paraId="776ECF39">
            <w:pPr>
              <w:rPr>
                <w:rFonts w:hint="eastAsia" w:ascii="宋体" w:hAnsi="宋体"/>
                <w:color w:val="auto"/>
                <w:szCs w:val="21"/>
                <w:highlight w:val="none"/>
              </w:rPr>
            </w:pPr>
            <w:r>
              <w:rPr>
                <w:rFonts w:hint="eastAsia" w:ascii="宋体" w:hAnsi="宋体"/>
                <w:color w:val="auto"/>
                <w:szCs w:val="21"/>
                <w:highlight w:val="none"/>
              </w:rPr>
              <w:t>27</w:t>
            </w:r>
          </w:p>
        </w:tc>
        <w:tc>
          <w:tcPr>
            <w:tcW w:w="1733" w:type="dxa"/>
            <w:tcBorders>
              <w:top w:val="single" w:color="auto" w:sz="4" w:space="0"/>
              <w:left w:val="single" w:color="auto" w:sz="4" w:space="0"/>
              <w:bottom w:val="single" w:color="auto" w:sz="4" w:space="0"/>
              <w:right w:val="single" w:color="auto" w:sz="4" w:space="0"/>
            </w:tcBorders>
            <w:vAlign w:val="center"/>
          </w:tcPr>
          <w:p w14:paraId="7110AABA">
            <w:pPr>
              <w:jc w:val="center"/>
              <w:rPr>
                <w:rFonts w:hint="eastAsia" w:ascii="宋体" w:hAnsi="宋体"/>
                <w:color w:val="auto"/>
                <w:szCs w:val="21"/>
                <w:highlight w:val="none"/>
              </w:rPr>
            </w:pPr>
            <w:r>
              <w:rPr>
                <w:rFonts w:hint="eastAsia" w:ascii="宋体" w:hAnsi="宋体"/>
                <w:color w:val="auto"/>
                <w:szCs w:val="21"/>
                <w:highlight w:val="none"/>
              </w:rPr>
              <w:t>定标</w:t>
            </w:r>
          </w:p>
        </w:tc>
        <w:tc>
          <w:tcPr>
            <w:tcW w:w="5934" w:type="dxa"/>
            <w:tcBorders>
              <w:top w:val="single" w:color="auto" w:sz="4" w:space="0"/>
              <w:left w:val="single" w:color="auto" w:sz="4" w:space="0"/>
              <w:bottom w:val="single" w:color="auto" w:sz="4" w:space="0"/>
              <w:right w:val="double" w:color="auto" w:sz="4" w:space="0"/>
            </w:tcBorders>
            <w:vAlign w:val="center"/>
          </w:tcPr>
          <w:p w14:paraId="27728680">
            <w:pPr>
              <w:jc w:val="left"/>
              <w:rPr>
                <w:rFonts w:hint="eastAsia" w:ascii="宋体" w:hAnsi="宋体"/>
                <w:color w:val="auto"/>
                <w:szCs w:val="21"/>
                <w:highlight w:val="none"/>
              </w:rPr>
            </w:pPr>
            <w:r>
              <w:rPr>
                <w:rFonts w:hint="eastAsia" w:ascii="宋体" w:hAnsi="宋体"/>
                <w:color w:val="auto"/>
                <w:szCs w:val="21"/>
                <w:highlight w:val="none"/>
              </w:rPr>
              <w:t>1.招标人根据评标委员会递交的评标报告，最终审定中标人。</w:t>
            </w:r>
          </w:p>
          <w:p w14:paraId="6F9EA9C0">
            <w:pPr>
              <w:jc w:val="left"/>
              <w:rPr>
                <w:rFonts w:hint="eastAsia" w:ascii="宋体" w:hAnsi="宋体"/>
                <w:color w:val="auto"/>
                <w:szCs w:val="21"/>
                <w:highlight w:val="none"/>
              </w:rPr>
            </w:pPr>
            <w:r>
              <w:rPr>
                <w:rFonts w:hint="eastAsia" w:ascii="宋体" w:hAnsi="宋体"/>
                <w:color w:val="auto"/>
                <w:szCs w:val="21"/>
                <w:highlight w:val="none"/>
              </w:rPr>
              <w:t>2.依法必须进行公开招标的项目，招标人应当确定排名第一的中标候选人为中标人。</w:t>
            </w:r>
          </w:p>
          <w:p w14:paraId="34E30F01">
            <w:pPr>
              <w:jc w:val="left"/>
              <w:rPr>
                <w:rFonts w:hint="eastAsia" w:ascii="宋体" w:hAnsi="宋体"/>
                <w:color w:val="auto"/>
                <w:szCs w:val="21"/>
                <w:highlight w:val="none"/>
              </w:rPr>
            </w:pPr>
            <w:r>
              <w:rPr>
                <w:rFonts w:hint="eastAsia" w:ascii="宋体" w:hAnsi="宋体"/>
                <w:color w:val="auto"/>
                <w:szCs w:val="21"/>
                <w:highlight w:val="none"/>
              </w:rPr>
              <w:t>3.排名第一的中标候选人放弃中标、或因不可抗力提出不能履行合同，或者招标文件规定应当提交履约担保而在规定的期限内未能提交的，或经核查发现委派的项目负责人已在其他在建项目中任职的，招标人可以确定排名第二的中标候选人为中标人。</w:t>
            </w:r>
          </w:p>
          <w:p w14:paraId="05C374B4">
            <w:pPr>
              <w:jc w:val="left"/>
              <w:rPr>
                <w:rFonts w:hint="eastAsia" w:ascii="宋体" w:hAnsi="宋体"/>
                <w:color w:val="auto"/>
                <w:szCs w:val="21"/>
                <w:highlight w:val="none"/>
              </w:rPr>
            </w:pPr>
            <w:r>
              <w:rPr>
                <w:rFonts w:hint="eastAsia" w:ascii="宋体" w:hAnsi="宋体"/>
                <w:color w:val="auto"/>
                <w:szCs w:val="21"/>
                <w:highlight w:val="none"/>
              </w:rPr>
              <w:t>4.排名第二的中标候选人出现前款所列的情形的，招标人可以确定排名第三的中标候选人为中标人。以此类推，如所有中标候选人均出现前款所列的情形，为招标失败，招标人依法重新招标。</w:t>
            </w:r>
          </w:p>
          <w:p w14:paraId="3660E0FA">
            <w:pPr>
              <w:jc w:val="left"/>
              <w:rPr>
                <w:rFonts w:hint="eastAsia" w:ascii="宋体" w:hAnsi="宋体"/>
                <w:color w:val="auto"/>
                <w:szCs w:val="21"/>
                <w:highlight w:val="none"/>
              </w:rPr>
            </w:pPr>
            <w:r>
              <w:rPr>
                <w:rFonts w:hint="eastAsia" w:ascii="宋体" w:hAnsi="宋体"/>
                <w:color w:val="auto"/>
                <w:szCs w:val="21"/>
                <w:highlight w:val="none"/>
              </w:rPr>
              <w:t>5.重新评标的，评标信息（含业绩、奖项等）仍以投标截止时投标人的信息为准。因特殊原因需要延长投标有效期，投标人拒绝延长投标有效期的，仍参与评标，但不被推荐为中标候选人。</w:t>
            </w:r>
          </w:p>
        </w:tc>
      </w:tr>
      <w:tr w14:paraId="465FA2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4AD15FAC">
            <w:pPr>
              <w:jc w:val="center"/>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14:paraId="5D501B88">
            <w:pPr>
              <w:jc w:val="center"/>
              <w:rPr>
                <w:rFonts w:hint="eastAsia" w:ascii="宋体" w:hAnsi="宋体"/>
                <w:color w:val="auto"/>
                <w:szCs w:val="21"/>
                <w:highlight w:val="none"/>
              </w:rPr>
            </w:pPr>
            <w:r>
              <w:rPr>
                <w:rFonts w:hint="eastAsia" w:ascii="宋体" w:hAnsi="宋体"/>
                <w:color w:val="auto"/>
                <w:szCs w:val="21"/>
                <w:highlight w:val="none"/>
              </w:rPr>
              <w:t>30</w:t>
            </w:r>
          </w:p>
        </w:tc>
        <w:tc>
          <w:tcPr>
            <w:tcW w:w="1733" w:type="dxa"/>
            <w:tcBorders>
              <w:top w:val="single" w:color="auto" w:sz="4" w:space="0"/>
              <w:left w:val="single" w:color="auto" w:sz="4" w:space="0"/>
              <w:bottom w:val="single" w:color="auto" w:sz="4" w:space="0"/>
              <w:right w:val="single" w:color="auto" w:sz="4" w:space="0"/>
            </w:tcBorders>
            <w:vAlign w:val="center"/>
          </w:tcPr>
          <w:p w14:paraId="653D0646">
            <w:pPr>
              <w:jc w:val="center"/>
              <w:rPr>
                <w:rFonts w:hint="eastAsia" w:ascii="宋体" w:hAnsi="宋体"/>
                <w:color w:val="auto"/>
                <w:szCs w:val="21"/>
                <w:highlight w:val="none"/>
              </w:rPr>
            </w:pPr>
            <w:r>
              <w:rPr>
                <w:rFonts w:hint="eastAsia" w:ascii="宋体" w:hAnsi="宋体"/>
                <w:color w:val="auto"/>
                <w:szCs w:val="21"/>
                <w:highlight w:val="none"/>
              </w:rPr>
              <w:t>履约担保</w:t>
            </w:r>
          </w:p>
        </w:tc>
        <w:tc>
          <w:tcPr>
            <w:tcW w:w="5934" w:type="dxa"/>
            <w:tcBorders>
              <w:top w:val="single" w:color="auto" w:sz="4" w:space="0"/>
              <w:left w:val="single" w:color="auto" w:sz="4" w:space="0"/>
              <w:bottom w:val="single" w:color="auto" w:sz="4" w:space="0"/>
              <w:right w:val="double" w:color="auto" w:sz="4" w:space="0"/>
            </w:tcBorders>
            <w:vAlign w:val="center"/>
          </w:tcPr>
          <w:p w14:paraId="71268B69">
            <w:pPr>
              <w:rPr>
                <w:color w:val="auto"/>
                <w:highlight w:val="none"/>
              </w:rPr>
            </w:pPr>
            <w:r>
              <w:rPr>
                <w:rFonts w:hint="eastAsia"/>
                <w:color w:val="auto"/>
                <w:highlight w:val="none"/>
              </w:rPr>
              <w:t>是否要求投标人提交履约担保：</w:t>
            </w:r>
          </w:p>
          <w:p w14:paraId="6EBF2F22">
            <w:pPr>
              <w:pStyle w:val="20"/>
              <w:rPr>
                <w:color w:val="auto"/>
                <w:highlight w:val="none"/>
              </w:rPr>
            </w:pPr>
            <w:r>
              <w:rPr>
                <w:rFonts w:hint="eastAsia"/>
                <w:color w:val="auto"/>
                <w:highlight w:val="none"/>
              </w:rPr>
              <w:t>□不要求</w:t>
            </w:r>
          </w:p>
          <w:p w14:paraId="37800C16">
            <w:pPr>
              <w:pStyle w:val="20"/>
              <w:rPr>
                <w:color w:val="auto"/>
                <w:highlight w:val="none"/>
              </w:rPr>
            </w:pPr>
            <w:r>
              <w:rPr>
                <w:rFonts w:hint="eastAsia"/>
                <w:color w:val="auto"/>
                <w:highlight w:val="none"/>
              </w:rPr>
              <w:sym w:font="Wingdings" w:char="00FE"/>
            </w:r>
            <w:r>
              <w:rPr>
                <w:rFonts w:hint="eastAsia"/>
                <w:color w:val="auto"/>
                <w:highlight w:val="none"/>
              </w:rPr>
              <w:t>要求：</w:t>
            </w:r>
          </w:p>
          <w:p w14:paraId="465C6EA6">
            <w:pPr>
              <w:pStyle w:val="20"/>
              <w:rPr>
                <w:color w:val="auto"/>
                <w:highlight w:val="none"/>
                <w:u w:val="single"/>
              </w:rPr>
            </w:pPr>
            <w:r>
              <w:rPr>
                <w:rFonts w:hint="eastAsia"/>
                <w:color w:val="auto"/>
                <w:highlight w:val="none"/>
              </w:rPr>
              <w:t>履约保证金的金额：</w:t>
            </w:r>
            <w:r>
              <w:rPr>
                <w:rFonts w:hint="eastAsia" w:hAnsi="宋体"/>
                <w:color w:val="auto"/>
                <w:highlight w:val="none"/>
              </w:rPr>
              <w:t>方式一</w:t>
            </w:r>
          </w:p>
          <w:p w14:paraId="630DBB28">
            <w:pPr>
              <w:rPr>
                <w:rFonts w:hint="eastAsia" w:ascii="宋体" w:hAnsi="宋体"/>
                <w:color w:val="auto"/>
                <w:highlight w:val="none"/>
              </w:rPr>
            </w:pPr>
            <w:r>
              <w:rPr>
                <w:rFonts w:hint="eastAsia"/>
                <w:color w:val="auto"/>
                <w:highlight w:val="none"/>
              </w:rPr>
              <w:sym w:font="Wingdings" w:char="00FE"/>
            </w:r>
            <w:r>
              <w:rPr>
                <w:rFonts w:hint="eastAsia" w:ascii="宋体" w:hAnsi="宋体"/>
                <w:color w:val="auto"/>
                <w:highlight w:val="none"/>
              </w:rPr>
              <w:t>方式一：中标人提供的履约保证金为中标价款的</w:t>
            </w:r>
            <w:r>
              <w:rPr>
                <w:rFonts w:hint="eastAsia" w:ascii="宋体" w:hAnsi="宋体"/>
                <w:color w:val="auto"/>
                <w:highlight w:val="none"/>
                <w:u w:val="single"/>
              </w:rPr>
              <w:t>10</w:t>
            </w:r>
            <w:r>
              <w:rPr>
                <w:rFonts w:hint="eastAsia" w:ascii="宋体" w:hAnsi="宋体"/>
                <w:color w:val="auto"/>
                <w:highlight w:val="none"/>
              </w:rPr>
              <w:t>%（不高于10%）。</w:t>
            </w:r>
          </w:p>
          <w:p w14:paraId="20D1DA1B">
            <w:pPr>
              <w:pStyle w:val="5"/>
              <w:spacing w:after="0"/>
              <w:ind w:firstLine="0"/>
              <w:rPr>
                <w:rFonts w:hint="eastAsia" w:ascii="宋体" w:hAnsi="宋体"/>
                <w:color w:val="auto"/>
                <w:highlight w:val="none"/>
              </w:rPr>
            </w:pPr>
            <w:r>
              <w:rPr>
                <w:rFonts w:hint="eastAsia"/>
                <w:color w:val="auto"/>
                <w:highlight w:val="none"/>
              </w:rPr>
              <w:t>□</w:t>
            </w:r>
            <w:r>
              <w:rPr>
                <w:rFonts w:hint="eastAsia" w:ascii="宋体" w:hAnsi="宋体"/>
                <w:color w:val="auto"/>
                <w:highlight w:val="none"/>
              </w:rPr>
              <w:t>方式二：中标人提供的履约保函的保证额为中标价款与最高投标限价之间的差额，且不超过中标价款的10%。</w:t>
            </w:r>
          </w:p>
          <w:p w14:paraId="2DA8F8DB">
            <w:pPr>
              <w:widowControl/>
              <w:jc w:val="left"/>
              <w:rPr>
                <w:rFonts w:hint="eastAsia" w:ascii="宋体" w:hAnsi="宋体"/>
                <w:color w:val="auto"/>
                <w:szCs w:val="21"/>
                <w:highlight w:val="none"/>
                <w:u w:val="single"/>
              </w:rPr>
            </w:pPr>
            <w:r>
              <w:rPr>
                <w:rFonts w:hint="eastAsia" w:ascii="宋体" w:hAnsi="宋体"/>
                <w:color w:val="auto"/>
                <w:highlight w:val="none"/>
              </w:rPr>
              <w:t>履约保证金的形式：</w:t>
            </w:r>
            <w:r>
              <w:rPr>
                <w:rFonts w:hint="eastAsia" w:ascii="宋体" w:hAnsi="宋体" w:cs="宋体"/>
                <w:color w:val="auto"/>
                <w:szCs w:val="21"/>
                <w:highlight w:val="none"/>
              </w:rPr>
              <w:t>中标人的履约担保可采用以现金、银行保函、保证保险、专业担保公司担保等的形式提供。</w:t>
            </w:r>
          </w:p>
        </w:tc>
      </w:tr>
      <w:tr w14:paraId="4BD714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14:paraId="5DDBAB25">
            <w:pPr>
              <w:jc w:val="center"/>
              <w:rPr>
                <w:rFonts w:hint="eastAsia" w:ascii="宋体" w:hAnsi="宋体"/>
                <w:color w:val="auto"/>
                <w:szCs w:val="21"/>
                <w:highlight w:val="none"/>
              </w:rPr>
            </w:pPr>
            <w:r>
              <w:rPr>
                <w:rFonts w:hint="eastAsia" w:ascii="宋体" w:hAnsi="宋体"/>
                <w:color w:val="auto"/>
                <w:szCs w:val="21"/>
                <w:highlight w:val="none"/>
              </w:rPr>
              <w:t>22</w:t>
            </w:r>
          </w:p>
        </w:tc>
        <w:tc>
          <w:tcPr>
            <w:tcW w:w="981" w:type="dxa"/>
            <w:tcBorders>
              <w:top w:val="single" w:color="auto" w:sz="4" w:space="0"/>
              <w:left w:val="single" w:color="auto" w:sz="4" w:space="0"/>
              <w:bottom w:val="single" w:color="auto" w:sz="4" w:space="0"/>
              <w:right w:val="single" w:color="auto" w:sz="4" w:space="0"/>
            </w:tcBorders>
            <w:vAlign w:val="center"/>
          </w:tcPr>
          <w:p w14:paraId="4F419E81">
            <w:pPr>
              <w:jc w:val="center"/>
              <w:rPr>
                <w:rFonts w:hint="eastAsia" w:ascii="宋体" w:hAnsi="宋体"/>
                <w:color w:val="auto"/>
                <w:szCs w:val="21"/>
                <w:highlight w:val="none"/>
              </w:rPr>
            </w:pPr>
            <w:r>
              <w:rPr>
                <w:rFonts w:hint="eastAsia" w:ascii="宋体" w:hAnsi="宋体"/>
                <w:color w:val="auto"/>
                <w:szCs w:val="21"/>
                <w:highlight w:val="none"/>
              </w:rPr>
              <w:t>32.1</w:t>
            </w:r>
          </w:p>
        </w:tc>
        <w:tc>
          <w:tcPr>
            <w:tcW w:w="1733" w:type="dxa"/>
            <w:tcBorders>
              <w:top w:val="single" w:color="auto" w:sz="4" w:space="0"/>
              <w:left w:val="single" w:color="auto" w:sz="4" w:space="0"/>
              <w:bottom w:val="single" w:color="auto" w:sz="4" w:space="0"/>
              <w:right w:val="single" w:color="auto" w:sz="4" w:space="0"/>
            </w:tcBorders>
            <w:vAlign w:val="center"/>
          </w:tcPr>
          <w:p w14:paraId="236AA291">
            <w:pPr>
              <w:jc w:val="center"/>
              <w:rPr>
                <w:rFonts w:hint="eastAsia" w:ascii="宋体" w:hAnsi="宋体"/>
                <w:color w:val="auto"/>
                <w:szCs w:val="21"/>
                <w:highlight w:val="none"/>
              </w:rPr>
            </w:pPr>
            <w:r>
              <w:rPr>
                <w:rFonts w:hint="eastAsia" w:ascii="宋体" w:hAnsi="宋体"/>
                <w:color w:val="auto"/>
                <w:szCs w:val="21"/>
                <w:highlight w:val="none"/>
              </w:rPr>
              <w:t>专业分包</w:t>
            </w:r>
          </w:p>
        </w:tc>
        <w:tc>
          <w:tcPr>
            <w:tcW w:w="5934" w:type="dxa"/>
            <w:tcBorders>
              <w:top w:val="single" w:color="auto" w:sz="4" w:space="0"/>
              <w:left w:val="single" w:color="auto" w:sz="4" w:space="0"/>
              <w:bottom w:val="single" w:color="auto" w:sz="4" w:space="0"/>
              <w:right w:val="double" w:color="auto" w:sz="4" w:space="0"/>
            </w:tcBorders>
            <w:vAlign w:val="center"/>
          </w:tcPr>
          <w:p w14:paraId="4CEB5723">
            <w:pPr>
              <w:rPr>
                <w:rFonts w:hint="eastAsia" w:ascii="宋体" w:hAnsi="宋体"/>
                <w:color w:val="auto"/>
                <w:kern w:val="0"/>
                <w:szCs w:val="21"/>
                <w:highlight w:val="none"/>
                <w:lang w:val="zh-CN"/>
              </w:rPr>
            </w:pPr>
            <w:r>
              <w:rPr>
                <w:rFonts w:hint="eastAsia" w:ascii="宋体" w:hAnsi="宋体"/>
                <w:color w:val="auto"/>
                <w:kern w:val="0"/>
                <w:szCs w:val="21"/>
                <w:highlight w:val="none"/>
                <w:lang w:val="zh-CN"/>
              </w:rPr>
              <w:t>□不允许；</w:t>
            </w:r>
          </w:p>
          <w:p w14:paraId="7B7AB7F9">
            <w:pPr>
              <w:rPr>
                <w:rFonts w:hint="eastAsia" w:ascii="宋体" w:hAnsi="宋体"/>
                <w:color w:val="auto"/>
                <w:kern w:val="0"/>
                <w:szCs w:val="21"/>
                <w:highlight w:val="none"/>
                <w:lang w:val="zh-CN"/>
              </w:rPr>
            </w:pPr>
            <w:r>
              <w:rPr>
                <w:rFonts w:hint="eastAsia" w:ascii="宋体" w:hAnsi="宋体"/>
                <w:color w:val="auto"/>
                <w:kern w:val="0"/>
                <w:szCs w:val="21"/>
                <w:highlight w:val="none"/>
                <w:lang w:val="zh-CN"/>
              </w:rPr>
              <w:sym w:font="Wingdings" w:char="00FE"/>
            </w:r>
            <w:r>
              <w:rPr>
                <w:rFonts w:hint="eastAsia" w:ascii="宋体" w:hAnsi="宋体"/>
                <w:color w:val="auto"/>
                <w:kern w:val="0"/>
                <w:szCs w:val="21"/>
                <w:highlight w:val="none"/>
                <w:lang w:val="zh-CN"/>
              </w:rPr>
              <w:t>允许：分包内容要求：</w:t>
            </w:r>
            <w:r>
              <w:rPr>
                <w:rFonts w:hint="eastAsia" w:ascii="宋体" w:hAnsi="宋体" w:cs="宋体"/>
                <w:color w:val="auto"/>
                <w:kern w:val="0"/>
                <w:szCs w:val="21"/>
                <w:highlight w:val="none"/>
                <w:u w:val="single"/>
                <w:lang w:val="zh-CN"/>
              </w:rPr>
              <w:t>中标人按照合同约定或者经招标人同意，可以将中标项目的部分非主体、非关键性工作分包给他人完成。</w:t>
            </w:r>
          </w:p>
          <w:p w14:paraId="2DF0B8A1">
            <w:pPr>
              <w:rPr>
                <w:rFonts w:hint="eastAsia" w:ascii="宋体" w:hAnsi="宋体"/>
                <w:color w:val="auto"/>
                <w:kern w:val="0"/>
                <w:szCs w:val="21"/>
                <w:highlight w:val="none"/>
                <w:lang w:val="zh-CN"/>
              </w:rPr>
            </w:pPr>
            <w:r>
              <w:rPr>
                <w:rFonts w:hint="eastAsia" w:ascii="宋体" w:hAnsi="宋体"/>
                <w:color w:val="auto"/>
                <w:kern w:val="0"/>
                <w:szCs w:val="21"/>
                <w:highlight w:val="none"/>
                <w:lang w:val="zh-CN"/>
              </w:rPr>
              <w:t xml:space="preserve">        分包金额要求：</w:t>
            </w:r>
            <w:r>
              <w:rPr>
                <w:rFonts w:hint="eastAsia" w:ascii="宋体" w:hAnsi="宋体" w:cs="宋体"/>
                <w:color w:val="auto"/>
                <w:kern w:val="0"/>
                <w:szCs w:val="21"/>
                <w:highlight w:val="none"/>
                <w:u w:val="single"/>
                <w:lang w:val="zh-CN"/>
              </w:rPr>
              <w:t>根据实际情况确定。</w:t>
            </w:r>
          </w:p>
          <w:p w14:paraId="06E7C4FE">
            <w:pPr>
              <w:rPr>
                <w:rFonts w:hint="eastAsia" w:ascii="宋体" w:hAnsi="宋体"/>
                <w:color w:val="auto"/>
                <w:kern w:val="0"/>
                <w:szCs w:val="21"/>
                <w:highlight w:val="none"/>
                <w:lang w:val="zh-CN"/>
              </w:rPr>
            </w:pPr>
            <w:r>
              <w:rPr>
                <w:rFonts w:hint="eastAsia" w:ascii="宋体" w:hAnsi="宋体"/>
                <w:color w:val="auto"/>
                <w:kern w:val="0"/>
                <w:szCs w:val="21"/>
                <w:highlight w:val="none"/>
                <w:lang w:val="zh-CN"/>
              </w:rPr>
              <w:t xml:space="preserve">        对分包人的资质要求：</w:t>
            </w:r>
            <w:r>
              <w:rPr>
                <w:rFonts w:hint="eastAsia" w:ascii="宋体" w:hAnsi="宋体" w:cs="宋体"/>
                <w:color w:val="auto"/>
                <w:kern w:val="0"/>
                <w:szCs w:val="21"/>
                <w:highlight w:val="none"/>
                <w:u w:val="single"/>
                <w:lang w:val="zh-CN"/>
              </w:rPr>
              <w:t>按国家资质管理规定执行。</w:t>
            </w:r>
          </w:p>
          <w:p w14:paraId="047D0936">
            <w:pPr>
              <w:pStyle w:val="5"/>
              <w:spacing w:after="0"/>
              <w:ind w:firstLine="0"/>
              <w:rPr>
                <w:rFonts w:hint="eastAsia" w:ascii="宋体" w:hAnsi="宋体"/>
                <w:color w:val="auto"/>
                <w:highlight w:val="none"/>
              </w:rPr>
            </w:pPr>
            <w:r>
              <w:rPr>
                <w:rFonts w:hint="eastAsia" w:ascii="宋体" w:hAnsi="宋体"/>
                <w:color w:val="auto"/>
                <w:kern w:val="0"/>
                <w:szCs w:val="21"/>
                <w:highlight w:val="none"/>
                <w:lang w:val="zh-CN"/>
              </w:rPr>
              <w:t xml:space="preserve">        对分包人的其他要求：</w:t>
            </w:r>
            <w:r>
              <w:rPr>
                <w:rFonts w:hint="eastAsia" w:ascii="宋体" w:hAnsi="宋体" w:eastAsia="宋体" w:cs="宋体"/>
                <w:color w:val="auto"/>
                <w:kern w:val="0"/>
                <w:szCs w:val="21"/>
                <w:highlight w:val="none"/>
                <w:u w:val="single"/>
                <w:lang w:val="zh-CN"/>
              </w:rPr>
              <w:t>符合有关法律法规和文件规定，并不得再次分包。分包单位资质报建设单位审批同意。</w:t>
            </w:r>
          </w:p>
        </w:tc>
      </w:tr>
      <w:tr w14:paraId="61F61E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trPr>
        <w:tc>
          <w:tcPr>
            <w:tcW w:w="702" w:type="dxa"/>
            <w:tcBorders>
              <w:top w:val="single" w:color="auto" w:sz="4" w:space="0"/>
              <w:left w:val="double" w:color="auto" w:sz="4" w:space="0"/>
              <w:bottom w:val="single" w:color="auto" w:sz="4" w:space="0"/>
              <w:right w:val="single" w:color="auto" w:sz="4" w:space="0"/>
            </w:tcBorders>
            <w:vAlign w:val="center"/>
          </w:tcPr>
          <w:p w14:paraId="15323327">
            <w:pPr>
              <w:jc w:val="center"/>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14:paraId="41E11198">
            <w:pPr>
              <w:rPr>
                <w:rFonts w:hint="eastAsia"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726CD76C">
            <w:pPr>
              <w:jc w:val="center"/>
              <w:rPr>
                <w:rFonts w:hint="eastAsia" w:ascii="宋体" w:hAnsi="宋体"/>
                <w:color w:val="auto"/>
                <w:szCs w:val="21"/>
                <w:highlight w:val="none"/>
              </w:rPr>
            </w:pPr>
            <w:r>
              <w:rPr>
                <w:rFonts w:hint="eastAsia" w:ascii="宋体" w:hAnsi="宋体"/>
                <w:color w:val="auto"/>
                <w:szCs w:val="21"/>
                <w:highlight w:val="none"/>
              </w:rPr>
              <w:t>最高投标限价</w:t>
            </w:r>
          </w:p>
        </w:tc>
        <w:tc>
          <w:tcPr>
            <w:tcW w:w="5934" w:type="dxa"/>
            <w:tcBorders>
              <w:top w:val="single" w:color="auto" w:sz="4" w:space="0"/>
              <w:left w:val="single" w:color="auto" w:sz="4" w:space="0"/>
              <w:bottom w:val="single" w:color="auto" w:sz="4" w:space="0"/>
              <w:right w:val="double" w:color="auto" w:sz="4" w:space="0"/>
            </w:tcBorders>
            <w:vAlign w:val="center"/>
          </w:tcPr>
          <w:p w14:paraId="549136F4">
            <w:pPr>
              <w:widowControl/>
              <w:jc w:val="left"/>
              <w:rPr>
                <w:rFonts w:hint="eastAsia" w:ascii="宋体" w:hAnsi="宋体"/>
                <w:color w:val="auto"/>
                <w:kern w:val="0"/>
                <w:szCs w:val="21"/>
                <w:highlight w:val="none"/>
                <w:lang w:val="zh-CN"/>
              </w:rPr>
            </w:pPr>
            <w:r>
              <w:rPr>
                <w:rFonts w:hint="eastAsia" w:ascii="宋体" w:hAnsi="宋体"/>
                <w:color w:val="auto"/>
                <w:highlight w:val="none"/>
              </w:rPr>
              <w:t>本项目</w:t>
            </w:r>
            <w:r>
              <w:rPr>
                <w:rFonts w:hint="eastAsia" w:ascii="宋体" w:hAnsi="宋体" w:cs="宋体"/>
                <w:bCs/>
                <w:color w:val="auto"/>
                <w:kern w:val="0"/>
                <w:szCs w:val="21"/>
                <w:highlight w:val="none"/>
              </w:rPr>
              <w:t>最高</w:t>
            </w:r>
            <w:r>
              <w:rPr>
                <w:rFonts w:hint="eastAsia" w:ascii="宋体" w:hAnsi="宋体"/>
                <w:color w:val="auto"/>
                <w:highlight w:val="none"/>
              </w:rPr>
              <w:t>投标限价为人民币</w:t>
            </w:r>
            <w:r>
              <w:rPr>
                <w:rFonts w:hint="eastAsia" w:ascii="宋体" w:hAnsi="宋体"/>
                <w:color w:val="auto"/>
                <w:highlight w:val="none"/>
                <w:u w:val="single"/>
                <w:lang w:eastAsia="zh-CN"/>
              </w:rPr>
              <w:t xml:space="preserve">31160712.17 </w:t>
            </w:r>
            <w:r>
              <w:rPr>
                <w:rFonts w:hint="eastAsia" w:ascii="宋体" w:hAnsi="宋体"/>
                <w:color w:val="auto"/>
                <w:highlight w:val="none"/>
              </w:rPr>
              <w:t>元。详见本项目</w:t>
            </w:r>
            <w:r>
              <w:rPr>
                <w:rFonts w:hint="eastAsia" w:ascii="宋体" w:hAnsi="宋体"/>
                <w:color w:val="auto"/>
                <w:highlight w:val="none"/>
                <w:lang w:eastAsia="zh-CN"/>
              </w:rPr>
              <w:t>最高投标限价公布函</w:t>
            </w:r>
            <w:r>
              <w:rPr>
                <w:rFonts w:hint="eastAsia" w:ascii="宋体" w:hAnsi="宋体"/>
                <w:color w:val="auto"/>
                <w:highlight w:val="none"/>
              </w:rPr>
              <w:t>。</w:t>
            </w:r>
          </w:p>
        </w:tc>
      </w:tr>
      <w:tr w14:paraId="2E0168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14:paraId="39EC031C">
            <w:pPr>
              <w:jc w:val="center"/>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14:paraId="2E4024F6">
            <w:pPr>
              <w:rPr>
                <w:rFonts w:hint="eastAsia"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6DD6B866">
            <w:pPr>
              <w:jc w:val="center"/>
              <w:rPr>
                <w:rFonts w:hint="eastAsia" w:ascii="宋体" w:hAnsi="宋体"/>
                <w:color w:val="auto"/>
                <w:szCs w:val="21"/>
                <w:highlight w:val="none"/>
              </w:rPr>
            </w:pPr>
            <w:r>
              <w:rPr>
                <w:rFonts w:hint="eastAsia" w:ascii="宋体" w:hAnsi="宋体"/>
                <w:color w:val="auto"/>
                <w:szCs w:val="21"/>
                <w:highlight w:val="none"/>
              </w:rPr>
              <w:t>非竞争费用</w:t>
            </w:r>
          </w:p>
        </w:tc>
        <w:tc>
          <w:tcPr>
            <w:tcW w:w="5934" w:type="dxa"/>
            <w:tcBorders>
              <w:top w:val="single" w:color="auto" w:sz="4" w:space="0"/>
              <w:left w:val="single" w:color="auto" w:sz="4" w:space="0"/>
              <w:bottom w:val="single" w:color="auto" w:sz="4" w:space="0"/>
              <w:right w:val="double" w:color="auto" w:sz="4" w:space="0"/>
            </w:tcBorders>
            <w:vAlign w:val="center"/>
          </w:tcPr>
          <w:p w14:paraId="616D0263">
            <w:pPr>
              <w:rPr>
                <w:rFonts w:hint="eastAsia" w:ascii="宋体" w:hAnsi="宋体"/>
                <w:color w:val="auto"/>
                <w:szCs w:val="21"/>
                <w:highlight w:val="none"/>
              </w:rPr>
            </w:pPr>
            <w:r>
              <w:rPr>
                <w:rFonts w:hint="eastAsia" w:ascii="宋体" w:hAnsi="宋体"/>
                <w:color w:val="auto"/>
                <w:szCs w:val="21"/>
                <w:highlight w:val="none"/>
              </w:rPr>
              <w:t>本项目绿色施工安全防护措施费为</w:t>
            </w:r>
            <w:r>
              <w:rPr>
                <w:rFonts w:hint="eastAsia" w:ascii="宋体" w:hAnsi="宋体"/>
                <w:color w:val="auto"/>
                <w:szCs w:val="21"/>
                <w:highlight w:val="none"/>
                <w:u w:val="single"/>
                <w:lang w:eastAsia="zh-CN"/>
              </w:rPr>
              <w:t>872119.73</w:t>
            </w:r>
            <w:r>
              <w:rPr>
                <w:rFonts w:hint="eastAsia" w:ascii="宋体" w:hAnsi="宋体"/>
                <w:color w:val="auto"/>
                <w:szCs w:val="21"/>
                <w:highlight w:val="none"/>
              </w:rPr>
              <w:t>元，暂列金额为</w:t>
            </w:r>
            <w:r>
              <w:rPr>
                <w:rFonts w:ascii="宋体" w:hAnsi="宋体"/>
                <w:color w:val="auto"/>
                <w:szCs w:val="21"/>
                <w:highlight w:val="none"/>
                <w:u w:val="single"/>
              </w:rPr>
              <w:t xml:space="preserve">    </w:t>
            </w:r>
            <w:r>
              <w:rPr>
                <w:rFonts w:hint="eastAsia" w:ascii="宋体" w:hAnsi="宋体"/>
                <w:color w:val="auto"/>
                <w:szCs w:val="21"/>
                <w:highlight w:val="none"/>
                <w:u w:val="single"/>
              </w:rPr>
              <w:t>0</w:t>
            </w:r>
            <w:r>
              <w:rPr>
                <w:rFonts w:hint="eastAsia" w:ascii="宋体" w:hAnsi="宋体"/>
                <w:color w:val="auto"/>
                <w:szCs w:val="21"/>
                <w:highlight w:val="none"/>
              </w:rPr>
              <w:t>元，暂估价为</w:t>
            </w:r>
            <w:r>
              <w:rPr>
                <w:rFonts w:hint="eastAsia" w:ascii="宋体" w:hAnsi="宋体"/>
                <w:color w:val="auto"/>
                <w:szCs w:val="21"/>
                <w:highlight w:val="none"/>
                <w:u w:val="single"/>
                <w:lang w:eastAsia="zh-CN"/>
              </w:rPr>
              <w:t>231540.00</w:t>
            </w:r>
            <w:r>
              <w:rPr>
                <w:rFonts w:hint="eastAsia" w:ascii="宋体" w:hAnsi="宋体"/>
                <w:color w:val="auto"/>
                <w:szCs w:val="21"/>
                <w:highlight w:val="none"/>
              </w:rPr>
              <w:t>元。（未按招标文件规定的金额填写的，由评标委员会按照招标文件规定的金额进行修正）</w:t>
            </w:r>
          </w:p>
        </w:tc>
      </w:tr>
      <w:tr w14:paraId="6CCBEA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14:paraId="06FFD89E">
            <w:pPr>
              <w:jc w:val="center"/>
              <w:rPr>
                <w:rFonts w:hint="eastAsia" w:ascii="宋体" w:hAnsi="宋体"/>
                <w:color w:val="auto"/>
                <w:szCs w:val="21"/>
                <w:highlight w:val="none"/>
              </w:rPr>
            </w:pPr>
            <w:r>
              <w:rPr>
                <w:rFonts w:hint="eastAsia" w:ascii="宋体" w:hAnsi="宋体"/>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14:paraId="2025C83E">
            <w:pPr>
              <w:rPr>
                <w:rFonts w:hint="eastAsia"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647FB7C1">
            <w:pPr>
              <w:pStyle w:val="5"/>
              <w:ind w:firstLine="0"/>
              <w:jc w:val="center"/>
              <w:rPr>
                <w:rFonts w:hint="eastAsia" w:ascii="宋体" w:hAnsi="宋体"/>
                <w:color w:val="auto"/>
                <w:szCs w:val="21"/>
                <w:highlight w:val="none"/>
              </w:rPr>
            </w:pPr>
            <w:r>
              <w:rPr>
                <w:rFonts w:hint="eastAsia" w:ascii="宋体" w:hAnsi="宋体"/>
                <w:color w:val="auto"/>
                <w:szCs w:val="21"/>
                <w:highlight w:val="none"/>
              </w:rPr>
              <w:t>保修期</w:t>
            </w:r>
          </w:p>
        </w:tc>
        <w:tc>
          <w:tcPr>
            <w:tcW w:w="5934" w:type="dxa"/>
            <w:tcBorders>
              <w:top w:val="single" w:color="auto" w:sz="4" w:space="0"/>
              <w:left w:val="single" w:color="auto" w:sz="4" w:space="0"/>
              <w:bottom w:val="single" w:color="auto" w:sz="4" w:space="0"/>
              <w:right w:val="double" w:color="auto" w:sz="4" w:space="0"/>
            </w:tcBorders>
            <w:vAlign w:val="center"/>
          </w:tcPr>
          <w:p w14:paraId="12B96106">
            <w:pPr>
              <w:rPr>
                <w:rFonts w:hint="eastAsia" w:ascii="宋体" w:hAnsi="宋体"/>
                <w:color w:val="auto"/>
                <w:szCs w:val="21"/>
                <w:highlight w:val="none"/>
              </w:rPr>
            </w:pPr>
            <w:r>
              <w:rPr>
                <w:rFonts w:hint="eastAsia" w:ascii="宋体" w:hAnsi="宋体"/>
                <w:color w:val="auto"/>
                <w:szCs w:val="21"/>
                <w:highlight w:val="none"/>
              </w:rPr>
              <w:t>按照《建设工程质量管理条例》和《工程质量保修书》规定。</w:t>
            </w:r>
          </w:p>
        </w:tc>
      </w:tr>
      <w:tr w14:paraId="7D7232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6601B9A7">
            <w:pPr>
              <w:jc w:val="center"/>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14:paraId="6B3C3739">
            <w:pPr>
              <w:rPr>
                <w:rFonts w:hint="eastAsia"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001F73B5">
            <w:pPr>
              <w:jc w:val="center"/>
              <w:rPr>
                <w:rFonts w:hint="eastAsia" w:ascii="宋体" w:hAnsi="宋体"/>
                <w:color w:val="auto"/>
                <w:szCs w:val="21"/>
                <w:highlight w:val="none"/>
              </w:rPr>
            </w:pPr>
            <w:r>
              <w:rPr>
                <w:rFonts w:hint="eastAsia" w:ascii="宋体" w:hAnsi="宋体"/>
                <w:color w:val="auto"/>
                <w:szCs w:val="21"/>
                <w:highlight w:val="none"/>
              </w:rPr>
              <w:t>计算评标参考价的等分点值</w:t>
            </w:r>
          </w:p>
        </w:tc>
        <w:tc>
          <w:tcPr>
            <w:tcW w:w="5934" w:type="dxa"/>
            <w:tcBorders>
              <w:top w:val="single" w:color="auto" w:sz="4" w:space="0"/>
              <w:left w:val="single" w:color="auto" w:sz="4" w:space="0"/>
              <w:bottom w:val="single" w:color="auto" w:sz="4" w:space="0"/>
              <w:right w:val="double" w:color="auto" w:sz="4" w:space="0"/>
            </w:tcBorders>
            <w:vAlign w:val="center"/>
          </w:tcPr>
          <w:p w14:paraId="51A68CBE">
            <w:pPr>
              <w:rPr>
                <w:rFonts w:hint="eastAsia" w:ascii="宋体" w:hAnsi="宋体"/>
                <w:color w:val="auto"/>
                <w:szCs w:val="21"/>
                <w:highlight w:val="none"/>
              </w:rPr>
            </w:pPr>
            <w:r>
              <w:rPr>
                <w:rFonts w:hint="eastAsia" w:ascii="宋体" w:hAnsi="宋体"/>
                <w:color w:val="auto"/>
                <w:szCs w:val="21"/>
                <w:highlight w:val="none"/>
              </w:rPr>
              <w:t>计算评标参考价的等分点值</w:t>
            </w:r>
            <w:r>
              <w:rPr>
                <w:rFonts w:ascii="宋体" w:hAnsi="宋体"/>
                <w:color w:val="auto"/>
                <w:szCs w:val="21"/>
                <w:highlight w:val="none"/>
              </w:rPr>
              <w:t>X</w:t>
            </w:r>
            <w:r>
              <w:rPr>
                <w:rFonts w:hint="eastAsia" w:ascii="宋体" w:hAnsi="宋体"/>
                <w:color w:val="auto"/>
                <w:szCs w:val="21"/>
                <w:highlight w:val="none"/>
              </w:rPr>
              <w:t>在开标时从[0,100]</w:t>
            </w:r>
            <w:r>
              <w:rPr>
                <w:rFonts w:hint="eastAsia" w:ascii="宋体" w:hAnsi="宋体"/>
                <w:color w:val="auto"/>
                <w:highlight w:val="none"/>
              </w:rPr>
              <w:t xml:space="preserve"> </w:t>
            </w:r>
            <w:r>
              <w:rPr>
                <w:rFonts w:hint="eastAsia" w:ascii="宋体" w:hAnsi="宋体"/>
                <w:color w:val="auto"/>
                <w:szCs w:val="21"/>
                <w:highlight w:val="none"/>
              </w:rPr>
              <w:t>的整数中随机抽取。</w:t>
            </w:r>
          </w:p>
        </w:tc>
      </w:tr>
      <w:tr w14:paraId="130078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2103CE44">
            <w:pPr>
              <w:jc w:val="center"/>
              <w:rPr>
                <w:rFonts w:hint="eastAsia" w:ascii="宋体" w:hAnsi="宋体"/>
                <w:color w:val="auto"/>
                <w:szCs w:val="21"/>
                <w:highlight w:val="none"/>
              </w:rPr>
            </w:pPr>
            <w:r>
              <w:rPr>
                <w:rFonts w:hint="eastAsia" w:ascii="宋体" w:hAnsi="宋体"/>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14:paraId="2A0CD980">
            <w:pPr>
              <w:ind w:firstLine="458"/>
              <w:rPr>
                <w:rFonts w:hint="eastAsia"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4A00D253">
            <w:pPr>
              <w:jc w:val="center"/>
              <w:rPr>
                <w:rFonts w:hint="eastAsia" w:ascii="宋体" w:hAnsi="宋体"/>
                <w:color w:val="auto"/>
                <w:szCs w:val="21"/>
                <w:highlight w:val="none"/>
              </w:rPr>
            </w:pPr>
            <w:r>
              <w:rPr>
                <w:rFonts w:hint="eastAsia" w:ascii="宋体" w:hAnsi="宋体"/>
                <w:color w:val="auto"/>
                <w:szCs w:val="21"/>
                <w:highlight w:val="none"/>
              </w:rPr>
              <w:t>进入第二阶段评审的家数</w:t>
            </w:r>
          </w:p>
        </w:tc>
        <w:tc>
          <w:tcPr>
            <w:tcW w:w="5934" w:type="dxa"/>
            <w:tcBorders>
              <w:top w:val="single" w:color="auto" w:sz="4" w:space="0"/>
              <w:left w:val="single" w:color="auto" w:sz="4" w:space="0"/>
              <w:bottom w:val="single" w:color="auto" w:sz="4" w:space="0"/>
              <w:right w:val="double" w:color="auto" w:sz="4" w:space="0"/>
            </w:tcBorders>
            <w:vAlign w:val="center"/>
          </w:tcPr>
          <w:p w14:paraId="1865C342">
            <w:pPr>
              <w:rPr>
                <w:rFonts w:hint="eastAsia" w:ascii="宋体" w:hAnsi="宋体"/>
                <w:color w:val="auto"/>
                <w:szCs w:val="21"/>
                <w:highlight w:val="none"/>
              </w:rPr>
            </w:pPr>
            <w:r>
              <w:rPr>
                <w:rFonts w:hint="eastAsia" w:ascii="宋体" w:hAnsi="宋体" w:cs="宋体"/>
                <w:color w:val="auto"/>
                <w:szCs w:val="21"/>
                <w:highlight w:val="none"/>
              </w:rPr>
              <w:t>本款不适用。</w:t>
            </w:r>
          </w:p>
        </w:tc>
      </w:tr>
      <w:tr w14:paraId="7C497A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41B587C">
            <w:pPr>
              <w:jc w:val="center"/>
              <w:rPr>
                <w:rFonts w:hint="eastAsia" w:ascii="宋体" w:hAnsi="宋体"/>
                <w:color w:val="auto"/>
                <w:szCs w:val="21"/>
                <w:highlight w:val="none"/>
              </w:rPr>
            </w:pPr>
            <w:r>
              <w:rPr>
                <w:rFonts w:hint="eastAsia" w:ascii="宋体" w:hAnsi="宋体"/>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14:paraId="781E574C">
            <w:pPr>
              <w:rPr>
                <w:rFonts w:hint="eastAsia"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3F07FF09">
            <w:pPr>
              <w:jc w:val="center"/>
              <w:rPr>
                <w:rFonts w:hint="eastAsia" w:ascii="宋体" w:hAnsi="宋体"/>
                <w:color w:val="auto"/>
                <w:szCs w:val="21"/>
                <w:highlight w:val="none"/>
              </w:rPr>
            </w:pPr>
            <w:r>
              <w:rPr>
                <w:rFonts w:hint="eastAsia" w:ascii="宋体" w:hAnsi="宋体"/>
                <w:color w:val="auto"/>
                <w:szCs w:val="21"/>
                <w:highlight w:val="none"/>
              </w:rPr>
              <w:t>工程成本警示价</w:t>
            </w:r>
          </w:p>
        </w:tc>
        <w:tc>
          <w:tcPr>
            <w:tcW w:w="5934" w:type="dxa"/>
            <w:tcBorders>
              <w:top w:val="single" w:color="auto" w:sz="4" w:space="0"/>
              <w:left w:val="single" w:color="auto" w:sz="4" w:space="0"/>
              <w:bottom w:val="single" w:color="auto" w:sz="4" w:space="0"/>
              <w:right w:val="double" w:color="auto" w:sz="4" w:space="0"/>
            </w:tcBorders>
            <w:vAlign w:val="center"/>
          </w:tcPr>
          <w:p w14:paraId="30CFE2FF">
            <w:pPr>
              <w:rPr>
                <w:rFonts w:hint="eastAsia" w:ascii="宋体" w:hAnsi="宋体"/>
                <w:color w:val="auto"/>
                <w:szCs w:val="21"/>
                <w:highlight w:val="none"/>
              </w:rPr>
            </w:pPr>
            <w:r>
              <w:rPr>
                <w:rFonts w:hint="eastAsia" w:ascii="宋体" w:hAnsi="宋体"/>
                <w:color w:val="auto"/>
                <w:szCs w:val="21"/>
                <w:highlight w:val="none"/>
              </w:rPr>
              <w:t>工程成本警示价为</w:t>
            </w:r>
            <w:r>
              <w:rPr>
                <w:rFonts w:hint="eastAsia" w:ascii="宋体" w:hAnsi="宋体"/>
                <w:color w:val="auto"/>
                <w:szCs w:val="21"/>
                <w:highlight w:val="none"/>
                <w:u w:val="single"/>
                <w:lang w:eastAsia="zh-CN"/>
              </w:rPr>
              <w:t>29602676.56</w:t>
            </w:r>
            <w:r>
              <w:rPr>
                <w:rFonts w:hint="eastAsia" w:ascii="宋体" w:hAnsi="宋体"/>
                <w:color w:val="auto"/>
                <w:szCs w:val="21"/>
                <w:highlight w:val="none"/>
              </w:rPr>
              <w:t>元</w:t>
            </w:r>
            <w:r>
              <w:rPr>
                <w:rFonts w:hint="eastAsia" w:ascii="宋体" w:hAnsi="宋体" w:cs="宋体"/>
                <w:b/>
                <w:bCs/>
                <w:color w:val="auto"/>
                <w:szCs w:val="21"/>
                <w:highlight w:val="none"/>
                <w:u w:val="single"/>
              </w:rPr>
              <w:t>(最高投标限价的95%设置为工程成本警戒价)</w:t>
            </w:r>
            <w:r>
              <w:rPr>
                <w:rFonts w:hint="eastAsia" w:ascii="宋体" w:hAnsi="宋体"/>
                <w:color w:val="auto"/>
                <w:szCs w:val="21"/>
                <w:highlight w:val="none"/>
              </w:rPr>
              <w:t>。对低于该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32442B9A">
            <w:pPr>
              <w:rPr>
                <w:rFonts w:hint="eastAsia" w:ascii="宋体" w:hAnsi="宋体"/>
                <w:color w:val="auto"/>
                <w:szCs w:val="21"/>
                <w:highlight w:val="none"/>
                <w:u w:val="single"/>
              </w:rPr>
            </w:pPr>
            <w:r>
              <w:rPr>
                <w:rFonts w:hint="eastAsia" w:ascii="楷体" w:hAnsi="楷体" w:eastAsia="楷体" w:cs="楷体"/>
                <w:color w:val="auto"/>
                <w:szCs w:val="21"/>
                <w:highlight w:val="none"/>
              </w:rPr>
              <w:t>注：为充分体现招标人意愿及落实项目招标人负责制，警示价由招标人确定，并随招标文件一并公布。对于合并招标项目，应按项目分别设置成本警示价。</w:t>
            </w:r>
          </w:p>
        </w:tc>
      </w:tr>
      <w:tr w14:paraId="769D50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29DC2D06">
            <w:pPr>
              <w:jc w:val="center"/>
              <w:rPr>
                <w:rFonts w:hint="eastAsia" w:ascii="宋体" w:hAnsi="宋体"/>
                <w:color w:val="auto"/>
                <w:szCs w:val="21"/>
                <w:highlight w:val="none"/>
              </w:rPr>
            </w:pPr>
            <w:r>
              <w:rPr>
                <w:rFonts w:hint="eastAsia" w:ascii="宋体" w:hAnsi="宋体"/>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14:paraId="7EB81305">
            <w:pPr>
              <w:rPr>
                <w:rFonts w:hint="eastAsia"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76BEB0D5">
            <w:pPr>
              <w:jc w:val="center"/>
              <w:rPr>
                <w:rFonts w:hint="eastAsia" w:ascii="宋体" w:hAnsi="宋体"/>
                <w:color w:val="auto"/>
                <w:szCs w:val="21"/>
                <w:highlight w:val="none"/>
              </w:rPr>
            </w:pPr>
            <w:r>
              <w:rPr>
                <w:rFonts w:hint="eastAsia" w:ascii="宋体" w:hAnsi="宋体"/>
                <w:color w:val="auto"/>
                <w:szCs w:val="21"/>
                <w:highlight w:val="none"/>
              </w:rPr>
              <w:t>第一阶段各分值的权重</w:t>
            </w:r>
          </w:p>
        </w:tc>
        <w:tc>
          <w:tcPr>
            <w:tcW w:w="5934" w:type="dxa"/>
            <w:tcBorders>
              <w:top w:val="single" w:color="auto" w:sz="4" w:space="0"/>
              <w:left w:val="single" w:color="auto" w:sz="4" w:space="0"/>
              <w:bottom w:val="single" w:color="auto" w:sz="4" w:space="0"/>
              <w:right w:val="double" w:color="auto" w:sz="4" w:space="0"/>
            </w:tcBorders>
            <w:vAlign w:val="center"/>
          </w:tcPr>
          <w:p w14:paraId="0C92CBB3">
            <w:pPr>
              <w:rPr>
                <w:rFonts w:hint="eastAsia" w:ascii="宋体" w:hAnsi="宋体"/>
                <w:color w:val="auto"/>
                <w:szCs w:val="21"/>
                <w:highlight w:val="none"/>
              </w:rPr>
            </w:pPr>
            <w:r>
              <w:rPr>
                <w:rFonts w:hint="eastAsia" w:ascii="宋体" w:hAnsi="宋体" w:cs="宋体"/>
                <w:color w:val="auto"/>
                <w:szCs w:val="21"/>
                <w:highlight w:val="none"/>
              </w:rPr>
              <w:t>本款不适用。</w:t>
            </w:r>
          </w:p>
        </w:tc>
      </w:tr>
      <w:tr w14:paraId="6AD20C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0C1E24EA">
            <w:pPr>
              <w:jc w:val="center"/>
              <w:rPr>
                <w:rFonts w:hint="eastAsia" w:ascii="宋体" w:hAnsi="宋体"/>
                <w:color w:val="auto"/>
                <w:szCs w:val="21"/>
                <w:highlight w:val="none"/>
              </w:rPr>
            </w:pPr>
            <w:r>
              <w:rPr>
                <w:rFonts w:hint="eastAsia" w:ascii="宋体" w:hAnsi="宋体"/>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14:paraId="7B7AEC90">
            <w:pPr>
              <w:rPr>
                <w:rFonts w:hint="eastAsia"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35D23C0F">
            <w:pPr>
              <w:jc w:val="center"/>
              <w:rPr>
                <w:rFonts w:hint="eastAsia" w:ascii="宋体" w:hAnsi="宋体"/>
                <w:color w:val="auto"/>
                <w:szCs w:val="21"/>
                <w:highlight w:val="none"/>
              </w:rPr>
            </w:pPr>
            <w:r>
              <w:rPr>
                <w:rFonts w:hint="eastAsia" w:ascii="宋体" w:hAnsi="宋体"/>
                <w:color w:val="auto"/>
                <w:szCs w:val="21"/>
                <w:highlight w:val="none"/>
              </w:rPr>
              <w:t>评标委员会人数</w:t>
            </w:r>
          </w:p>
        </w:tc>
        <w:tc>
          <w:tcPr>
            <w:tcW w:w="5934" w:type="dxa"/>
            <w:tcBorders>
              <w:top w:val="single" w:color="auto" w:sz="4" w:space="0"/>
              <w:left w:val="single" w:color="auto" w:sz="4" w:space="0"/>
              <w:bottom w:val="single" w:color="auto" w:sz="4" w:space="0"/>
              <w:right w:val="double" w:color="auto" w:sz="4" w:space="0"/>
            </w:tcBorders>
            <w:vAlign w:val="center"/>
          </w:tcPr>
          <w:p w14:paraId="5D56ED14">
            <w:pPr>
              <w:rPr>
                <w:rFonts w:hint="eastAsia" w:ascii="宋体" w:hAnsi="宋体"/>
                <w:color w:val="auto"/>
                <w:szCs w:val="21"/>
                <w:highlight w:val="none"/>
              </w:rPr>
            </w:pPr>
            <w:r>
              <w:rPr>
                <w:rFonts w:hint="eastAsia" w:ascii="宋体" w:hAnsi="宋体" w:eastAsia="宋体" w:cs="Times New Roman"/>
                <w:color w:val="auto"/>
                <w:szCs w:val="21"/>
                <w:highlight w:val="none"/>
                <w:u w:val="single"/>
              </w:rPr>
              <w:t>评标委员会由招标人依法组建（评标委员会总人数为9名，其中，招标人代表3名，从广东省综合评标评审专家库随机抽取6名专家。）</w:t>
            </w:r>
          </w:p>
        </w:tc>
      </w:tr>
      <w:tr w14:paraId="7EC7EC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7273A9B">
            <w:pPr>
              <w:jc w:val="center"/>
              <w:rPr>
                <w:rFonts w:hint="eastAsia" w:ascii="宋体" w:hAnsi="宋体"/>
                <w:color w:val="auto"/>
                <w:szCs w:val="21"/>
                <w:highlight w:val="none"/>
              </w:rPr>
            </w:pPr>
            <w:r>
              <w:rPr>
                <w:rFonts w:hint="eastAsia" w:ascii="宋体" w:hAnsi="宋体"/>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14:paraId="57001B35">
            <w:pPr>
              <w:rPr>
                <w:rFonts w:hint="eastAsia"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3A20A45C">
            <w:pPr>
              <w:jc w:val="center"/>
              <w:rPr>
                <w:rFonts w:hint="eastAsia" w:ascii="宋体" w:hAnsi="宋体"/>
                <w:color w:val="auto"/>
                <w:szCs w:val="21"/>
                <w:highlight w:val="none"/>
              </w:rPr>
            </w:pPr>
            <w:r>
              <w:rPr>
                <w:rFonts w:hint="eastAsia" w:ascii="宋体" w:hAnsi="宋体"/>
                <w:color w:val="auto"/>
                <w:szCs w:val="21"/>
                <w:highlight w:val="none"/>
              </w:rPr>
              <w:t>企业信用评价分数</w:t>
            </w:r>
          </w:p>
        </w:tc>
        <w:tc>
          <w:tcPr>
            <w:tcW w:w="5934" w:type="dxa"/>
            <w:tcBorders>
              <w:top w:val="single" w:color="auto" w:sz="4" w:space="0"/>
              <w:left w:val="single" w:color="auto" w:sz="4" w:space="0"/>
              <w:bottom w:val="single" w:color="auto" w:sz="4" w:space="0"/>
              <w:right w:val="double" w:color="auto" w:sz="4" w:space="0"/>
            </w:tcBorders>
            <w:vAlign w:val="center"/>
          </w:tcPr>
          <w:p w14:paraId="114E2AAD">
            <w:pPr>
              <w:pStyle w:val="2"/>
              <w:ind w:firstLine="0"/>
              <w:rPr>
                <w:color w:val="auto"/>
                <w:highlight w:val="none"/>
              </w:rPr>
            </w:pPr>
            <w:r>
              <w:rPr>
                <w:rFonts w:hint="eastAsia" w:ascii="宋体" w:hAnsi="宋体"/>
                <w:color w:val="auto"/>
                <w:szCs w:val="21"/>
                <w:highlight w:val="none"/>
                <w:u w:val="single"/>
              </w:rPr>
              <w:t>本条不适用。</w:t>
            </w:r>
          </w:p>
        </w:tc>
      </w:tr>
      <w:tr w14:paraId="40DA14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56D1E9D9">
            <w:pPr>
              <w:jc w:val="center"/>
              <w:rPr>
                <w:rFonts w:hint="eastAsia" w:ascii="宋体" w:hAnsi="宋体"/>
                <w:color w:val="auto"/>
                <w:szCs w:val="21"/>
                <w:highlight w:val="none"/>
              </w:rPr>
            </w:pPr>
            <w:r>
              <w:rPr>
                <w:rFonts w:hint="eastAsia" w:ascii="宋体" w:hAnsi="宋体"/>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14:paraId="4E0505EB">
            <w:pPr>
              <w:ind w:firstLine="458"/>
              <w:rPr>
                <w:rFonts w:hint="eastAsia"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31C0EB47">
            <w:pPr>
              <w:jc w:val="center"/>
              <w:rPr>
                <w:rFonts w:hint="eastAsia" w:ascii="宋体" w:hAnsi="宋体"/>
                <w:color w:val="auto"/>
                <w:szCs w:val="21"/>
                <w:highlight w:val="none"/>
              </w:rPr>
            </w:pPr>
            <w:r>
              <w:rPr>
                <w:rFonts w:hint="eastAsia" w:ascii="宋体" w:hAnsi="宋体"/>
                <w:color w:val="auto"/>
                <w:szCs w:val="21"/>
                <w:highlight w:val="none"/>
              </w:rPr>
              <w:t>第二阶段投标人名次的排序方法（适用于办法一、办法二）</w:t>
            </w:r>
          </w:p>
        </w:tc>
        <w:tc>
          <w:tcPr>
            <w:tcW w:w="5934" w:type="dxa"/>
            <w:tcBorders>
              <w:top w:val="single" w:color="auto" w:sz="4" w:space="0"/>
              <w:left w:val="single" w:color="auto" w:sz="4" w:space="0"/>
              <w:bottom w:val="single" w:color="auto" w:sz="4" w:space="0"/>
              <w:right w:val="double" w:color="auto" w:sz="4" w:space="0"/>
            </w:tcBorders>
            <w:vAlign w:val="center"/>
          </w:tcPr>
          <w:p w14:paraId="510ED3A4">
            <w:pPr>
              <w:rPr>
                <w:rFonts w:hint="eastAsia" w:ascii="宋体" w:hAnsi="宋体"/>
                <w:color w:val="auto"/>
                <w:szCs w:val="21"/>
                <w:highlight w:val="none"/>
              </w:rPr>
            </w:pPr>
            <w:r>
              <w:rPr>
                <w:rFonts w:hint="eastAsia" w:ascii="宋体" w:hAnsi="宋体"/>
                <w:color w:val="auto"/>
                <w:szCs w:val="21"/>
                <w:highlight w:val="none"/>
                <w:u w:val="single"/>
              </w:rPr>
              <w:t>本条不适用。</w:t>
            </w:r>
          </w:p>
        </w:tc>
      </w:tr>
      <w:tr w14:paraId="2FFD01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093FBF31">
            <w:pPr>
              <w:jc w:val="center"/>
              <w:rPr>
                <w:rFonts w:hint="eastAsia" w:ascii="宋体" w:hAnsi="宋体"/>
                <w:color w:val="auto"/>
                <w:szCs w:val="21"/>
                <w:highlight w:val="none"/>
              </w:rPr>
            </w:pPr>
            <w:r>
              <w:rPr>
                <w:rFonts w:hint="eastAsia" w:ascii="宋体" w:hAnsi="宋体"/>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14:paraId="6D96826E">
            <w:pPr>
              <w:ind w:firstLine="458"/>
              <w:rPr>
                <w:rFonts w:hint="eastAsia"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4216A8AD">
            <w:pPr>
              <w:jc w:val="center"/>
              <w:rPr>
                <w:rFonts w:hint="eastAsia" w:ascii="宋体" w:hAnsi="宋体"/>
                <w:color w:val="auto"/>
                <w:szCs w:val="21"/>
                <w:highlight w:val="none"/>
              </w:rPr>
            </w:pPr>
            <w:r>
              <w:rPr>
                <w:rFonts w:hint="eastAsia" w:ascii="宋体" w:hAnsi="宋体"/>
                <w:color w:val="auto"/>
                <w:szCs w:val="21"/>
                <w:highlight w:val="none"/>
              </w:rPr>
              <w:t>经济分相同情况下的排序方法（适用于办法三、办法四）</w:t>
            </w:r>
          </w:p>
        </w:tc>
        <w:tc>
          <w:tcPr>
            <w:tcW w:w="5934" w:type="dxa"/>
            <w:tcBorders>
              <w:top w:val="single" w:color="auto" w:sz="4" w:space="0"/>
              <w:left w:val="single" w:color="auto" w:sz="4" w:space="0"/>
              <w:bottom w:val="single" w:color="auto" w:sz="4" w:space="0"/>
              <w:right w:val="double" w:color="auto" w:sz="4" w:space="0"/>
            </w:tcBorders>
            <w:vAlign w:val="center"/>
          </w:tcPr>
          <w:p w14:paraId="7A51D248">
            <w:pPr>
              <w:rPr>
                <w:rFonts w:hint="eastAsia" w:ascii="宋体" w:hAnsi="宋体"/>
                <w:color w:val="auto"/>
                <w:szCs w:val="21"/>
                <w:highlight w:val="none"/>
              </w:rPr>
            </w:pPr>
            <w:r>
              <w:rPr>
                <w:rFonts w:hint="eastAsia" w:ascii="宋体" w:hAnsi="宋体"/>
                <w:color w:val="auto"/>
                <w:szCs w:val="21"/>
                <w:highlight w:val="none"/>
                <w:u w:val="single"/>
              </w:rPr>
              <w:t>本条不适用。</w:t>
            </w:r>
          </w:p>
        </w:tc>
      </w:tr>
      <w:tr w14:paraId="4D2B64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82B9FF7">
            <w:pPr>
              <w:jc w:val="center"/>
              <w:rPr>
                <w:rFonts w:hint="eastAsia" w:ascii="宋体" w:hAnsi="宋体"/>
                <w:color w:val="auto"/>
                <w:szCs w:val="21"/>
                <w:highlight w:val="none"/>
              </w:rPr>
            </w:pPr>
            <w:r>
              <w:rPr>
                <w:rFonts w:hint="eastAsia" w:ascii="宋体" w:hAnsi="宋体"/>
                <w:color w:val="auto"/>
                <w:szCs w:val="21"/>
                <w:highlight w:val="none"/>
              </w:rPr>
              <w:t>34</w:t>
            </w:r>
          </w:p>
        </w:tc>
        <w:tc>
          <w:tcPr>
            <w:tcW w:w="981" w:type="dxa"/>
            <w:tcBorders>
              <w:top w:val="single" w:color="auto" w:sz="4" w:space="0"/>
              <w:left w:val="single" w:color="auto" w:sz="4" w:space="0"/>
              <w:bottom w:val="single" w:color="auto" w:sz="4" w:space="0"/>
              <w:right w:val="single" w:color="auto" w:sz="4" w:space="0"/>
            </w:tcBorders>
            <w:vAlign w:val="center"/>
          </w:tcPr>
          <w:p w14:paraId="5CA48E83">
            <w:pPr>
              <w:ind w:firstLine="458"/>
              <w:rPr>
                <w:rFonts w:hint="eastAsia"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2FFC11E1">
            <w:pPr>
              <w:jc w:val="center"/>
              <w:rPr>
                <w:rFonts w:hint="eastAsia" w:ascii="宋体" w:hAnsi="宋体"/>
                <w:color w:val="auto"/>
                <w:szCs w:val="21"/>
                <w:highlight w:val="none"/>
              </w:rPr>
            </w:pPr>
            <w:r>
              <w:rPr>
                <w:rFonts w:hint="eastAsia" w:ascii="宋体" w:hAnsi="宋体"/>
                <w:color w:val="auto"/>
                <w:szCs w:val="21"/>
                <w:highlight w:val="none"/>
              </w:rPr>
              <w:t>第二阶段投标人名次的排序方法（适用于办法五、办法六）</w:t>
            </w:r>
          </w:p>
        </w:tc>
        <w:tc>
          <w:tcPr>
            <w:tcW w:w="5934" w:type="dxa"/>
            <w:tcBorders>
              <w:top w:val="single" w:color="auto" w:sz="4" w:space="0"/>
              <w:left w:val="single" w:color="auto" w:sz="4" w:space="0"/>
              <w:bottom w:val="single" w:color="auto" w:sz="4" w:space="0"/>
              <w:right w:val="double" w:color="auto" w:sz="4" w:space="0"/>
            </w:tcBorders>
            <w:vAlign w:val="center"/>
          </w:tcPr>
          <w:p w14:paraId="5854ED95">
            <w:pPr>
              <w:rPr>
                <w:rFonts w:hint="eastAsia" w:ascii="宋体" w:hAnsi="宋体"/>
                <w:color w:val="auto"/>
                <w:szCs w:val="21"/>
                <w:highlight w:val="none"/>
              </w:rPr>
            </w:pPr>
            <w:r>
              <w:rPr>
                <w:rFonts w:hint="eastAsia" w:ascii="宋体" w:hAnsi="宋体" w:cs="宋体"/>
                <w:color w:val="auto"/>
                <w:szCs w:val="21"/>
                <w:highlight w:val="none"/>
              </w:rPr>
              <w:t>本款不适用。</w:t>
            </w:r>
          </w:p>
        </w:tc>
      </w:tr>
      <w:tr w14:paraId="061830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4A9B797">
            <w:pPr>
              <w:jc w:val="center"/>
              <w:rPr>
                <w:rFonts w:hint="eastAsia" w:ascii="宋体" w:hAnsi="宋体"/>
                <w:color w:val="auto"/>
                <w:szCs w:val="21"/>
                <w:highlight w:val="none"/>
              </w:rPr>
            </w:pPr>
            <w:r>
              <w:rPr>
                <w:rFonts w:hint="eastAsia" w:ascii="宋体" w:hAnsi="宋体"/>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14:paraId="4DF4DB2B">
            <w:pPr>
              <w:rPr>
                <w:rFonts w:hint="eastAsia"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1733" w:type="dxa"/>
            <w:tcBorders>
              <w:top w:val="single" w:color="auto" w:sz="4" w:space="0"/>
              <w:left w:val="single" w:color="auto" w:sz="4" w:space="0"/>
              <w:bottom w:val="single" w:color="auto" w:sz="4" w:space="0"/>
              <w:right w:val="single" w:color="auto" w:sz="4" w:space="0"/>
            </w:tcBorders>
            <w:vAlign w:val="center"/>
          </w:tcPr>
          <w:p w14:paraId="4588ED1E">
            <w:pPr>
              <w:jc w:val="center"/>
              <w:rPr>
                <w:rFonts w:hint="eastAsia" w:ascii="宋体" w:hAnsi="宋体"/>
                <w:color w:val="auto"/>
                <w:szCs w:val="21"/>
                <w:highlight w:val="none"/>
              </w:rPr>
            </w:pPr>
            <w:r>
              <w:rPr>
                <w:rFonts w:hint="eastAsia" w:ascii="宋体" w:hAnsi="宋体"/>
                <w:color w:val="auto"/>
                <w:szCs w:val="21"/>
                <w:highlight w:val="none"/>
              </w:rPr>
              <w:t>合同价款的调整办法</w:t>
            </w:r>
          </w:p>
        </w:tc>
        <w:tc>
          <w:tcPr>
            <w:tcW w:w="5934" w:type="dxa"/>
            <w:tcBorders>
              <w:top w:val="single" w:color="auto" w:sz="4" w:space="0"/>
              <w:left w:val="single" w:color="auto" w:sz="4" w:space="0"/>
              <w:bottom w:val="single" w:color="auto" w:sz="4" w:space="0"/>
              <w:right w:val="double" w:color="auto" w:sz="4" w:space="0"/>
            </w:tcBorders>
            <w:vAlign w:val="center"/>
          </w:tcPr>
          <w:p w14:paraId="30FD7257">
            <w:pPr>
              <w:rPr>
                <w:rFonts w:hint="eastAsia" w:ascii="宋体" w:hAnsi="宋体"/>
                <w:color w:val="auto"/>
                <w:szCs w:val="21"/>
                <w:highlight w:val="none"/>
                <w:u w:val="single"/>
              </w:rPr>
            </w:pPr>
            <w:r>
              <w:rPr>
                <w:rFonts w:hint="eastAsia" w:ascii="宋体" w:hAnsi="宋体" w:cs="宋体"/>
                <w:bCs/>
                <w:color w:val="auto"/>
                <w:szCs w:val="21"/>
                <w:highlight w:val="none"/>
                <w:u w:val="single"/>
              </w:rPr>
              <w:t>按招标文件及合同条款相关约定调整。</w:t>
            </w:r>
          </w:p>
        </w:tc>
      </w:tr>
      <w:tr w14:paraId="6CD3C0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6901B264">
            <w:pPr>
              <w:jc w:val="center"/>
              <w:rPr>
                <w:rFonts w:hint="eastAsia" w:ascii="宋体" w:hAnsi="宋体"/>
                <w:color w:val="auto"/>
                <w:szCs w:val="21"/>
                <w:highlight w:val="none"/>
              </w:rPr>
            </w:pPr>
            <w:r>
              <w:rPr>
                <w:rFonts w:hint="eastAsia" w:ascii="宋体" w:hAnsi="宋体"/>
                <w:color w:val="auto"/>
                <w:szCs w:val="21"/>
                <w:highlight w:val="none"/>
              </w:rPr>
              <w:t>36</w:t>
            </w:r>
          </w:p>
        </w:tc>
        <w:tc>
          <w:tcPr>
            <w:tcW w:w="981" w:type="dxa"/>
            <w:tcBorders>
              <w:top w:val="single" w:color="auto" w:sz="4" w:space="0"/>
              <w:left w:val="single" w:color="auto" w:sz="4" w:space="0"/>
              <w:bottom w:val="single" w:color="auto" w:sz="4" w:space="0"/>
              <w:right w:val="single" w:color="auto" w:sz="4" w:space="0"/>
            </w:tcBorders>
            <w:vAlign w:val="center"/>
          </w:tcPr>
          <w:p w14:paraId="01259DEB">
            <w:pPr>
              <w:rPr>
                <w:rFonts w:hint="eastAsia"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1B27EFF4">
            <w:pPr>
              <w:jc w:val="center"/>
              <w:rPr>
                <w:rFonts w:hint="eastAsia" w:ascii="宋体" w:hAnsi="宋体"/>
                <w:color w:val="auto"/>
                <w:szCs w:val="21"/>
                <w:highlight w:val="none"/>
              </w:rPr>
            </w:pPr>
            <w:r>
              <w:rPr>
                <w:rFonts w:hint="eastAsia" w:ascii="宋体" w:hAnsi="宋体"/>
                <w:color w:val="auto"/>
                <w:kern w:val="0"/>
                <w:szCs w:val="21"/>
                <w:highlight w:val="none"/>
                <w:lang w:val="zh-CN"/>
              </w:rPr>
              <w:t>建设工程质量检测单位</w:t>
            </w:r>
          </w:p>
        </w:tc>
        <w:tc>
          <w:tcPr>
            <w:tcW w:w="5934" w:type="dxa"/>
            <w:tcBorders>
              <w:top w:val="single" w:color="auto" w:sz="4" w:space="0"/>
              <w:left w:val="single" w:color="auto" w:sz="4" w:space="0"/>
              <w:bottom w:val="single" w:color="auto" w:sz="4" w:space="0"/>
              <w:right w:val="double" w:color="auto" w:sz="4" w:space="0"/>
            </w:tcBorders>
            <w:vAlign w:val="center"/>
          </w:tcPr>
          <w:p w14:paraId="662D243A">
            <w:pPr>
              <w:rPr>
                <w:rFonts w:hint="eastAsia" w:ascii="宋体" w:hAnsi="宋体"/>
                <w:color w:val="auto"/>
                <w:kern w:val="0"/>
                <w:szCs w:val="21"/>
                <w:highlight w:val="none"/>
                <w:lang w:val="zh-CN"/>
              </w:rPr>
            </w:pPr>
            <w:r>
              <w:rPr>
                <w:rFonts w:hint="eastAsia" w:ascii="宋体" w:hAnsi="宋体"/>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7229B2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28A787C">
            <w:pPr>
              <w:jc w:val="center"/>
              <w:rPr>
                <w:rFonts w:hint="eastAsia" w:ascii="宋体" w:hAnsi="宋体"/>
                <w:color w:val="auto"/>
                <w:szCs w:val="21"/>
                <w:highlight w:val="none"/>
              </w:rPr>
            </w:pPr>
            <w:r>
              <w:rPr>
                <w:rFonts w:hint="eastAsia" w:ascii="宋体" w:hAnsi="宋体"/>
                <w:color w:val="auto"/>
                <w:szCs w:val="21"/>
                <w:highlight w:val="none"/>
              </w:rPr>
              <w:t>37</w:t>
            </w:r>
          </w:p>
        </w:tc>
        <w:tc>
          <w:tcPr>
            <w:tcW w:w="981" w:type="dxa"/>
            <w:tcBorders>
              <w:top w:val="single" w:color="auto" w:sz="4" w:space="0"/>
              <w:left w:val="single" w:color="auto" w:sz="4" w:space="0"/>
              <w:bottom w:val="single" w:color="auto" w:sz="4" w:space="0"/>
              <w:right w:val="single" w:color="auto" w:sz="4" w:space="0"/>
            </w:tcBorders>
            <w:vAlign w:val="center"/>
          </w:tcPr>
          <w:p w14:paraId="653CE0D2">
            <w:pPr>
              <w:jc w:val="center"/>
              <w:rPr>
                <w:rFonts w:hint="eastAsia" w:ascii="宋体" w:hAnsi="宋体"/>
                <w:color w:val="auto"/>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6B89C5D5">
            <w:pPr>
              <w:jc w:val="center"/>
              <w:rPr>
                <w:rFonts w:hint="eastAsia" w:ascii="宋体" w:hAnsi="宋体"/>
                <w:color w:val="auto"/>
                <w:highlight w:val="none"/>
              </w:rPr>
            </w:pPr>
            <w:r>
              <w:rPr>
                <w:rFonts w:hint="eastAsia" w:ascii="宋体" w:hAnsi="宋体"/>
                <w:color w:val="auto"/>
                <w:highlight w:val="none"/>
              </w:rPr>
              <w:t>电子招标投标解密失败及突发情况的补救</w:t>
            </w:r>
          </w:p>
        </w:tc>
        <w:tc>
          <w:tcPr>
            <w:tcW w:w="5934" w:type="dxa"/>
            <w:tcBorders>
              <w:top w:val="single" w:color="auto" w:sz="4" w:space="0"/>
              <w:left w:val="single" w:color="auto" w:sz="4" w:space="0"/>
              <w:bottom w:val="single" w:color="auto" w:sz="4" w:space="0"/>
              <w:right w:val="double" w:color="auto" w:sz="4" w:space="0"/>
            </w:tcBorders>
            <w:vAlign w:val="center"/>
          </w:tcPr>
          <w:p w14:paraId="1F776BA6">
            <w:pPr>
              <w:rPr>
                <w:rFonts w:hint="eastAsia" w:ascii="宋体" w:hAnsi="宋体" w:cs="Courier New"/>
                <w:color w:val="auto"/>
                <w:szCs w:val="21"/>
                <w:highlight w:val="none"/>
              </w:rPr>
            </w:pPr>
            <w:r>
              <w:rPr>
                <w:rFonts w:hint="eastAsia" w:ascii="宋体" w:hAnsi="宋体" w:cs="Courier New"/>
                <w:color w:val="auto"/>
                <w:szCs w:val="21"/>
                <w:highlight w:val="none"/>
              </w:rPr>
              <w:t xml:space="preserve">1、按照交易平台关于全流程电子化项目的相关指南进行操作。详见：广州交易集团有限公司（广州公共资源交易中心）网站。  </w:t>
            </w:r>
          </w:p>
          <w:p w14:paraId="43698F1A">
            <w:pPr>
              <w:rPr>
                <w:rFonts w:hint="eastAsia" w:ascii="宋体" w:hAnsi="宋体" w:cs="Courier New"/>
                <w:color w:val="auto"/>
                <w:szCs w:val="21"/>
                <w:highlight w:val="none"/>
              </w:rPr>
            </w:pPr>
            <w:r>
              <w:rPr>
                <w:rFonts w:hint="eastAsia" w:ascii="宋体" w:hAnsi="宋体" w:cs="Courier New"/>
                <w:color w:val="auto"/>
                <w:szCs w:val="21"/>
                <w:highlight w:val="none"/>
              </w:rPr>
              <w:t>2、提交投标文件光盘备用</w:t>
            </w:r>
          </w:p>
          <w:p w14:paraId="43A3C371">
            <w:pPr>
              <w:rPr>
                <w:rFonts w:hint="eastAsia"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7C8DAE93">
            <w:pPr>
              <w:rPr>
                <w:rFonts w:hint="eastAsia" w:ascii="宋体" w:hAnsi="宋体" w:cs="Courier New"/>
                <w:color w:val="auto"/>
                <w:szCs w:val="21"/>
                <w:highlight w:val="none"/>
              </w:rPr>
            </w:pPr>
            <w:r>
              <w:rPr>
                <w:rFonts w:hint="eastAsia" w:ascii="宋体" w:hAnsi="宋体" w:cs="Courier New"/>
                <w:color w:val="auto"/>
                <w:szCs w:val="21"/>
                <w:highlight w:val="none"/>
              </w:rPr>
              <w:t xml:space="preserve"> 3、补救方案</w:t>
            </w:r>
          </w:p>
          <w:p w14:paraId="626F2626">
            <w:pPr>
              <w:rPr>
                <w:rFonts w:hint="eastAsia"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14:paraId="5D177D9C">
            <w:pPr>
              <w:rPr>
                <w:rFonts w:hint="eastAsia"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693AA289">
            <w:pPr>
              <w:rPr>
                <w:rFonts w:hint="eastAsia" w:ascii="宋体" w:hAnsi="宋体" w:cs="Courier New"/>
                <w:color w:val="auto"/>
                <w:szCs w:val="21"/>
                <w:highlight w:val="none"/>
              </w:rPr>
            </w:pPr>
            <w:r>
              <w:rPr>
                <w:rFonts w:hint="eastAsia" w:ascii="宋体" w:hAnsi="宋体" w:cs="Courier New"/>
                <w:color w:val="auto"/>
                <w:szCs w:val="21"/>
                <w:highlight w:val="none"/>
              </w:rPr>
              <w:t>（2）评标时突发情况的补救方案</w:t>
            </w:r>
          </w:p>
          <w:p w14:paraId="097A4BF2">
            <w:pPr>
              <w:rPr>
                <w:rFonts w:hint="eastAsia"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若遇不可抗力发生（指网络瘫痪、服务器损坏、交易系统故障短期无法恢复等因素），由评标委员会开启投标人递交的全部投标文件光盘，并按光盘内容进行评审。</w:t>
            </w:r>
          </w:p>
          <w:p w14:paraId="33C04527">
            <w:pPr>
              <w:rPr>
                <w:rFonts w:hint="eastAsia" w:ascii="宋体" w:hAnsi="宋体" w:cs="Courier New"/>
                <w:color w:val="auto"/>
                <w:szCs w:val="21"/>
                <w:highlight w:val="none"/>
              </w:rPr>
            </w:pPr>
            <w:r>
              <w:rPr>
                <w:rFonts w:hint="eastAsia" w:ascii="宋体" w:hAnsi="宋体" w:cs="Courier New"/>
                <w:color w:val="auto"/>
                <w:szCs w:val="21"/>
                <w:highlight w:val="none"/>
              </w:rPr>
              <w:t>（3）除发生上述情况外，开标评标均以投标人通过交易平台网上递交的电子投标文件为准。</w:t>
            </w:r>
          </w:p>
        </w:tc>
      </w:tr>
      <w:tr w14:paraId="6FCF40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44B291DA">
            <w:pPr>
              <w:jc w:val="center"/>
              <w:rPr>
                <w:rFonts w:hint="eastAsia" w:ascii="宋体" w:hAnsi="宋体"/>
                <w:color w:val="auto"/>
                <w:szCs w:val="21"/>
                <w:highlight w:val="none"/>
              </w:rPr>
            </w:pPr>
            <w:r>
              <w:rPr>
                <w:rFonts w:hint="eastAsia" w:ascii="宋体" w:hAnsi="宋体"/>
                <w:color w:val="auto"/>
                <w:szCs w:val="21"/>
                <w:highlight w:val="none"/>
              </w:rPr>
              <w:t>38</w:t>
            </w:r>
          </w:p>
        </w:tc>
        <w:tc>
          <w:tcPr>
            <w:tcW w:w="981" w:type="dxa"/>
            <w:tcBorders>
              <w:top w:val="single" w:color="auto" w:sz="4" w:space="0"/>
              <w:left w:val="single" w:color="auto" w:sz="4" w:space="0"/>
              <w:bottom w:val="single" w:color="auto" w:sz="4" w:space="0"/>
              <w:right w:val="single" w:color="auto" w:sz="4" w:space="0"/>
            </w:tcBorders>
            <w:vAlign w:val="center"/>
          </w:tcPr>
          <w:p w14:paraId="119223A7">
            <w:pPr>
              <w:jc w:val="center"/>
              <w:rPr>
                <w:rFonts w:hint="eastAsia" w:ascii="宋体" w:hAnsi="宋体"/>
                <w:color w:val="auto"/>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2E6E6DC6">
            <w:pPr>
              <w:jc w:val="center"/>
              <w:rPr>
                <w:rFonts w:hint="eastAsia" w:ascii="宋体" w:hAnsi="宋体"/>
                <w:color w:val="auto"/>
                <w:highlight w:val="none"/>
              </w:rPr>
            </w:pPr>
            <w:r>
              <w:rPr>
                <w:rFonts w:hint="eastAsia" w:ascii="宋体" w:hAnsi="宋体" w:cs="Courier New"/>
                <w:color w:val="auto"/>
                <w:szCs w:val="21"/>
                <w:highlight w:val="none"/>
              </w:rPr>
              <w:t>招标人对中标人参与“百千万工程”的具体要求</w:t>
            </w:r>
          </w:p>
        </w:tc>
        <w:tc>
          <w:tcPr>
            <w:tcW w:w="5934" w:type="dxa"/>
            <w:tcBorders>
              <w:top w:val="single" w:color="auto" w:sz="4" w:space="0"/>
              <w:left w:val="single" w:color="auto" w:sz="4" w:space="0"/>
              <w:bottom w:val="single" w:color="auto" w:sz="4" w:space="0"/>
              <w:right w:val="double" w:color="auto" w:sz="4" w:space="0"/>
            </w:tcBorders>
            <w:vAlign w:val="center"/>
          </w:tcPr>
          <w:p w14:paraId="5D760FEE">
            <w:pPr>
              <w:rPr>
                <w:rFonts w:hint="eastAsia" w:ascii="宋体" w:hAnsi="宋体" w:cs="Courier New"/>
                <w:color w:val="auto"/>
                <w:szCs w:val="21"/>
                <w:highlight w:val="none"/>
              </w:rPr>
            </w:pPr>
            <w:r>
              <w:rPr>
                <w:rFonts w:hint="eastAsia" w:ascii="宋体" w:hAnsi="宋体" w:cs="Courier New"/>
                <w:color w:val="auto"/>
                <w:szCs w:val="21"/>
                <w:highlight w:val="none"/>
              </w:rPr>
              <w:sym w:font="Wingdings" w:char="00FE"/>
            </w:r>
            <w:r>
              <w:rPr>
                <w:rFonts w:hint="eastAsia" w:ascii="宋体" w:hAnsi="宋体" w:cs="Courier New"/>
                <w:color w:val="auto"/>
                <w:szCs w:val="21"/>
                <w:highlight w:val="none"/>
              </w:rPr>
              <w:t>具体要求在中标后按照投标承诺和招标人的要求执行。</w:t>
            </w:r>
          </w:p>
          <w:p w14:paraId="154E16D9">
            <w:pPr>
              <w:rPr>
                <w:rFonts w:hint="eastAsia" w:ascii="宋体" w:hAnsi="宋体" w:cs="Courier New"/>
                <w:color w:val="auto"/>
                <w:szCs w:val="21"/>
                <w:highlight w:val="none"/>
              </w:rPr>
            </w:pPr>
            <w:r>
              <w:rPr>
                <w:rFonts w:hint="eastAsia" w:ascii="宋体" w:hAnsi="宋体" w:cs="Courier New"/>
                <w:color w:val="auto"/>
                <w:szCs w:val="21"/>
                <w:highlight w:val="none"/>
              </w:rPr>
              <w:t>□具体要求：（由招标人填写）</w:t>
            </w:r>
          </w:p>
        </w:tc>
      </w:tr>
      <w:tr w14:paraId="4E5ECA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7CDEB54C">
            <w:pPr>
              <w:jc w:val="center"/>
              <w:rPr>
                <w:rFonts w:hint="eastAsia" w:ascii="宋体" w:hAnsi="宋体"/>
                <w:color w:val="auto"/>
                <w:szCs w:val="21"/>
                <w:highlight w:val="none"/>
              </w:rPr>
            </w:pPr>
            <w:r>
              <w:rPr>
                <w:rFonts w:hint="eastAsia" w:ascii="宋体" w:hAnsi="宋体"/>
                <w:color w:val="auto"/>
                <w:szCs w:val="21"/>
                <w:highlight w:val="none"/>
              </w:rPr>
              <w:t>39</w:t>
            </w:r>
          </w:p>
        </w:tc>
        <w:tc>
          <w:tcPr>
            <w:tcW w:w="981" w:type="dxa"/>
            <w:tcBorders>
              <w:top w:val="single" w:color="auto" w:sz="4" w:space="0"/>
              <w:left w:val="single" w:color="auto" w:sz="4" w:space="0"/>
              <w:bottom w:val="single" w:color="auto" w:sz="4" w:space="0"/>
              <w:right w:val="single" w:color="auto" w:sz="4" w:space="0"/>
            </w:tcBorders>
            <w:vAlign w:val="center"/>
          </w:tcPr>
          <w:p w14:paraId="06DE1D9F">
            <w:pPr>
              <w:jc w:val="center"/>
              <w:rPr>
                <w:rFonts w:hint="eastAsia" w:ascii="宋体" w:hAnsi="宋体"/>
                <w:color w:val="auto"/>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12231DBA">
            <w:pPr>
              <w:jc w:val="center"/>
              <w:rPr>
                <w:rFonts w:hint="eastAsia" w:ascii="宋体" w:hAnsi="宋体" w:cs="Courier New"/>
                <w:color w:val="auto"/>
                <w:szCs w:val="21"/>
                <w:highlight w:val="none"/>
              </w:rPr>
            </w:pPr>
            <w:r>
              <w:rPr>
                <w:rFonts w:hint="eastAsia" w:ascii="宋体" w:hAnsi="宋体" w:cs="Courier New"/>
                <w:color w:val="auto"/>
                <w:szCs w:val="21"/>
                <w:highlight w:val="none"/>
              </w:rPr>
              <w:t>其他</w:t>
            </w:r>
          </w:p>
        </w:tc>
        <w:tc>
          <w:tcPr>
            <w:tcW w:w="5934" w:type="dxa"/>
            <w:tcBorders>
              <w:top w:val="single" w:color="auto" w:sz="4" w:space="0"/>
              <w:left w:val="single" w:color="auto" w:sz="4" w:space="0"/>
              <w:bottom w:val="single" w:color="auto" w:sz="4" w:space="0"/>
              <w:right w:val="double" w:color="auto" w:sz="4" w:space="0"/>
            </w:tcBorders>
            <w:vAlign w:val="center"/>
          </w:tcPr>
          <w:p w14:paraId="68382E8D">
            <w:pPr>
              <w:rPr>
                <w:rFonts w:hint="eastAsia" w:ascii="宋体" w:hAnsi="宋体" w:cs="Courier New"/>
                <w:color w:val="auto"/>
                <w:szCs w:val="21"/>
                <w:highlight w:val="none"/>
              </w:rPr>
            </w:pPr>
            <w:r>
              <w:rPr>
                <w:rFonts w:hint="eastAsia" w:ascii="宋体" w:hAnsi="宋体" w:cs="Courier New"/>
                <w:color w:val="auto"/>
                <w:szCs w:val="21"/>
                <w:highlight w:val="none"/>
              </w:rPr>
              <w:t>各级住建主管部门审批的资质证书过期的，如能提供有关顺延资质资格有效期有关文件且符合文件规定的，则视为仍然有效。</w:t>
            </w:r>
          </w:p>
        </w:tc>
      </w:tr>
      <w:tr w14:paraId="5358EB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14:paraId="257B994B">
            <w:pPr>
              <w:jc w:val="center"/>
              <w:rPr>
                <w:rFonts w:hint="eastAsia" w:ascii="宋体" w:hAnsi="宋体"/>
                <w:color w:val="auto"/>
                <w:szCs w:val="21"/>
                <w:highlight w:val="none"/>
              </w:rPr>
            </w:pPr>
            <w:r>
              <w:rPr>
                <w:rFonts w:hint="eastAsia" w:ascii="宋体" w:hAnsi="宋体"/>
                <w:color w:val="auto"/>
                <w:szCs w:val="21"/>
                <w:highlight w:val="none"/>
              </w:rPr>
              <w:t>40</w:t>
            </w:r>
          </w:p>
        </w:tc>
        <w:tc>
          <w:tcPr>
            <w:tcW w:w="981" w:type="dxa"/>
            <w:tcBorders>
              <w:top w:val="single" w:color="auto" w:sz="4" w:space="0"/>
              <w:left w:val="single" w:color="auto" w:sz="4" w:space="0"/>
              <w:bottom w:val="double" w:color="auto" w:sz="4" w:space="0"/>
              <w:right w:val="single" w:color="auto" w:sz="4" w:space="0"/>
            </w:tcBorders>
            <w:vAlign w:val="center"/>
          </w:tcPr>
          <w:p w14:paraId="11B489EC">
            <w:pPr>
              <w:jc w:val="center"/>
              <w:rPr>
                <w:rFonts w:hint="eastAsia" w:ascii="宋体" w:hAnsi="宋体"/>
                <w:color w:val="auto"/>
                <w:highlight w:val="none"/>
              </w:rPr>
            </w:pPr>
          </w:p>
        </w:tc>
        <w:tc>
          <w:tcPr>
            <w:tcW w:w="1733" w:type="dxa"/>
            <w:tcBorders>
              <w:top w:val="single" w:color="auto" w:sz="4" w:space="0"/>
              <w:left w:val="single" w:color="auto" w:sz="4" w:space="0"/>
              <w:bottom w:val="double" w:color="auto" w:sz="4" w:space="0"/>
              <w:right w:val="single" w:color="auto" w:sz="4" w:space="0"/>
            </w:tcBorders>
            <w:vAlign w:val="center"/>
          </w:tcPr>
          <w:p w14:paraId="561BD4A3">
            <w:pPr>
              <w:jc w:val="center"/>
              <w:rPr>
                <w:rFonts w:hint="eastAsia" w:ascii="宋体" w:hAnsi="宋体" w:cs="Courier New"/>
                <w:color w:val="auto"/>
                <w:szCs w:val="21"/>
                <w:highlight w:val="none"/>
              </w:rPr>
            </w:pPr>
            <w:r>
              <w:rPr>
                <w:rFonts w:hint="eastAsia" w:ascii="宋体" w:hAnsi="宋体" w:cs="Courier New"/>
                <w:color w:val="auto"/>
                <w:szCs w:val="21"/>
                <w:highlight w:val="none"/>
              </w:rPr>
              <w:t>其他费用</w:t>
            </w:r>
          </w:p>
        </w:tc>
        <w:tc>
          <w:tcPr>
            <w:tcW w:w="5934" w:type="dxa"/>
            <w:tcBorders>
              <w:top w:val="single" w:color="auto" w:sz="4" w:space="0"/>
              <w:left w:val="single" w:color="auto" w:sz="4" w:space="0"/>
              <w:bottom w:val="double" w:color="auto" w:sz="4" w:space="0"/>
              <w:right w:val="double" w:color="auto" w:sz="4" w:space="0"/>
            </w:tcBorders>
            <w:vAlign w:val="center"/>
          </w:tcPr>
          <w:p w14:paraId="04B94A02">
            <w:pPr>
              <w:rPr>
                <w:rFonts w:hint="eastAsia" w:ascii="宋体" w:hAnsi="宋体" w:cs="Courier New"/>
                <w:color w:val="auto"/>
                <w:szCs w:val="21"/>
                <w:highlight w:val="none"/>
              </w:rPr>
            </w:pPr>
            <w:r>
              <w:rPr>
                <w:rFonts w:hint="eastAsia" w:ascii="宋体" w:hAnsi="宋体" w:cs="Courier New"/>
                <w:color w:val="auto"/>
                <w:szCs w:val="21"/>
                <w:highlight w:val="none"/>
              </w:rPr>
              <w:t>交易服务费：根据广州市政府相关文件的规定，向广州交易集团有限公司（广州公共资源交易中心）交纳交易服务费。</w:t>
            </w:r>
          </w:p>
        </w:tc>
      </w:tr>
    </w:tbl>
    <w:p w14:paraId="15520666">
      <w:pPr>
        <w:pStyle w:val="7"/>
        <w:rPr>
          <w:color w:val="auto"/>
          <w:highlight w:val="none"/>
        </w:rPr>
      </w:pPr>
      <w:r>
        <w:rPr>
          <w:color w:val="auto"/>
          <w:highlight w:val="none"/>
        </w:rPr>
        <w:br w:type="page"/>
      </w:r>
      <w:bookmarkStart w:id="9" w:name="_Toc25354"/>
      <w:bookmarkStart w:id="10" w:name="_Toc28760"/>
      <w:bookmarkStart w:id="11" w:name="_Toc2272547"/>
      <w:bookmarkStart w:id="12" w:name="_Toc21525491"/>
      <w:r>
        <w:rPr>
          <w:rStyle w:val="61"/>
          <w:rFonts w:hint="eastAsia"/>
          <w:b/>
          <w:color w:val="auto"/>
          <w:highlight w:val="none"/>
        </w:rPr>
        <w:t>二、投标须知修改表</w:t>
      </w:r>
      <w:bookmarkEnd w:id="9"/>
      <w:bookmarkEnd w:id="10"/>
      <w:bookmarkEnd w:id="11"/>
      <w:bookmarkEnd w:id="12"/>
    </w:p>
    <w:p w14:paraId="06CC400A">
      <w:pPr>
        <w:pStyle w:val="5"/>
        <w:rPr>
          <w:b/>
          <w:color w:val="auto"/>
          <w:szCs w:val="21"/>
          <w:highlight w:val="none"/>
        </w:rPr>
      </w:pPr>
      <w:r>
        <w:rPr>
          <w:rFonts w:hint="eastAsia"/>
          <w:b/>
          <w:color w:val="auto"/>
          <w:szCs w:val="21"/>
          <w:highlight w:val="none"/>
        </w:rPr>
        <w:t>声明：本投标须知使用招标文件范本的投标须知通用条款，与该通用条款不同之处，均在本表中列明，并以现文为准，原文不再有效。</w:t>
      </w:r>
      <w:r>
        <w:rPr>
          <w:rFonts w:hint="eastAsia" w:ascii="宋体" w:hAnsi="宋体"/>
          <w:bCs/>
          <w:color w:val="auto"/>
          <w:szCs w:val="21"/>
          <w:highlight w:val="none"/>
        </w:rPr>
        <w:t>（注：招标人按《投标须知修改表》修改的内容对应修改通用条款，属于删除的采用“</w:t>
      </w:r>
      <w:r>
        <w:rPr>
          <w:rFonts w:hint="eastAsia" w:ascii="宋体" w:hAnsi="宋体"/>
          <w:bCs/>
          <w:strike/>
          <w:color w:val="auto"/>
          <w:szCs w:val="21"/>
          <w:highlight w:val="none"/>
        </w:rPr>
        <w:t xml:space="preserve">   </w:t>
      </w:r>
      <w:r>
        <w:rPr>
          <w:rFonts w:hint="eastAsia" w:ascii="宋体" w:hAnsi="宋体"/>
          <w:bCs/>
          <w:color w:val="auto"/>
          <w:szCs w:val="21"/>
          <w:highlight w:val="none"/>
        </w:rPr>
        <w:t>”表示，如“</w:t>
      </w:r>
      <w:r>
        <w:rPr>
          <w:rFonts w:hint="eastAsia" w:ascii="宋体" w:hAnsi="宋体"/>
          <w:bCs/>
          <w:strike/>
          <w:color w:val="auto"/>
          <w:szCs w:val="21"/>
          <w:highlight w:val="none"/>
        </w:rPr>
        <w:t>删除</w:t>
      </w:r>
      <w:r>
        <w:rPr>
          <w:rFonts w:hint="eastAsia" w:ascii="宋体" w:hAnsi="宋体"/>
          <w:bCs/>
          <w:color w:val="auto"/>
          <w:szCs w:val="21"/>
          <w:highlight w:val="none"/>
        </w:rPr>
        <w:t>”；属于新增、修改的内容，用</w:t>
      </w:r>
      <w:r>
        <w:rPr>
          <w:rFonts w:hint="eastAsia" w:ascii="宋体" w:hAnsi="宋体"/>
          <w:b/>
          <w:color w:val="auto"/>
          <w:szCs w:val="21"/>
          <w:highlight w:val="none"/>
        </w:rPr>
        <w:t>黑色加粗</w:t>
      </w:r>
      <w:r>
        <w:rPr>
          <w:rFonts w:hint="eastAsia" w:ascii="宋体" w:hAnsi="宋体"/>
          <w:bCs/>
          <w:color w:val="auto"/>
          <w:szCs w:val="21"/>
          <w:highlight w:val="none"/>
        </w:rPr>
        <w:t>字体显示,并加注下划线，如“</w:t>
      </w:r>
      <w:r>
        <w:rPr>
          <w:rFonts w:hint="eastAsia" w:ascii="宋体" w:hAnsi="宋体"/>
          <w:b/>
          <w:color w:val="auto"/>
          <w:szCs w:val="21"/>
          <w:highlight w:val="none"/>
          <w:u w:val="single"/>
        </w:rPr>
        <w:t>新增修改</w:t>
      </w:r>
      <w:r>
        <w:rPr>
          <w:rFonts w:hint="eastAsia" w:ascii="宋体" w:hAnsi="宋体"/>
          <w:bCs/>
          <w:color w:val="auto"/>
          <w:szCs w:val="21"/>
          <w:highlight w:val="none"/>
        </w:rPr>
        <w:t>”。</w:t>
      </w:r>
      <w:r>
        <w:rPr>
          <w:rFonts w:hint="eastAsia" w:ascii="宋体" w:hAnsi="宋体"/>
          <w:bCs/>
          <w:color w:val="auto"/>
          <w:sz w:val="24"/>
          <w:szCs w:val="24"/>
          <w:highlight w:val="none"/>
        </w:rPr>
        <w:t>）</w:t>
      </w:r>
    </w:p>
    <w:p w14:paraId="64C16FF6">
      <w:pPr>
        <w:spacing w:line="480" w:lineRule="auto"/>
        <w:ind w:firstLine="540" w:firstLineChars="224"/>
        <w:rPr>
          <w:b/>
          <w:color w:val="auto"/>
          <w:sz w:val="24"/>
          <w:szCs w:val="24"/>
          <w:highlight w:val="none"/>
        </w:rPr>
      </w:pPr>
      <w:r>
        <w:rPr>
          <w:rFonts w:hint="eastAsia"/>
          <w:b/>
          <w:color w:val="auto"/>
          <w:sz w:val="24"/>
          <w:szCs w:val="24"/>
          <w:highlight w:val="none"/>
        </w:rPr>
        <w:t>条款号：2.5</w:t>
      </w:r>
      <w:r>
        <w:rPr>
          <w:b/>
          <w:color w:val="auto"/>
          <w:sz w:val="24"/>
          <w:szCs w:val="24"/>
          <w:highlight w:val="none"/>
        </w:rPr>
        <w:t xml:space="preserve">             </w:t>
      </w:r>
      <w:r>
        <w:rPr>
          <w:rFonts w:hint="eastAsia"/>
          <w:b/>
          <w:color w:val="auto"/>
          <w:sz w:val="24"/>
          <w:szCs w:val="24"/>
          <w:highlight w:val="none"/>
        </w:rPr>
        <w:t>修改类型：增加</w:t>
      </w:r>
    </w:p>
    <w:p w14:paraId="6BF11046">
      <w:pPr>
        <w:spacing w:line="360" w:lineRule="auto"/>
        <w:ind w:firstLine="482" w:firstLineChars="200"/>
        <w:rPr>
          <w:b/>
          <w:color w:val="auto"/>
          <w:sz w:val="24"/>
          <w:szCs w:val="24"/>
          <w:highlight w:val="none"/>
        </w:rPr>
      </w:pPr>
      <w:r>
        <w:rPr>
          <w:rFonts w:hint="eastAsia"/>
          <w:b/>
          <w:color w:val="auto"/>
          <w:sz w:val="24"/>
          <w:szCs w:val="24"/>
          <w:highlight w:val="none"/>
        </w:rPr>
        <w:t>现文：</w:t>
      </w:r>
      <w:r>
        <w:rPr>
          <w:rFonts w:hint="eastAsia" w:ascii="宋体" w:hAnsi="宋体"/>
          <w:b/>
          <w:color w:val="auto"/>
          <w:sz w:val="24"/>
          <w:szCs w:val="24"/>
          <w:highlight w:val="none"/>
        </w:rPr>
        <w:t>2.5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1A0A3A74">
      <w:pPr>
        <w:spacing w:line="360" w:lineRule="auto"/>
        <w:ind w:firstLine="537" w:firstLineChars="224"/>
        <w:rPr>
          <w:b/>
          <w:color w:val="auto"/>
          <w:sz w:val="24"/>
          <w:szCs w:val="24"/>
          <w:highlight w:val="none"/>
        </w:rPr>
      </w:pPr>
      <w:r>
        <w:rPr>
          <w:color w:val="auto"/>
          <w:sz w:val="24"/>
          <w:szCs w:val="24"/>
          <w:highlight w:val="none"/>
        </w:rPr>
        <mc:AlternateContent>
          <mc:Choice Requires="wps">
            <w:drawing>
              <wp:anchor distT="0" distB="0" distL="114300" distR="114300" simplePos="0" relativeHeight="251666432" behindDoc="0" locked="0" layoutInCell="1" allowOverlap="1">
                <wp:simplePos x="0" y="0"/>
                <wp:positionH relativeFrom="column">
                  <wp:posOffset>2540</wp:posOffset>
                </wp:positionH>
                <wp:positionV relativeFrom="paragraph">
                  <wp:posOffset>32385</wp:posOffset>
                </wp:positionV>
                <wp:extent cx="5798185" cy="0"/>
                <wp:effectExtent l="0" t="6350" r="0" b="6350"/>
                <wp:wrapNone/>
                <wp:docPr id="9" name="直接连接符 9"/>
                <wp:cNvGraphicFramePr/>
                <a:graphic xmlns:a="http://schemas.openxmlformats.org/drawingml/2006/main">
                  <a:graphicData uri="http://schemas.microsoft.com/office/word/2010/wordprocessingShape">
                    <wps:wsp>
                      <wps:cNvCnPr/>
                      <wps:spPr>
                        <a:xfrm>
                          <a:off x="902970" y="3799840"/>
                          <a:ext cx="579818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2pt;margin-top:2.55pt;height:0pt;width:456.55pt;z-index:251666432;mso-width-relative:page;mso-height-relative:page;" filled="f" stroked="t" coordsize="21600,21600" o:gfxdata="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10;Szmp1AAAAAQBAAAPAAAAAAAAAAEAIAAAACIAAABkcnMvZG93bnJldi54bWxQSwECFAAUAAAACACH&#10;TuJAwLqGte8BAAC9AwAADgAAAAAAAAABACAAAAAjAQAAZHJzL2Uyb0RvYy54bWxQSwUGAAAAAAYA&#10;BgBZAQAAhAUAAAAA&#10;">
                <v:fill on="f" focussize="0,0"/>
                <v:stroke weight="1pt" color="#000000 [3213]" miterlimit="8" joinstyle="miter"/>
                <v:imagedata o:title=""/>
                <o:lock v:ext="edit" aspectratio="f"/>
              </v:line>
            </w:pict>
          </mc:Fallback>
        </mc:AlternateContent>
      </w:r>
      <w:r>
        <w:rPr>
          <w:rFonts w:hint="eastAsia"/>
          <w:b/>
          <w:color w:val="auto"/>
          <w:sz w:val="24"/>
          <w:szCs w:val="24"/>
          <w:highlight w:val="none"/>
        </w:rPr>
        <w:t>条款号：5.1</w:t>
      </w:r>
      <w:r>
        <w:rPr>
          <w:b/>
          <w:color w:val="auto"/>
          <w:sz w:val="24"/>
          <w:szCs w:val="24"/>
          <w:highlight w:val="none"/>
        </w:rPr>
        <w:t xml:space="preserve">             </w:t>
      </w:r>
      <w:r>
        <w:rPr>
          <w:rFonts w:hint="eastAsia"/>
          <w:b/>
          <w:color w:val="auto"/>
          <w:sz w:val="24"/>
          <w:szCs w:val="24"/>
          <w:highlight w:val="none"/>
        </w:rPr>
        <w:t>修改类型：修改</w:t>
      </w:r>
    </w:p>
    <w:p w14:paraId="157132B5">
      <w:pPr>
        <w:spacing w:line="360" w:lineRule="auto"/>
        <w:ind w:firstLine="482" w:firstLineChars="200"/>
        <w:rPr>
          <w:rFonts w:hint="eastAsia" w:ascii="宋体" w:hAnsi="宋体"/>
          <w:color w:val="auto"/>
          <w:sz w:val="24"/>
          <w:szCs w:val="24"/>
          <w:highlight w:val="none"/>
        </w:rPr>
      </w:pPr>
      <w:r>
        <w:rPr>
          <w:rFonts w:hint="eastAsia"/>
          <w:b/>
          <w:color w:val="auto"/>
          <w:sz w:val="24"/>
          <w:szCs w:val="24"/>
          <w:highlight w:val="none"/>
        </w:rPr>
        <w:t>原文：</w:t>
      </w:r>
      <w:r>
        <w:rPr>
          <w:rFonts w:ascii="宋体" w:hAnsi="宋体"/>
          <w:bCs/>
          <w:color w:val="auto"/>
          <w:sz w:val="24"/>
          <w:szCs w:val="24"/>
          <w:highlight w:val="none"/>
        </w:rPr>
        <w:t xml:space="preserve">5.1 </w:t>
      </w:r>
      <w:r>
        <w:rPr>
          <w:rFonts w:hint="eastAsia" w:ascii="宋体" w:hAnsi="宋体"/>
          <w:bCs/>
          <w:color w:val="auto"/>
          <w:sz w:val="24"/>
          <w:szCs w:val="24"/>
          <w:highlight w:val="none"/>
        </w:rPr>
        <w:t>投标人应按本投标须知前附表第</w:t>
      </w:r>
      <w:r>
        <w:rPr>
          <w:rFonts w:ascii="宋体" w:hAnsi="宋体"/>
          <w:bCs/>
          <w:color w:val="auto"/>
          <w:sz w:val="24"/>
          <w:szCs w:val="24"/>
          <w:highlight w:val="none"/>
        </w:rPr>
        <w:t>1</w:t>
      </w:r>
      <w:r>
        <w:rPr>
          <w:rFonts w:hint="eastAsia" w:ascii="宋体" w:hAnsi="宋体"/>
          <w:bCs/>
          <w:color w:val="auto"/>
          <w:sz w:val="24"/>
          <w:szCs w:val="24"/>
          <w:highlight w:val="none"/>
        </w:rPr>
        <w:t>2项所述时间和要求自行对工程现场及周围环境进行踏勘，</w:t>
      </w:r>
      <w:r>
        <w:rPr>
          <w:rFonts w:hint="eastAsia" w:ascii="宋体" w:hAnsi="宋体"/>
          <w:color w:val="auto"/>
          <w:sz w:val="24"/>
          <w:szCs w:val="24"/>
          <w:highlight w:val="none"/>
        </w:rPr>
        <w:t>投标人应充分重视和仔细地进行这种考察，</w:t>
      </w:r>
      <w:r>
        <w:rPr>
          <w:rFonts w:hint="eastAsia" w:ascii="宋体" w:hAnsi="宋体"/>
          <w:bCs/>
          <w:color w:val="auto"/>
          <w:sz w:val="24"/>
          <w:szCs w:val="24"/>
          <w:highlight w:val="none"/>
        </w:rPr>
        <w:t>以便投标人获取</w:t>
      </w:r>
      <w:r>
        <w:rPr>
          <w:rFonts w:hint="eastAsia" w:ascii="宋体" w:hAnsi="宋体"/>
          <w:color w:val="auto"/>
          <w:sz w:val="24"/>
          <w:szCs w:val="24"/>
          <w:highlight w:val="none"/>
        </w:rPr>
        <w:t>那些须投标人自己负责的</w:t>
      </w:r>
      <w:r>
        <w:rPr>
          <w:rFonts w:hint="eastAsia" w:ascii="宋体" w:hAnsi="宋体"/>
          <w:bCs/>
          <w:color w:val="auto"/>
          <w:sz w:val="24"/>
          <w:szCs w:val="24"/>
          <w:highlight w:val="none"/>
        </w:rPr>
        <w:t>有关编制投标文件和签署合同所涉及现场所有的资料。</w:t>
      </w:r>
      <w:r>
        <w:rPr>
          <w:rFonts w:hint="eastAsia" w:ascii="宋体" w:hAnsi="宋体"/>
          <w:color w:val="auto"/>
          <w:sz w:val="24"/>
          <w:szCs w:val="24"/>
          <w:highlight w:val="none"/>
        </w:rPr>
        <w:t>一旦中标，这种考察即被认为其结果已在中标文件中得到充分反映。</w:t>
      </w:r>
    </w:p>
    <w:p w14:paraId="32B316EE">
      <w:pPr>
        <w:spacing w:line="360" w:lineRule="auto"/>
        <w:ind w:firstLine="482" w:firstLineChars="200"/>
        <w:rPr>
          <w:rFonts w:hint="eastAsia" w:ascii="宋体" w:hAnsi="宋体"/>
          <w:color w:val="auto"/>
          <w:sz w:val="24"/>
          <w:szCs w:val="24"/>
          <w:highlight w:val="none"/>
          <w:u w:val="single"/>
        </w:rPr>
      </w:pPr>
      <w:r>
        <w:rPr>
          <w:rFonts w:hint="eastAsia"/>
          <w:b/>
          <w:color w:val="auto"/>
          <w:sz w:val="24"/>
          <w:szCs w:val="24"/>
          <w:highlight w:val="none"/>
        </w:rPr>
        <w:t>现文：</w:t>
      </w:r>
      <w:r>
        <w:rPr>
          <w:rFonts w:ascii="宋体" w:hAnsi="宋体"/>
          <w:bCs/>
          <w:color w:val="auto"/>
          <w:sz w:val="24"/>
          <w:szCs w:val="24"/>
          <w:highlight w:val="none"/>
        </w:rPr>
        <w:t xml:space="preserve">5.1 </w:t>
      </w:r>
      <w:r>
        <w:rPr>
          <w:rFonts w:hint="eastAsia" w:ascii="宋体" w:hAnsi="宋体"/>
          <w:bCs/>
          <w:color w:val="auto"/>
          <w:sz w:val="24"/>
          <w:szCs w:val="24"/>
          <w:highlight w:val="none"/>
        </w:rPr>
        <w:t>投标人应按本投标须知前附表第</w:t>
      </w:r>
      <w:r>
        <w:rPr>
          <w:rFonts w:ascii="宋体" w:hAnsi="宋体"/>
          <w:bCs/>
          <w:color w:val="auto"/>
          <w:sz w:val="24"/>
          <w:szCs w:val="24"/>
          <w:highlight w:val="none"/>
        </w:rPr>
        <w:t>1</w:t>
      </w:r>
      <w:r>
        <w:rPr>
          <w:rFonts w:hint="eastAsia" w:ascii="宋体" w:hAnsi="宋体"/>
          <w:bCs/>
          <w:color w:val="auto"/>
          <w:sz w:val="24"/>
          <w:szCs w:val="24"/>
          <w:highlight w:val="none"/>
        </w:rPr>
        <w:t>2项所述时间和要求自行对工程现场及周围环境进行踏勘，</w:t>
      </w:r>
      <w:r>
        <w:rPr>
          <w:rFonts w:hint="eastAsia" w:ascii="宋体" w:hAnsi="宋体"/>
          <w:color w:val="auto"/>
          <w:sz w:val="24"/>
          <w:szCs w:val="24"/>
          <w:highlight w:val="none"/>
        </w:rPr>
        <w:t>投标人应充分重视和仔细地进行这种考察，</w:t>
      </w:r>
      <w:r>
        <w:rPr>
          <w:rFonts w:hint="eastAsia" w:ascii="宋体" w:hAnsi="宋体"/>
          <w:bCs/>
          <w:color w:val="auto"/>
          <w:sz w:val="24"/>
          <w:szCs w:val="24"/>
          <w:highlight w:val="none"/>
        </w:rPr>
        <w:t>以便投标人获取</w:t>
      </w:r>
      <w:r>
        <w:rPr>
          <w:rFonts w:hint="eastAsia" w:ascii="宋体" w:hAnsi="宋体"/>
          <w:color w:val="auto"/>
          <w:sz w:val="24"/>
          <w:szCs w:val="24"/>
          <w:highlight w:val="none"/>
        </w:rPr>
        <w:t>那些须投标人自己负责的</w:t>
      </w:r>
      <w:r>
        <w:rPr>
          <w:rFonts w:hint="eastAsia" w:ascii="宋体" w:hAnsi="宋体"/>
          <w:bCs/>
          <w:color w:val="auto"/>
          <w:sz w:val="24"/>
          <w:szCs w:val="24"/>
          <w:highlight w:val="none"/>
        </w:rPr>
        <w:t>有关编制投标文件和签署合同所涉及现场所有的资料。</w:t>
      </w:r>
      <w:r>
        <w:rPr>
          <w:rFonts w:hint="eastAsia" w:ascii="宋体" w:hAnsi="宋体"/>
          <w:bCs/>
          <w:color w:val="auto"/>
          <w:sz w:val="24"/>
          <w:szCs w:val="24"/>
          <w:highlight w:val="none"/>
          <w:u w:val="single"/>
        </w:rPr>
        <w:t>投标人不进行踏勘的，视为已熟知现场条件，自行承担相关风险。</w:t>
      </w:r>
      <w:r>
        <w:rPr>
          <w:rFonts w:hint="eastAsia" w:ascii="宋体" w:hAnsi="宋体"/>
          <w:color w:val="auto"/>
          <w:sz w:val="24"/>
          <w:szCs w:val="24"/>
          <w:highlight w:val="none"/>
        </w:rPr>
        <w:t>一旦中标，这种考察即被认为其结果已在中标文件中得到充分反映。</w:t>
      </w:r>
      <w:r>
        <w:rPr>
          <w:rFonts w:hint="eastAsia" w:ascii="宋体" w:hAnsi="宋体"/>
          <w:color w:val="auto"/>
          <w:sz w:val="24"/>
          <w:szCs w:val="24"/>
          <w:highlight w:val="none"/>
          <w:u w:val="single"/>
        </w:rPr>
        <w:t>招标人不受理因投标人缺乏对现场条件的了解或掌握而提出的任何索赔。</w:t>
      </w:r>
    </w:p>
    <w:p w14:paraId="1B8385C0">
      <w:pPr>
        <w:spacing w:line="360" w:lineRule="auto"/>
        <w:ind w:firstLine="537" w:firstLineChars="224"/>
        <w:rPr>
          <w:b/>
          <w:color w:val="auto"/>
          <w:sz w:val="24"/>
          <w:szCs w:val="24"/>
          <w:highlight w:val="none"/>
        </w:rPr>
      </w:pPr>
      <w:r>
        <w:rPr>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-10160</wp:posOffset>
                </wp:positionH>
                <wp:positionV relativeFrom="paragraph">
                  <wp:posOffset>24130</wp:posOffset>
                </wp:positionV>
                <wp:extent cx="5798185" cy="0"/>
                <wp:effectExtent l="0" t="6350" r="0" b="6350"/>
                <wp:wrapNone/>
                <wp:docPr id="6" name="直接连接符 6"/>
                <wp:cNvGraphicFramePr/>
                <a:graphic xmlns:a="http://schemas.openxmlformats.org/drawingml/2006/main">
                  <a:graphicData uri="http://schemas.microsoft.com/office/word/2010/wordprocessingShape">
                    <wps:wsp>
                      <wps:cNvCnPr/>
                      <wps:spPr>
                        <a:xfrm>
                          <a:off x="890270" y="8009255"/>
                          <a:ext cx="579818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8pt;margin-top:1.9pt;height:0pt;width:456.55pt;z-index:251665408;mso-width-relative:page;mso-height-relative:page;" filled="f" stroked="t" coordsize="21600,21600" o:gfxdata="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7Ywmq1QAAAAYBAAAPAAAAAAAAAAEAIAAAACIAAABkcnMvZG93bnJldi54bWxQSwECFAAUAAAA&#10;CACHTuJAnPwtiPEBAAC9AwAADgAAAAAAAAABACAAAAAkAQAAZHJzL2Uyb0RvYy54bWxQSwUGAAAA&#10;AAYABgBZAQAAhwUAAAAA&#10;">
                <v:fill on="f" focussize="0,0"/>
                <v:stroke weight="1pt" color="#000000 [3213]" miterlimit="8" joinstyle="miter"/>
                <v:imagedata o:title=""/>
                <o:lock v:ext="edit" aspectratio="f"/>
              </v:line>
            </w:pict>
          </mc:Fallback>
        </mc:AlternateContent>
      </w:r>
      <w:r>
        <w:rPr>
          <w:rFonts w:hint="eastAsia"/>
          <w:b/>
          <w:color w:val="auto"/>
          <w:sz w:val="24"/>
          <w:szCs w:val="24"/>
          <w:highlight w:val="none"/>
        </w:rPr>
        <w:t>条款号：7.1</w:t>
      </w:r>
      <w:r>
        <w:rPr>
          <w:b/>
          <w:color w:val="auto"/>
          <w:sz w:val="24"/>
          <w:szCs w:val="24"/>
          <w:highlight w:val="none"/>
        </w:rPr>
        <w:t xml:space="preserve">             </w:t>
      </w:r>
      <w:r>
        <w:rPr>
          <w:rFonts w:hint="eastAsia"/>
          <w:b/>
          <w:color w:val="auto"/>
          <w:sz w:val="24"/>
          <w:szCs w:val="24"/>
          <w:highlight w:val="none"/>
        </w:rPr>
        <w:t>修改类型：修改</w:t>
      </w:r>
    </w:p>
    <w:p w14:paraId="1FAECFB3">
      <w:pPr>
        <w:spacing w:line="360" w:lineRule="auto"/>
        <w:ind w:firstLine="482" w:firstLineChars="200"/>
        <w:rPr>
          <w:rFonts w:ascii="宋体"/>
          <w:color w:val="auto"/>
          <w:sz w:val="24"/>
          <w:szCs w:val="24"/>
          <w:highlight w:val="none"/>
          <w:u w:val="single"/>
        </w:rPr>
      </w:pPr>
      <w:r>
        <w:rPr>
          <w:rFonts w:hint="eastAsia"/>
          <w:b/>
          <w:color w:val="auto"/>
          <w:sz w:val="24"/>
          <w:szCs w:val="24"/>
          <w:highlight w:val="none"/>
        </w:rPr>
        <w:t>原文：</w:t>
      </w:r>
      <w:r>
        <w:rPr>
          <w:rFonts w:ascii="宋体" w:hAnsi="宋体"/>
          <w:bCs/>
          <w:color w:val="auto"/>
          <w:sz w:val="24"/>
          <w:szCs w:val="24"/>
          <w:highlight w:val="none"/>
          <w:u w:val="single"/>
        </w:rPr>
        <w:t>7.1</w:t>
      </w:r>
      <w:r>
        <w:rPr>
          <w:rFonts w:hint="eastAsia" w:ascii="宋体" w:hAnsi="宋体"/>
          <w:color w:val="auto"/>
          <w:sz w:val="24"/>
          <w:szCs w:val="24"/>
          <w:highlight w:val="none"/>
          <w:u w:val="single"/>
        </w:rPr>
        <w:t>本招标文件包括下列文件，以及所有按本须知第</w:t>
      </w:r>
      <w:r>
        <w:rPr>
          <w:rFonts w:ascii="宋体" w:hAnsi="宋体"/>
          <w:color w:val="auto"/>
          <w:sz w:val="24"/>
          <w:szCs w:val="24"/>
          <w:highlight w:val="none"/>
          <w:u w:val="single"/>
        </w:rPr>
        <w:t>8</w:t>
      </w:r>
      <w:r>
        <w:rPr>
          <w:rFonts w:hint="eastAsia" w:ascii="宋体" w:hAnsi="宋体"/>
          <w:color w:val="auto"/>
          <w:sz w:val="24"/>
          <w:szCs w:val="24"/>
          <w:highlight w:val="none"/>
          <w:u w:val="single"/>
        </w:rPr>
        <w:t>条发出的招标答疑会会议纪要和按本须知第</w:t>
      </w:r>
      <w:r>
        <w:rPr>
          <w:rFonts w:ascii="宋体" w:hAnsi="宋体"/>
          <w:color w:val="auto"/>
          <w:sz w:val="24"/>
          <w:szCs w:val="24"/>
          <w:highlight w:val="none"/>
          <w:u w:val="single"/>
        </w:rPr>
        <w:t>9</w:t>
      </w:r>
      <w:r>
        <w:rPr>
          <w:rFonts w:hint="eastAsia" w:ascii="宋体" w:hAnsi="宋体"/>
          <w:color w:val="auto"/>
          <w:sz w:val="24"/>
          <w:szCs w:val="24"/>
          <w:highlight w:val="none"/>
          <w:u w:val="single"/>
        </w:rPr>
        <w:t>条发出的澄清或修改：</w:t>
      </w:r>
    </w:p>
    <w:p w14:paraId="1062BB4E">
      <w:pPr>
        <w:pStyle w:val="5"/>
        <w:numPr>
          <w:ilvl w:val="0"/>
          <w:numId w:val="4"/>
        </w:numPr>
        <w:spacing w:after="0" w:line="360" w:lineRule="auto"/>
        <w:ind w:firstLine="480" w:firstLineChars="200"/>
        <w:rPr>
          <w:rFonts w:hint="eastAsia" w:ascii="宋体" w:hAnsi="宋体"/>
          <w:bCs/>
          <w:color w:val="auto"/>
          <w:sz w:val="24"/>
          <w:szCs w:val="24"/>
          <w:highlight w:val="none"/>
          <w:u w:val="single"/>
        </w:rPr>
      </w:pPr>
      <w:r>
        <w:rPr>
          <w:rFonts w:hint="eastAsia" w:ascii="宋体" w:hAnsi="宋体"/>
          <w:bCs/>
          <w:color w:val="auto"/>
          <w:sz w:val="24"/>
          <w:szCs w:val="24"/>
          <w:highlight w:val="none"/>
          <w:u w:val="single"/>
        </w:rPr>
        <w:t>招标公告</w:t>
      </w:r>
    </w:p>
    <w:p w14:paraId="36B8586F">
      <w:pPr>
        <w:pStyle w:val="5"/>
        <w:numPr>
          <w:ilvl w:val="0"/>
          <w:numId w:val="4"/>
        </w:numPr>
        <w:spacing w:after="0"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u w:val="single"/>
        </w:rPr>
        <w:t>投标须知</w:t>
      </w:r>
    </w:p>
    <w:p w14:paraId="59255D89">
      <w:pPr>
        <w:pStyle w:val="5"/>
        <w:numPr>
          <w:ilvl w:val="0"/>
          <w:numId w:val="4"/>
        </w:numPr>
        <w:spacing w:after="0"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u w:val="single"/>
        </w:rPr>
        <w:t>开标、评标及定标办法</w:t>
      </w:r>
    </w:p>
    <w:p w14:paraId="098227FD">
      <w:pPr>
        <w:pStyle w:val="5"/>
        <w:numPr>
          <w:ilvl w:val="0"/>
          <w:numId w:val="4"/>
        </w:numPr>
        <w:spacing w:after="0"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u w:val="single"/>
        </w:rPr>
        <w:t>合同条款</w:t>
      </w:r>
    </w:p>
    <w:p w14:paraId="6144D8DE">
      <w:pPr>
        <w:pStyle w:val="5"/>
        <w:numPr>
          <w:ilvl w:val="0"/>
          <w:numId w:val="4"/>
        </w:numPr>
        <w:spacing w:after="0"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投标文件格式</w:t>
      </w:r>
    </w:p>
    <w:p w14:paraId="2940B330">
      <w:pPr>
        <w:pStyle w:val="5"/>
        <w:numPr>
          <w:ilvl w:val="0"/>
          <w:numId w:val="4"/>
        </w:numPr>
        <w:spacing w:after="0"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技术条件（工程建设标准）</w:t>
      </w:r>
    </w:p>
    <w:p w14:paraId="3226F98D">
      <w:pPr>
        <w:pStyle w:val="5"/>
        <w:numPr>
          <w:ilvl w:val="0"/>
          <w:numId w:val="4"/>
        </w:numPr>
        <w:spacing w:after="0"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图纸及勘察资料</w:t>
      </w:r>
    </w:p>
    <w:p w14:paraId="1C406A25">
      <w:pPr>
        <w:pStyle w:val="5"/>
        <w:numPr>
          <w:ilvl w:val="0"/>
          <w:numId w:val="4"/>
        </w:numPr>
        <w:spacing w:after="0" w:line="360" w:lineRule="auto"/>
        <w:ind w:firstLine="480" w:firstLineChars="200"/>
        <w:rPr>
          <w:rFonts w:hint="eastAsia" w:ascii="宋体" w:hAnsi="宋体"/>
          <w:color w:val="auto"/>
          <w:sz w:val="24"/>
          <w:szCs w:val="24"/>
          <w:highlight w:val="none"/>
          <w:u w:val="single"/>
        </w:rPr>
      </w:pPr>
      <w:r>
        <w:rPr>
          <w:rFonts w:hint="eastAsia" w:ascii="宋体" w:hAnsi="宋体"/>
          <w:bCs/>
          <w:color w:val="auto"/>
          <w:sz w:val="24"/>
          <w:szCs w:val="24"/>
          <w:highlight w:val="none"/>
          <w:u w:val="single"/>
        </w:rPr>
        <w:t>招标</w:t>
      </w:r>
      <w:r>
        <w:rPr>
          <w:rFonts w:hint="eastAsia" w:ascii="宋体" w:hAnsi="宋体"/>
          <w:color w:val="auto"/>
          <w:sz w:val="24"/>
          <w:szCs w:val="24"/>
          <w:highlight w:val="none"/>
          <w:u w:val="single"/>
        </w:rPr>
        <w:t>工程量清单</w:t>
      </w:r>
    </w:p>
    <w:p w14:paraId="6E34D1B3">
      <w:pPr>
        <w:pStyle w:val="5"/>
        <w:numPr>
          <w:ilvl w:val="0"/>
          <w:numId w:val="4"/>
        </w:numPr>
        <w:spacing w:after="0"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最高投标限价</w:t>
      </w:r>
    </w:p>
    <w:p w14:paraId="7B5DAC12">
      <w:pPr>
        <w:pStyle w:val="5"/>
        <w:spacing w:after="0" w:line="360" w:lineRule="auto"/>
        <w:ind w:left="-2" w:firstLine="480" w:firstLineChars="200"/>
        <w:rPr>
          <w:rFonts w:hint="eastAsia" w:ascii="楷体" w:hAnsi="楷体" w:eastAsia="楷体" w:cs="楷体"/>
          <w:color w:val="auto"/>
          <w:kern w:val="0"/>
          <w:sz w:val="24"/>
          <w:szCs w:val="24"/>
          <w:highlight w:val="none"/>
        </w:rPr>
      </w:pPr>
      <w:r>
        <w:rPr>
          <w:rFonts w:hint="eastAsia" w:ascii="楷体" w:hAnsi="楷体" w:eastAsia="楷体" w:cs="楷体"/>
          <w:color w:val="auto"/>
          <w:sz w:val="24"/>
          <w:szCs w:val="24"/>
          <w:highlight w:val="none"/>
        </w:rPr>
        <w:t>注：</w:t>
      </w:r>
      <w:r>
        <w:rPr>
          <w:rFonts w:hint="eastAsia" w:ascii="楷体" w:hAnsi="楷体" w:eastAsia="楷体" w:cs="楷体"/>
          <w:color w:val="auto"/>
          <w:kern w:val="0"/>
          <w:sz w:val="24"/>
          <w:szCs w:val="24"/>
          <w:highlight w:val="none"/>
        </w:rPr>
        <w:t>招标人应在技术条件（工程建设标准）中明确如下内容：</w:t>
      </w:r>
    </w:p>
    <w:p w14:paraId="539F2C0B">
      <w:pPr>
        <w:pStyle w:val="5"/>
        <w:spacing w:after="0" w:line="360" w:lineRule="auto"/>
        <w:ind w:left="420" w:leftChars="200" w:firstLine="0"/>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1.施工现场建筑垃圾源头减量的具体要求和建筑垃圾综合利用产品的使用要求。</w:t>
      </w:r>
    </w:p>
    <w:p w14:paraId="1C69856E">
      <w:pPr>
        <w:pStyle w:val="5"/>
        <w:spacing w:after="0" w:line="360" w:lineRule="auto"/>
        <w:ind w:left="420" w:leftChars="200" w:firstLine="0"/>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2.占道施工相关告知、围蔽、修复等要求。</w:t>
      </w:r>
    </w:p>
    <w:p w14:paraId="173081DD">
      <w:pPr>
        <w:pStyle w:val="5"/>
        <w:spacing w:after="0" w:line="360" w:lineRule="auto"/>
        <w:ind w:left="420" w:leftChars="200" w:firstLine="0"/>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3.对照《广州市智能建造技术清单（1.0版）》对招标项目智能建造提出要求。</w:t>
      </w:r>
    </w:p>
    <w:p w14:paraId="3AF2B7E7">
      <w:pPr>
        <w:pStyle w:val="5"/>
        <w:spacing w:after="0" w:line="360" w:lineRule="auto"/>
        <w:ind w:left="420" w:leftChars="200" w:firstLine="0"/>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4.招标人对中标人参与“百千万工程”的具体要求。</w:t>
      </w:r>
    </w:p>
    <w:p w14:paraId="0C85F0BD">
      <w:pPr>
        <w:pStyle w:val="5"/>
        <w:spacing w:after="0" w:line="360" w:lineRule="auto"/>
        <w:ind w:firstLine="480" w:firstLineChars="200"/>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5.在建筑废弃物运输上落实《关于加快推动氢能产业高质量发展的若干措施》的要求。</w:t>
      </w:r>
    </w:p>
    <w:p w14:paraId="097131A5">
      <w:pPr>
        <w:spacing w:line="360" w:lineRule="auto"/>
        <w:ind w:firstLine="482" w:firstLineChars="200"/>
        <w:rPr>
          <w:rFonts w:ascii="宋体"/>
          <w:color w:val="auto"/>
          <w:sz w:val="24"/>
          <w:szCs w:val="24"/>
          <w:highlight w:val="none"/>
          <w:u w:val="single"/>
        </w:rPr>
      </w:pPr>
      <w:r>
        <w:rPr>
          <w:rFonts w:hint="eastAsia"/>
          <w:b/>
          <w:color w:val="auto"/>
          <w:sz w:val="24"/>
          <w:szCs w:val="24"/>
          <w:highlight w:val="none"/>
        </w:rPr>
        <w:t>现文：</w:t>
      </w:r>
      <w:r>
        <w:rPr>
          <w:rFonts w:ascii="宋体" w:hAnsi="宋体"/>
          <w:bCs/>
          <w:color w:val="auto"/>
          <w:sz w:val="24"/>
          <w:szCs w:val="24"/>
          <w:highlight w:val="none"/>
          <w:u w:val="single"/>
        </w:rPr>
        <w:t>7.1</w:t>
      </w:r>
      <w:r>
        <w:rPr>
          <w:rFonts w:hint="eastAsia" w:ascii="宋体" w:hAnsi="宋体"/>
          <w:color w:val="auto"/>
          <w:sz w:val="24"/>
          <w:szCs w:val="24"/>
          <w:highlight w:val="none"/>
          <w:u w:val="single"/>
        </w:rPr>
        <w:t>本招标文件包括下列文件，以及所有按本须知第</w:t>
      </w:r>
      <w:r>
        <w:rPr>
          <w:rFonts w:ascii="宋体" w:hAnsi="宋体"/>
          <w:color w:val="auto"/>
          <w:sz w:val="24"/>
          <w:szCs w:val="24"/>
          <w:highlight w:val="none"/>
          <w:u w:val="single"/>
        </w:rPr>
        <w:t>8</w:t>
      </w:r>
      <w:r>
        <w:rPr>
          <w:rFonts w:hint="eastAsia" w:ascii="宋体" w:hAnsi="宋体"/>
          <w:color w:val="auto"/>
          <w:sz w:val="24"/>
          <w:szCs w:val="24"/>
          <w:highlight w:val="none"/>
          <w:u w:val="single"/>
        </w:rPr>
        <w:t>条发出的招标答疑会会议纪要和按本须知第</w:t>
      </w:r>
      <w:r>
        <w:rPr>
          <w:rFonts w:ascii="宋体" w:hAnsi="宋体"/>
          <w:color w:val="auto"/>
          <w:sz w:val="24"/>
          <w:szCs w:val="24"/>
          <w:highlight w:val="none"/>
          <w:u w:val="single"/>
        </w:rPr>
        <w:t>9</w:t>
      </w:r>
      <w:r>
        <w:rPr>
          <w:rFonts w:hint="eastAsia" w:ascii="宋体" w:hAnsi="宋体"/>
          <w:color w:val="auto"/>
          <w:sz w:val="24"/>
          <w:szCs w:val="24"/>
          <w:highlight w:val="none"/>
          <w:u w:val="single"/>
        </w:rPr>
        <w:t>条发出的澄清或修改：</w:t>
      </w:r>
    </w:p>
    <w:p w14:paraId="568A3625">
      <w:pPr>
        <w:pStyle w:val="5"/>
        <w:numPr>
          <w:ilvl w:val="0"/>
          <w:numId w:val="5"/>
        </w:numPr>
        <w:spacing w:after="0" w:line="360" w:lineRule="auto"/>
        <w:ind w:firstLine="480" w:firstLineChars="200"/>
        <w:rPr>
          <w:rFonts w:hint="eastAsia" w:ascii="宋体" w:hAnsi="宋体"/>
          <w:bCs/>
          <w:color w:val="auto"/>
          <w:sz w:val="24"/>
          <w:szCs w:val="24"/>
          <w:highlight w:val="none"/>
          <w:u w:val="single"/>
        </w:rPr>
      </w:pPr>
      <w:r>
        <w:rPr>
          <w:rFonts w:hint="eastAsia" w:ascii="宋体" w:hAnsi="宋体"/>
          <w:bCs/>
          <w:color w:val="auto"/>
          <w:sz w:val="24"/>
          <w:szCs w:val="24"/>
          <w:highlight w:val="none"/>
          <w:u w:val="single"/>
        </w:rPr>
        <w:t>招标公告</w:t>
      </w:r>
    </w:p>
    <w:p w14:paraId="0F4C13EB">
      <w:pPr>
        <w:pStyle w:val="5"/>
        <w:numPr>
          <w:ilvl w:val="0"/>
          <w:numId w:val="5"/>
        </w:numPr>
        <w:spacing w:after="0"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u w:val="single"/>
        </w:rPr>
        <w:t>投标须知</w:t>
      </w:r>
    </w:p>
    <w:p w14:paraId="74A4D61D">
      <w:pPr>
        <w:pStyle w:val="5"/>
        <w:numPr>
          <w:ilvl w:val="0"/>
          <w:numId w:val="5"/>
        </w:numPr>
        <w:spacing w:after="0"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u w:val="single"/>
        </w:rPr>
        <w:t>开标、评标及定标办法</w:t>
      </w:r>
    </w:p>
    <w:p w14:paraId="72B71C21">
      <w:pPr>
        <w:pStyle w:val="5"/>
        <w:numPr>
          <w:ilvl w:val="0"/>
          <w:numId w:val="5"/>
        </w:numPr>
        <w:spacing w:after="0"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u w:val="single"/>
        </w:rPr>
        <w:t>合同条款（另册）</w:t>
      </w:r>
    </w:p>
    <w:p w14:paraId="75BF1918">
      <w:pPr>
        <w:pStyle w:val="5"/>
        <w:numPr>
          <w:ilvl w:val="0"/>
          <w:numId w:val="5"/>
        </w:numPr>
        <w:spacing w:after="0"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投标文件格式</w:t>
      </w:r>
    </w:p>
    <w:p w14:paraId="3F329858">
      <w:pPr>
        <w:pStyle w:val="5"/>
        <w:numPr>
          <w:ilvl w:val="0"/>
          <w:numId w:val="5"/>
        </w:numPr>
        <w:spacing w:after="0"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技术条件（工程建设标准）</w:t>
      </w:r>
    </w:p>
    <w:p w14:paraId="130B2DBB">
      <w:pPr>
        <w:pStyle w:val="5"/>
        <w:numPr>
          <w:ilvl w:val="0"/>
          <w:numId w:val="5"/>
        </w:numPr>
        <w:spacing w:after="0"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图纸及勘察资料（另册）</w:t>
      </w:r>
    </w:p>
    <w:p w14:paraId="2EE61688">
      <w:pPr>
        <w:pStyle w:val="5"/>
        <w:numPr>
          <w:ilvl w:val="0"/>
          <w:numId w:val="5"/>
        </w:numPr>
        <w:spacing w:after="0" w:line="360" w:lineRule="auto"/>
        <w:ind w:firstLine="480" w:firstLineChars="200"/>
        <w:rPr>
          <w:rFonts w:hint="eastAsia" w:ascii="宋体" w:hAnsi="宋体"/>
          <w:color w:val="auto"/>
          <w:sz w:val="24"/>
          <w:szCs w:val="24"/>
          <w:highlight w:val="none"/>
          <w:u w:val="single"/>
        </w:rPr>
      </w:pPr>
      <w:r>
        <w:rPr>
          <w:rFonts w:hint="eastAsia" w:ascii="宋体" w:hAnsi="宋体"/>
          <w:bCs/>
          <w:color w:val="auto"/>
          <w:sz w:val="24"/>
          <w:szCs w:val="24"/>
          <w:highlight w:val="none"/>
          <w:u w:val="single"/>
        </w:rPr>
        <w:t>招标</w:t>
      </w:r>
      <w:r>
        <w:rPr>
          <w:rFonts w:hint="eastAsia" w:ascii="宋体" w:hAnsi="宋体"/>
          <w:color w:val="auto"/>
          <w:sz w:val="24"/>
          <w:szCs w:val="24"/>
          <w:highlight w:val="none"/>
          <w:u w:val="single"/>
        </w:rPr>
        <w:t>工程量清单（另册）</w:t>
      </w:r>
    </w:p>
    <w:p w14:paraId="4BFB30B4">
      <w:pPr>
        <w:pStyle w:val="5"/>
        <w:numPr>
          <w:ilvl w:val="0"/>
          <w:numId w:val="5"/>
        </w:numPr>
        <w:spacing w:after="0"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最高投标限价</w:t>
      </w:r>
    </w:p>
    <w:p w14:paraId="7E88464C">
      <w:pPr>
        <w:pStyle w:val="5"/>
        <w:spacing w:after="0" w:line="360" w:lineRule="auto"/>
        <w:ind w:left="-2" w:firstLine="480" w:firstLineChars="200"/>
        <w:rPr>
          <w:rFonts w:hint="eastAsia" w:ascii="楷体" w:hAnsi="楷体" w:eastAsia="楷体" w:cs="楷体"/>
          <w:color w:val="auto"/>
          <w:kern w:val="0"/>
          <w:sz w:val="24"/>
          <w:szCs w:val="24"/>
          <w:highlight w:val="none"/>
        </w:rPr>
      </w:pPr>
      <w:r>
        <w:rPr>
          <w:rFonts w:hint="eastAsia" w:ascii="楷体" w:hAnsi="楷体" w:eastAsia="楷体" w:cs="楷体"/>
          <w:color w:val="auto"/>
          <w:sz w:val="24"/>
          <w:szCs w:val="24"/>
          <w:highlight w:val="none"/>
        </w:rPr>
        <w:t>注：</w:t>
      </w:r>
      <w:r>
        <w:rPr>
          <w:rFonts w:hint="eastAsia" w:ascii="楷体" w:hAnsi="楷体" w:eastAsia="楷体" w:cs="楷体"/>
          <w:color w:val="auto"/>
          <w:kern w:val="0"/>
          <w:sz w:val="24"/>
          <w:szCs w:val="24"/>
          <w:highlight w:val="none"/>
        </w:rPr>
        <w:t>招标人应在技术条件（工程建设标准）中明确如下内容：</w:t>
      </w:r>
    </w:p>
    <w:p w14:paraId="4CFDDACD">
      <w:pPr>
        <w:pStyle w:val="5"/>
        <w:spacing w:after="0" w:line="360" w:lineRule="auto"/>
        <w:ind w:left="420" w:leftChars="200" w:firstLine="0"/>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1.施工现场建筑垃圾源头减量的具体要求和建筑垃圾综合利用产品的使用要求。</w:t>
      </w:r>
    </w:p>
    <w:p w14:paraId="41BFDACA">
      <w:pPr>
        <w:pStyle w:val="5"/>
        <w:spacing w:after="0" w:line="360" w:lineRule="auto"/>
        <w:ind w:left="420" w:leftChars="200" w:firstLine="0"/>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2.占道施工相关告知、围蔽、修复等要求。</w:t>
      </w:r>
    </w:p>
    <w:p w14:paraId="78395BEF">
      <w:pPr>
        <w:pStyle w:val="5"/>
        <w:spacing w:after="0" w:line="360" w:lineRule="auto"/>
        <w:ind w:left="420" w:leftChars="200" w:firstLine="0"/>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3.对照《广州市智能建造技术清单（1.0版）》对招标项目智能建造提出要求。</w:t>
      </w:r>
    </w:p>
    <w:p w14:paraId="4B88D6E3">
      <w:pPr>
        <w:pStyle w:val="5"/>
        <w:spacing w:after="0" w:line="360" w:lineRule="auto"/>
        <w:ind w:left="420" w:leftChars="200" w:firstLine="0"/>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4.招标人对中标人参与“百千万工程”的具体要求。</w:t>
      </w:r>
    </w:p>
    <w:p w14:paraId="5BA88E11">
      <w:pPr>
        <w:pStyle w:val="5"/>
        <w:spacing w:after="0" w:line="360" w:lineRule="auto"/>
        <w:ind w:firstLine="480" w:firstLineChars="200"/>
        <w:rPr>
          <w:rFonts w:hint="eastAsia" w:ascii="楷体" w:hAnsi="楷体" w:eastAsia="楷体" w:cs="楷体"/>
          <w:strike/>
          <w:color w:val="auto"/>
          <w:kern w:val="0"/>
          <w:sz w:val="24"/>
          <w:szCs w:val="24"/>
          <w:highlight w:val="none"/>
        </w:rPr>
      </w:pPr>
      <w:r>
        <w:rPr>
          <w:rFonts w:hint="eastAsia" w:ascii="楷体" w:hAnsi="楷体" w:eastAsia="楷体" w:cs="楷体"/>
          <w:strike/>
          <w:color w:val="auto"/>
          <w:kern w:val="0"/>
          <w:sz w:val="24"/>
          <w:szCs w:val="24"/>
          <w:highlight w:val="none"/>
        </w:rPr>
        <w:t>5.在建筑废弃物运输上落实《关于加快推动氢能产业高质量发展的若干措施》的要求。</w:t>
      </w:r>
    </w:p>
    <w:p w14:paraId="6C5F0694">
      <w:pPr>
        <w:spacing w:line="360" w:lineRule="auto"/>
        <w:rPr>
          <w:color w:val="auto"/>
          <w:sz w:val="24"/>
          <w:szCs w:val="24"/>
          <w:highlight w:val="none"/>
        </w:rPr>
      </w:pPr>
      <w:r>
        <w:rPr>
          <w:color w:val="auto"/>
          <w:sz w:val="24"/>
          <w:szCs w:val="24"/>
          <w:highlight w:val="none"/>
        </w:rPr>
        <mc:AlternateContent>
          <mc:Choice Requires="wps">
            <w:drawing>
              <wp:anchor distT="0" distB="0" distL="114300" distR="114300" simplePos="0" relativeHeight="251667456" behindDoc="0" locked="0" layoutInCell="1" allowOverlap="1">
                <wp:simplePos x="0" y="0"/>
                <wp:positionH relativeFrom="column">
                  <wp:posOffset>-15875</wp:posOffset>
                </wp:positionH>
                <wp:positionV relativeFrom="paragraph">
                  <wp:posOffset>49530</wp:posOffset>
                </wp:positionV>
                <wp:extent cx="5798185" cy="0"/>
                <wp:effectExtent l="0" t="6350" r="0" b="6350"/>
                <wp:wrapNone/>
                <wp:docPr id="10" name="直接连接符 10"/>
                <wp:cNvGraphicFramePr/>
                <a:graphic xmlns:a="http://schemas.openxmlformats.org/drawingml/2006/main">
                  <a:graphicData uri="http://schemas.microsoft.com/office/word/2010/wordprocessingShape">
                    <wps:wsp>
                      <wps:cNvCnPr/>
                      <wps:spPr>
                        <a:xfrm>
                          <a:off x="0" y="0"/>
                          <a:ext cx="579818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25pt;margin-top:3.9pt;height:0pt;width:456.55pt;z-index:251667456;mso-width-relative:page;mso-height-relative:page;" filled="f" stroked="t" coordsize="21600,21600" o:gfxdata="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ytmCx1gAAAAYB&#10;AAAPAAAAAAAAAAEAIAAAACIAAABkcnMvZG93bnJldi54bWxQSwECFAAUAAAACACHTuJAp+swiOQB&#10;AAC0AwAADgAAAAAAAAABACAAAAAlAQAAZHJzL2Uyb0RvYy54bWxQSwUGAAAAAAYABgBZAQAAewUA&#10;AAAA&#10;">
                <v:fill on="f" focussize="0,0"/>
                <v:stroke weight="1pt" color="#000000 [3213]" miterlimit="8" joinstyle="miter"/>
                <v:imagedata o:title=""/>
                <o:lock v:ext="edit" aspectratio="f"/>
              </v:line>
            </w:pict>
          </mc:Fallback>
        </mc:AlternateContent>
      </w:r>
    </w:p>
    <w:p w14:paraId="148C44E5">
      <w:pPr>
        <w:spacing w:line="360" w:lineRule="auto"/>
        <w:ind w:firstLine="540" w:firstLineChars="224"/>
        <w:rPr>
          <w:b/>
          <w:color w:val="auto"/>
          <w:sz w:val="24"/>
          <w:szCs w:val="24"/>
          <w:highlight w:val="none"/>
        </w:rPr>
      </w:pPr>
      <w:r>
        <w:rPr>
          <w:rFonts w:hint="eastAsia"/>
          <w:b/>
          <w:color w:val="auto"/>
          <w:sz w:val="24"/>
          <w:szCs w:val="24"/>
          <w:highlight w:val="none"/>
        </w:rPr>
        <w:t xml:space="preserve">条款号：8.1 </w:t>
      </w:r>
      <w:r>
        <w:rPr>
          <w:b/>
          <w:color w:val="auto"/>
          <w:sz w:val="24"/>
          <w:szCs w:val="24"/>
          <w:highlight w:val="none"/>
        </w:rPr>
        <w:t xml:space="preserve">             </w:t>
      </w:r>
      <w:r>
        <w:rPr>
          <w:rFonts w:hint="eastAsia"/>
          <w:b/>
          <w:color w:val="auto"/>
          <w:sz w:val="24"/>
          <w:szCs w:val="24"/>
          <w:highlight w:val="none"/>
        </w:rPr>
        <w:t>修改类型：修改</w:t>
      </w:r>
    </w:p>
    <w:p w14:paraId="643BB2AC">
      <w:pPr>
        <w:pStyle w:val="5"/>
        <w:spacing w:after="0" w:line="360" w:lineRule="auto"/>
        <w:ind w:firstLine="482" w:firstLineChars="200"/>
        <w:rPr>
          <w:rFonts w:ascii="宋体"/>
          <w:color w:val="auto"/>
          <w:sz w:val="24"/>
          <w:szCs w:val="24"/>
          <w:highlight w:val="none"/>
        </w:rPr>
      </w:pPr>
      <w:r>
        <w:rPr>
          <w:rFonts w:hint="eastAsia"/>
          <w:b/>
          <w:color w:val="auto"/>
          <w:sz w:val="24"/>
          <w:szCs w:val="24"/>
          <w:highlight w:val="none"/>
        </w:rPr>
        <w:t>原文</w:t>
      </w:r>
      <w:r>
        <w:rPr>
          <w:rFonts w:hint="eastAsia" w:ascii="宋体" w:hAnsi="宋体"/>
          <w:color w:val="auto"/>
          <w:sz w:val="24"/>
          <w:szCs w:val="24"/>
          <w:highlight w:val="none"/>
        </w:rPr>
        <w:t>：8.1 投标人若对招标文件（包括招标图纸）中有疑问，可以书面形式通过        交易平台提交给招标人或招标代理人，提交形式见本须知前附表第13项。</w:t>
      </w:r>
    </w:p>
    <w:p w14:paraId="61425423">
      <w:pPr>
        <w:pStyle w:val="5"/>
        <w:spacing w:after="0" w:line="360" w:lineRule="auto"/>
        <w:ind w:firstLine="482" w:firstLineChars="200"/>
        <w:rPr>
          <w:rFonts w:hint="eastAsia" w:ascii="宋体" w:hAnsi="宋体"/>
          <w:color w:val="auto"/>
          <w:sz w:val="24"/>
          <w:szCs w:val="24"/>
          <w:highlight w:val="none"/>
        </w:rPr>
      </w:pPr>
      <w:r>
        <w:rPr>
          <w:rFonts w:hint="eastAsia"/>
          <w:b/>
          <w:color w:val="auto"/>
          <w:sz w:val="24"/>
          <w:szCs w:val="24"/>
          <w:highlight w:val="none"/>
        </w:rPr>
        <w:t>现文：</w:t>
      </w:r>
      <w:r>
        <w:rPr>
          <w:rFonts w:ascii="宋体" w:hAnsi="宋体"/>
          <w:color w:val="auto"/>
          <w:sz w:val="24"/>
          <w:szCs w:val="24"/>
          <w:highlight w:val="none"/>
        </w:rPr>
        <w:t xml:space="preserve">8.1 </w:t>
      </w:r>
      <w:r>
        <w:rPr>
          <w:rFonts w:hint="eastAsia" w:ascii="宋体" w:hAnsi="宋体"/>
          <w:color w:val="auto"/>
          <w:sz w:val="24"/>
          <w:szCs w:val="24"/>
          <w:highlight w:val="none"/>
          <w:u w:val="single"/>
        </w:rPr>
        <w:t>招标答疑采用网上答疑方式进行。投标人若对招标文件（包括招标图纸、</w:t>
      </w:r>
      <w:r>
        <w:rPr>
          <w:color w:val="auto"/>
          <w:sz w:val="24"/>
          <w:szCs w:val="24"/>
          <w:highlight w:val="none"/>
        </w:rPr>
        <mc:AlternateContent>
          <mc:Choice Requires="wps">
            <w:drawing>
              <wp:anchor distT="0" distB="0" distL="114300" distR="114300" simplePos="0" relativeHeight="251669504" behindDoc="0" locked="0" layoutInCell="1" allowOverlap="1">
                <wp:simplePos x="0" y="0"/>
                <wp:positionH relativeFrom="column">
                  <wp:posOffset>8890</wp:posOffset>
                </wp:positionH>
                <wp:positionV relativeFrom="paragraph">
                  <wp:posOffset>1482090</wp:posOffset>
                </wp:positionV>
                <wp:extent cx="5767070" cy="8255"/>
                <wp:effectExtent l="0" t="6350" r="5080" b="13970"/>
                <wp:wrapNone/>
                <wp:docPr id="15" name="直接连接符 15"/>
                <wp:cNvGraphicFramePr/>
                <a:graphic xmlns:a="http://schemas.openxmlformats.org/drawingml/2006/main">
                  <a:graphicData uri="http://schemas.microsoft.com/office/word/2010/wordprocessingShape">
                    <wps:wsp>
                      <wps:cNvCnPr/>
                      <wps:spPr>
                        <a:xfrm flipV="1">
                          <a:off x="909320" y="2844165"/>
                          <a:ext cx="5767070" cy="825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7pt;margin-top:116.7pt;height:0.65pt;width:454.1pt;z-index:251669504;mso-width-relative:page;mso-height-relative:page;" filled="f" stroked="t" coordsize="21600,21600" o:gfxdata="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zXOs81gAAAAkBAAAPAAAAAAAAAAEAIAAAACIAAABkcnMvZG93bnJldi54&#10;bWxQSwECFAAUAAAACACHTuJA3R+x8/wBAADMAwAADgAAAAAAAAABACAAAAAlAQAAZHJzL2Uyb0Rv&#10;Yy54bWxQSwUGAAAAAAYABgBZAQAAkwUAAAAA&#10;">
                <v:fill on="f" focussize="0,0"/>
                <v:stroke weight="1pt" color="#000000 [3213]" miterlimit="8" joinstyle="miter"/>
                <v:imagedata o:title=""/>
                <o:lock v:ext="edit" aspectratio="f"/>
              </v:line>
            </w:pict>
          </mc:Fallback>
        </mc:AlternateContent>
      </w:r>
      <w:r>
        <w:rPr>
          <w:rFonts w:hint="eastAsia" w:ascii="宋体" w:hAnsi="宋体"/>
          <w:color w:val="auto"/>
          <w:sz w:val="24"/>
          <w:szCs w:val="24"/>
          <w:highlight w:val="none"/>
          <w:u w:val="single"/>
        </w:rPr>
        <w:t>清单、招标控制价、合同条款）有疑问的，可在规定的时间内通过广州交易集团有限公司（广州公共资源交易中心）网站进入提问区域将问题提交给招标人或招标代理人，提交问题时一律不得署名。网上答疑的操作指南为：投标人登录交易中心数字交易平台，进入“我是投标人（供应商）”-&gt;“我的投标”-&gt;“招标答疑提问”查询项目并提问，具体操作方法详见交易平台关于全流程电子化项目的相关指南。</w:t>
      </w:r>
    </w:p>
    <w:p w14:paraId="48A2B2E2">
      <w:pPr>
        <w:spacing w:line="360" w:lineRule="auto"/>
        <w:ind w:firstLine="540" w:firstLineChars="224"/>
        <w:rPr>
          <w:b/>
          <w:color w:val="auto"/>
          <w:sz w:val="24"/>
          <w:szCs w:val="24"/>
          <w:highlight w:val="none"/>
        </w:rPr>
      </w:pPr>
      <w:r>
        <w:rPr>
          <w:rFonts w:hint="eastAsia"/>
          <w:b/>
          <w:color w:val="auto"/>
          <w:sz w:val="24"/>
          <w:szCs w:val="24"/>
          <w:highlight w:val="none"/>
        </w:rPr>
        <w:t xml:space="preserve">条款号：8.2 </w:t>
      </w:r>
      <w:r>
        <w:rPr>
          <w:b/>
          <w:color w:val="auto"/>
          <w:sz w:val="24"/>
          <w:szCs w:val="24"/>
          <w:highlight w:val="none"/>
        </w:rPr>
        <w:t xml:space="preserve">             </w:t>
      </w:r>
      <w:r>
        <w:rPr>
          <w:rFonts w:hint="eastAsia"/>
          <w:b/>
          <w:color w:val="auto"/>
          <w:sz w:val="24"/>
          <w:szCs w:val="24"/>
          <w:highlight w:val="none"/>
        </w:rPr>
        <w:t>修改类型：修改</w:t>
      </w:r>
    </w:p>
    <w:p w14:paraId="24B55EB8">
      <w:pPr>
        <w:spacing w:line="360" w:lineRule="auto"/>
        <w:ind w:firstLine="482" w:firstLineChars="200"/>
        <w:rPr>
          <w:b/>
          <w:color w:val="auto"/>
          <w:sz w:val="24"/>
          <w:szCs w:val="24"/>
          <w:highlight w:val="none"/>
        </w:rPr>
      </w:pPr>
      <w:r>
        <w:rPr>
          <w:rFonts w:hint="eastAsia"/>
          <w:b/>
          <w:color w:val="auto"/>
          <w:sz w:val="24"/>
          <w:szCs w:val="24"/>
          <w:highlight w:val="none"/>
        </w:rPr>
        <w:t>原文：</w:t>
      </w:r>
      <w:r>
        <w:rPr>
          <w:rFonts w:ascii="宋体" w:hAnsi="宋体"/>
          <w:color w:val="auto"/>
          <w:sz w:val="24"/>
          <w:szCs w:val="24"/>
          <w:highlight w:val="none"/>
        </w:rPr>
        <w:t>8.2</w:t>
      </w:r>
      <w:r>
        <w:rPr>
          <w:rFonts w:hint="eastAsia" w:ascii="宋体"/>
          <w:color w:val="auto"/>
          <w:sz w:val="24"/>
          <w:szCs w:val="24"/>
          <w:highlight w:val="none"/>
        </w:rPr>
        <w:t>招标答疑会会议纪要将在提交投标文件截止时间15日前在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szCs w:val="24"/>
          <w:highlight w:val="none"/>
        </w:rPr>
        <w:t xml:space="preserve"> “项目答疑纪要”专区公开发布。答疑纪要一经在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szCs w:val="24"/>
          <w:highlight w:val="none"/>
        </w:rPr>
        <w:t>发布，视作已发放给所有投标人。</w:t>
      </w:r>
    </w:p>
    <w:p w14:paraId="5CFF91C8">
      <w:pPr>
        <w:spacing w:line="360" w:lineRule="auto"/>
        <w:ind w:firstLine="482" w:firstLineChars="200"/>
        <w:rPr>
          <w:rFonts w:hint="eastAsia" w:ascii="宋体" w:hAnsi="宋体"/>
          <w:color w:val="auto"/>
          <w:sz w:val="24"/>
          <w:szCs w:val="24"/>
          <w:highlight w:val="none"/>
        </w:rPr>
      </w:pPr>
      <w:r>
        <w:rPr>
          <w:rFonts w:hint="eastAsia"/>
          <w:b/>
          <w:color w:val="auto"/>
          <w:sz w:val="24"/>
          <w:szCs w:val="24"/>
          <w:highlight w:val="none"/>
        </w:rPr>
        <w:t>现文：</w:t>
      </w:r>
      <w:r>
        <w:rPr>
          <w:rFonts w:ascii="宋体" w:hAnsi="宋体"/>
          <w:color w:val="auto"/>
          <w:sz w:val="24"/>
          <w:szCs w:val="24"/>
          <w:highlight w:val="none"/>
        </w:rPr>
        <w:t>8.2</w:t>
      </w:r>
      <w:r>
        <w:rPr>
          <w:rFonts w:hint="eastAsia" w:ascii="宋体"/>
          <w:color w:val="auto"/>
          <w:sz w:val="24"/>
          <w:szCs w:val="24"/>
          <w:highlight w:val="none"/>
        </w:rPr>
        <w:t>招标答疑会会议纪要将在提交投标文件截止时间15日前在</w:t>
      </w:r>
      <w:r>
        <w:rPr>
          <w:rFonts w:hint="eastAsia" w:asci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szCs w:val="24"/>
          <w:highlight w:val="none"/>
        </w:rPr>
        <w:t xml:space="preserve"> “项目答疑纪要”专区公开发布。答疑纪要一经在</w:t>
      </w:r>
      <w:r>
        <w:rPr>
          <w:rFonts w:hint="eastAsia" w:asci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szCs w:val="24"/>
          <w:highlight w:val="none"/>
        </w:rPr>
        <w:t>发布，视作已发放给所有投标人。</w:t>
      </w:r>
    </w:p>
    <w:p w14:paraId="538896CC">
      <w:pPr>
        <w:spacing w:line="360" w:lineRule="auto"/>
        <w:ind w:firstLine="537" w:firstLineChars="224"/>
        <w:rPr>
          <w:b/>
          <w:color w:val="auto"/>
          <w:sz w:val="24"/>
          <w:szCs w:val="24"/>
          <w:highlight w:val="none"/>
        </w:rPr>
      </w:pPr>
      <w:r>
        <w:rPr>
          <w:color w:val="auto"/>
          <w:sz w:val="24"/>
          <w:szCs w:val="24"/>
          <w:highlight w:val="none"/>
        </w:rPr>
        <mc:AlternateContent>
          <mc:Choice Requires="wps">
            <w:drawing>
              <wp:anchor distT="0" distB="0" distL="114300" distR="114300" simplePos="0" relativeHeight="251670528" behindDoc="0" locked="0" layoutInCell="1" allowOverlap="1">
                <wp:simplePos x="0" y="0"/>
                <wp:positionH relativeFrom="column">
                  <wp:posOffset>-15240</wp:posOffset>
                </wp:positionH>
                <wp:positionV relativeFrom="paragraph">
                  <wp:posOffset>13970</wp:posOffset>
                </wp:positionV>
                <wp:extent cx="5888355" cy="0"/>
                <wp:effectExtent l="0" t="6350" r="0" b="6350"/>
                <wp:wrapNone/>
                <wp:docPr id="16" name="直接连接符 16"/>
                <wp:cNvGraphicFramePr/>
                <a:graphic xmlns:a="http://schemas.openxmlformats.org/drawingml/2006/main">
                  <a:graphicData uri="http://schemas.microsoft.com/office/word/2010/wordprocessingShape">
                    <wps:wsp>
                      <wps:cNvCnPr/>
                      <wps:spPr>
                        <a:xfrm>
                          <a:off x="866140" y="5319395"/>
                          <a:ext cx="588835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2pt;margin-top:1.1pt;height:0pt;width:463.65pt;z-index:251670528;mso-width-relative:page;mso-height-relative:page;" filled="f" stroked="t" coordsize="21600,21600" o:gfxdata="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cebi9UAAAAGAQAADwAAAAAAAAABACAAAAAiAAAAZHJzL2Rvd25yZXYueG1sUEsBAhQAFAAA&#10;AAgAh07iQL6dmofyAQAAvwMAAA4AAAAAAAAAAQAgAAAAJAEAAGRycy9lMm9Eb2MueG1sUEsFBgAA&#10;AAAGAAYAWQEAAIgFAAAAAA==&#10;">
                <v:fill on="f" focussize="0,0"/>
                <v:stroke weight="1pt" color="#000000 [3213]" miterlimit="8" joinstyle="miter"/>
                <v:imagedata o:title=""/>
                <o:lock v:ext="edit" aspectratio="f"/>
              </v:line>
            </w:pict>
          </mc:Fallback>
        </mc:AlternateContent>
      </w:r>
      <w:r>
        <w:rPr>
          <w:rFonts w:hint="eastAsia"/>
          <w:b/>
          <w:color w:val="auto"/>
          <w:sz w:val="24"/>
          <w:szCs w:val="24"/>
          <w:highlight w:val="none"/>
        </w:rPr>
        <w:t xml:space="preserve">条款号：8.4 </w:t>
      </w:r>
      <w:r>
        <w:rPr>
          <w:b/>
          <w:color w:val="auto"/>
          <w:sz w:val="24"/>
          <w:szCs w:val="24"/>
          <w:highlight w:val="none"/>
        </w:rPr>
        <w:t xml:space="preserve">             </w:t>
      </w:r>
      <w:r>
        <w:rPr>
          <w:rFonts w:hint="eastAsia"/>
          <w:b/>
          <w:color w:val="auto"/>
          <w:sz w:val="24"/>
          <w:szCs w:val="24"/>
          <w:highlight w:val="none"/>
        </w:rPr>
        <w:t>修改类型：修改</w:t>
      </w:r>
    </w:p>
    <w:p w14:paraId="3A0DF497">
      <w:pPr>
        <w:pStyle w:val="5"/>
        <w:spacing w:after="0" w:line="360" w:lineRule="auto"/>
        <w:ind w:firstLine="482" w:firstLineChars="200"/>
        <w:rPr>
          <w:rFonts w:ascii="宋体"/>
          <w:color w:val="auto"/>
          <w:sz w:val="24"/>
          <w:szCs w:val="24"/>
          <w:highlight w:val="none"/>
        </w:rPr>
      </w:pPr>
      <w:r>
        <w:rPr>
          <w:rFonts w:hint="eastAsia"/>
          <w:b/>
          <w:color w:val="auto"/>
          <w:sz w:val="24"/>
          <w:szCs w:val="24"/>
          <w:highlight w:val="none"/>
        </w:rPr>
        <w:t>原文：</w:t>
      </w:r>
      <w:r>
        <w:rPr>
          <w:rFonts w:ascii="宋体" w:hAnsi="宋体"/>
          <w:color w:val="auto"/>
          <w:sz w:val="24"/>
          <w:szCs w:val="24"/>
          <w:highlight w:val="none"/>
        </w:rPr>
        <w:t>8.4</w:t>
      </w:r>
      <w:r>
        <w:rPr>
          <w:rFonts w:hint="eastAsia" w:ascii="宋体" w:hAnsi="宋体"/>
          <w:color w:val="auto"/>
          <w:sz w:val="24"/>
          <w:szCs w:val="24"/>
          <w:highlight w:val="none"/>
        </w:rPr>
        <w:t>若招标答疑会会议纪要与招标文件有矛盾，以答疑会议纪要最后发出的书面形式的文件为准。</w:t>
      </w:r>
    </w:p>
    <w:p w14:paraId="446D0E96">
      <w:pPr>
        <w:pStyle w:val="5"/>
        <w:spacing w:line="360" w:lineRule="auto"/>
        <w:ind w:firstLine="422"/>
        <w:rPr>
          <w:rFonts w:hint="eastAsia" w:ascii="宋体" w:hAnsi="宋体"/>
          <w:color w:val="auto"/>
          <w:sz w:val="24"/>
          <w:szCs w:val="24"/>
          <w:highlight w:val="none"/>
        </w:rPr>
      </w:pPr>
      <w:r>
        <w:rPr>
          <w:color w:val="auto"/>
          <w:sz w:val="24"/>
          <w:szCs w:val="24"/>
          <w:highlight w:val="none"/>
        </w:rPr>
        <mc:AlternateContent>
          <mc:Choice Requires="wps">
            <w:drawing>
              <wp:anchor distT="0" distB="0" distL="114300" distR="114300" simplePos="0" relativeHeight="251668480" behindDoc="0" locked="0" layoutInCell="1" allowOverlap="1">
                <wp:simplePos x="0" y="0"/>
                <wp:positionH relativeFrom="column">
                  <wp:posOffset>81915</wp:posOffset>
                </wp:positionH>
                <wp:positionV relativeFrom="paragraph">
                  <wp:posOffset>652780</wp:posOffset>
                </wp:positionV>
                <wp:extent cx="5798185" cy="0"/>
                <wp:effectExtent l="0" t="6350" r="0" b="6350"/>
                <wp:wrapNone/>
                <wp:docPr id="12" name="直接连接符 12"/>
                <wp:cNvGraphicFramePr/>
                <a:graphic xmlns:a="http://schemas.openxmlformats.org/drawingml/2006/main">
                  <a:graphicData uri="http://schemas.microsoft.com/office/word/2010/wordprocessingShape">
                    <wps:wsp>
                      <wps:cNvCnPr/>
                      <wps:spPr>
                        <a:xfrm>
                          <a:off x="0" y="0"/>
                          <a:ext cx="579818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6.45pt;margin-top:51.4pt;height:0pt;width:456.55pt;z-index:251668480;mso-width-relative:page;mso-height-relative:page;" filled="f" stroked="t" coordsize="21600,21600" o:gfxdata="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dOQodcAAAAK&#10;AQAADwAAAAAAAAABACAAAAAiAAAAZHJzL2Rvd25yZXYueG1sUEsBAhQAFAAAAAgAh07iQAGaH47k&#10;AQAAtAMAAA4AAAAAAAAAAQAgAAAAJgEAAGRycy9lMm9Eb2MueG1sUEsFBgAAAAAGAAYAWQEAAHwF&#10;AAAAAA==&#10;">
                <v:fill on="f" focussize="0,0"/>
                <v:stroke weight="1pt" color="#000000 [3213]" miterlimit="8" joinstyle="miter"/>
                <v:imagedata o:title=""/>
                <o:lock v:ext="edit" aspectratio="f"/>
              </v:line>
            </w:pict>
          </mc:Fallback>
        </mc:AlternateContent>
      </w:r>
      <w:r>
        <w:rPr>
          <w:rFonts w:hint="eastAsia"/>
          <w:b/>
          <w:color w:val="auto"/>
          <w:sz w:val="24"/>
          <w:szCs w:val="24"/>
          <w:highlight w:val="none"/>
        </w:rPr>
        <w:t>现文：</w:t>
      </w:r>
      <w:r>
        <w:rPr>
          <w:rFonts w:ascii="宋体" w:hAnsi="宋体"/>
          <w:color w:val="auto"/>
          <w:sz w:val="24"/>
          <w:szCs w:val="24"/>
          <w:highlight w:val="none"/>
        </w:rPr>
        <w:t>8.4</w:t>
      </w:r>
      <w:r>
        <w:rPr>
          <w:rFonts w:hint="eastAsia" w:ascii="宋体" w:hAnsi="宋体"/>
          <w:color w:val="auto"/>
          <w:sz w:val="24"/>
          <w:szCs w:val="24"/>
          <w:highlight w:val="none"/>
        </w:rPr>
        <w:t>若招标答疑会会议纪要与招标文件有矛盾，以</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交易平台最后发出的书面形式的文件为准。</w:t>
      </w:r>
    </w:p>
    <w:p w14:paraId="26D56025">
      <w:pPr>
        <w:spacing w:line="360" w:lineRule="auto"/>
        <w:ind w:firstLine="540" w:firstLineChars="224"/>
        <w:rPr>
          <w:b/>
          <w:color w:val="auto"/>
          <w:sz w:val="24"/>
          <w:szCs w:val="24"/>
          <w:highlight w:val="none"/>
        </w:rPr>
      </w:pPr>
      <w:r>
        <w:rPr>
          <w:rFonts w:hint="eastAsia"/>
          <w:b/>
          <w:color w:val="auto"/>
          <w:sz w:val="24"/>
          <w:szCs w:val="24"/>
          <w:highlight w:val="none"/>
        </w:rPr>
        <w:t xml:space="preserve">条款号：9.2 </w:t>
      </w:r>
      <w:r>
        <w:rPr>
          <w:b/>
          <w:color w:val="auto"/>
          <w:sz w:val="24"/>
          <w:szCs w:val="24"/>
          <w:highlight w:val="none"/>
        </w:rPr>
        <w:t xml:space="preserve">             </w:t>
      </w:r>
      <w:r>
        <w:rPr>
          <w:rFonts w:hint="eastAsia"/>
          <w:b/>
          <w:color w:val="auto"/>
          <w:sz w:val="24"/>
          <w:szCs w:val="24"/>
          <w:highlight w:val="none"/>
        </w:rPr>
        <w:t>修改类型：修改</w:t>
      </w:r>
    </w:p>
    <w:p w14:paraId="62D62223">
      <w:pPr>
        <w:pStyle w:val="5"/>
        <w:spacing w:after="0" w:line="360" w:lineRule="auto"/>
        <w:ind w:firstLine="482" w:firstLineChars="200"/>
        <w:rPr>
          <w:rFonts w:ascii="宋体"/>
          <w:color w:val="auto"/>
          <w:sz w:val="24"/>
          <w:szCs w:val="24"/>
          <w:highlight w:val="none"/>
        </w:rPr>
      </w:pPr>
      <w:r>
        <w:rPr>
          <w:rFonts w:hint="eastAsia"/>
          <w:b/>
          <w:color w:val="auto"/>
          <w:sz w:val="24"/>
          <w:szCs w:val="24"/>
          <w:highlight w:val="none"/>
        </w:rPr>
        <w:t>原文：</w:t>
      </w:r>
      <w:r>
        <w:rPr>
          <w:rFonts w:ascii="宋体" w:hAnsi="宋体"/>
          <w:color w:val="auto"/>
          <w:sz w:val="24"/>
          <w:szCs w:val="24"/>
          <w:highlight w:val="none"/>
        </w:rPr>
        <w:t>9.2</w:t>
      </w:r>
      <w:r>
        <w:rPr>
          <w:rFonts w:hint="eastAsia" w:ascii="宋体"/>
          <w:color w:val="auto"/>
          <w:sz w:val="24"/>
          <w:szCs w:val="24"/>
          <w:highlight w:val="none"/>
        </w:rPr>
        <w:t>招标文件的澄清或修改将在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szCs w:val="24"/>
          <w:highlight w:val="none"/>
        </w:rPr>
        <w:t>“项目答疑纪要”专区公开发布。答疑纪要一经在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szCs w:val="24"/>
          <w:highlight w:val="none"/>
        </w:rPr>
        <w:t>发布，视作已发放给所有投标人，以</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szCs w:val="24"/>
          <w:highlight w:val="none"/>
        </w:rPr>
        <w:t>上网发布时间作为送达时间。</w:t>
      </w:r>
    </w:p>
    <w:p w14:paraId="4BE8897B">
      <w:pPr>
        <w:pStyle w:val="5"/>
        <w:spacing w:after="0" w:line="360" w:lineRule="auto"/>
        <w:ind w:firstLine="482" w:firstLineChars="200"/>
        <w:rPr>
          <w:rFonts w:ascii="宋体"/>
          <w:color w:val="auto"/>
          <w:sz w:val="24"/>
          <w:szCs w:val="24"/>
          <w:highlight w:val="none"/>
        </w:rPr>
      </w:pPr>
      <w:r>
        <w:rPr>
          <w:rFonts w:hint="eastAsia"/>
          <w:b/>
          <w:color w:val="auto"/>
          <w:sz w:val="24"/>
          <w:szCs w:val="24"/>
          <w:highlight w:val="none"/>
        </w:rPr>
        <w:t>现文：</w:t>
      </w:r>
      <w:r>
        <w:rPr>
          <w:rFonts w:ascii="宋体" w:hAnsi="宋体"/>
          <w:color w:val="auto"/>
          <w:sz w:val="24"/>
          <w:szCs w:val="24"/>
          <w:highlight w:val="none"/>
        </w:rPr>
        <w:t>9.2</w:t>
      </w:r>
      <w:r>
        <w:rPr>
          <w:rFonts w:hint="eastAsia" w:ascii="宋体"/>
          <w:color w:val="auto"/>
          <w:sz w:val="24"/>
          <w:szCs w:val="24"/>
          <w:highlight w:val="none"/>
        </w:rPr>
        <w:t>招标文件的澄清或修改将在</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szCs w:val="24"/>
          <w:highlight w:val="none"/>
        </w:rPr>
        <w:t>“项目答疑纪要”专区公开发布。答疑纪要一经在</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szCs w:val="24"/>
          <w:highlight w:val="none"/>
        </w:rPr>
        <w:t>发布，视作已发放给所有投标人，以</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szCs w:val="24"/>
          <w:highlight w:val="none"/>
        </w:rPr>
        <w:t>上网发布时间作为送达时间。</w:t>
      </w:r>
    </w:p>
    <w:p w14:paraId="32EF1BAF">
      <w:pPr>
        <w:spacing w:line="360" w:lineRule="auto"/>
        <w:ind w:firstLine="537" w:firstLineChars="224"/>
        <w:rPr>
          <w:b/>
          <w:color w:val="auto"/>
          <w:sz w:val="24"/>
          <w:szCs w:val="24"/>
          <w:highlight w:val="none"/>
        </w:rPr>
      </w:pPr>
      <w:r>
        <w:rPr>
          <w:color w:val="auto"/>
          <w:sz w:val="24"/>
          <w:szCs w:val="24"/>
          <w:highlight w:val="none"/>
        </w:rPr>
        <mc:AlternateContent>
          <mc:Choice Requires="wps">
            <w:drawing>
              <wp:anchor distT="0" distB="0" distL="114300" distR="114300" simplePos="0" relativeHeight="251671552" behindDoc="0" locked="0" layoutInCell="1" allowOverlap="1">
                <wp:simplePos x="0" y="0"/>
                <wp:positionH relativeFrom="column">
                  <wp:posOffset>15240</wp:posOffset>
                </wp:positionH>
                <wp:positionV relativeFrom="paragraph">
                  <wp:posOffset>8255</wp:posOffset>
                </wp:positionV>
                <wp:extent cx="5870575" cy="0"/>
                <wp:effectExtent l="0" t="6350" r="0" b="6350"/>
                <wp:wrapNone/>
                <wp:docPr id="17" name="直接连接符 17"/>
                <wp:cNvGraphicFramePr/>
                <a:graphic xmlns:a="http://schemas.openxmlformats.org/drawingml/2006/main">
                  <a:graphicData uri="http://schemas.microsoft.com/office/word/2010/wordprocessingShape">
                    <wps:wsp>
                      <wps:cNvCnPr/>
                      <wps:spPr>
                        <a:xfrm>
                          <a:off x="901065" y="9283065"/>
                          <a:ext cx="587057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2pt;margin-top:0.65pt;height:0pt;width:462.25pt;z-index:251671552;mso-width-relative:page;mso-height-relative:page;" filled="f" stroked="t" coordsize="21600,21600" o:gfxdata="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d9FSNQAAAAFAQAADwAAAAAAAAABACAAAAAiAAAAZHJzL2Rvd25yZXYueG1sUEsBAhQAFAAAAAgA&#10;h07iQCO3NKTwAQAAvwMAAA4AAAAAAAAAAQAgAAAAIwEAAGRycy9lMm9Eb2MueG1sUEsFBgAAAAAG&#10;AAYAWQEAAIUFAAAAAA==&#10;">
                <v:fill on="f" focussize="0,0"/>
                <v:stroke weight="1pt" color="#000000 [3213]" miterlimit="8" joinstyle="miter"/>
                <v:imagedata o:title=""/>
                <o:lock v:ext="edit" aspectratio="f"/>
              </v:line>
            </w:pict>
          </mc:Fallback>
        </mc:AlternateContent>
      </w:r>
      <w:r>
        <w:rPr>
          <w:rFonts w:hint="eastAsia"/>
          <w:b/>
          <w:color w:val="auto"/>
          <w:sz w:val="24"/>
          <w:szCs w:val="24"/>
          <w:highlight w:val="none"/>
        </w:rPr>
        <w:t xml:space="preserve">条款号：9.4 </w:t>
      </w:r>
      <w:r>
        <w:rPr>
          <w:b/>
          <w:color w:val="auto"/>
          <w:sz w:val="24"/>
          <w:szCs w:val="24"/>
          <w:highlight w:val="none"/>
        </w:rPr>
        <w:t xml:space="preserve">             </w:t>
      </w:r>
      <w:r>
        <w:rPr>
          <w:rFonts w:hint="eastAsia"/>
          <w:b/>
          <w:color w:val="auto"/>
          <w:sz w:val="24"/>
          <w:szCs w:val="24"/>
          <w:highlight w:val="none"/>
        </w:rPr>
        <w:t>修改类型：修改</w:t>
      </w:r>
    </w:p>
    <w:p w14:paraId="1A05E6E9">
      <w:pPr>
        <w:pStyle w:val="5"/>
        <w:spacing w:after="0" w:line="360" w:lineRule="auto"/>
        <w:ind w:firstLine="482" w:firstLineChars="200"/>
        <w:rPr>
          <w:rFonts w:ascii="宋体"/>
          <w:color w:val="auto"/>
          <w:sz w:val="24"/>
          <w:szCs w:val="24"/>
          <w:highlight w:val="none"/>
        </w:rPr>
      </w:pPr>
      <w:r>
        <w:rPr>
          <w:rFonts w:hint="eastAsia"/>
          <w:b/>
          <w:color w:val="auto"/>
          <w:sz w:val="24"/>
          <w:szCs w:val="24"/>
          <w:highlight w:val="none"/>
        </w:rPr>
        <w:t>原文：</w:t>
      </w:r>
      <w:r>
        <w:rPr>
          <w:rFonts w:hint="eastAsia" w:ascii="宋体" w:hAnsi="宋体"/>
          <w:color w:val="auto"/>
          <w:sz w:val="24"/>
          <w:szCs w:val="24"/>
          <w:highlight w:val="none"/>
        </w:rPr>
        <w:t>9.4招标文件的澄清或修改均以</w:t>
      </w:r>
      <w:r>
        <w:rPr>
          <w:rFonts w:hint="eastAsia" w:ascii="宋体" w:hAnsi="宋体"/>
          <w:color w:val="auto"/>
          <w:sz w:val="24"/>
          <w:szCs w:val="24"/>
          <w:highlight w:val="none"/>
          <w:u w:val="single"/>
        </w:rPr>
        <w:t xml:space="preserve">          网站</w:t>
      </w:r>
      <w:r>
        <w:rPr>
          <w:rFonts w:hint="eastAsia" w:ascii="宋体" w:hAnsi="宋体"/>
          <w:color w:val="auto"/>
          <w:sz w:val="24"/>
          <w:szCs w:val="24"/>
          <w:highlight w:val="none"/>
        </w:rPr>
        <w:t>发布的内容为准。当招标文件的澄清、修改、补充等在同一内容的表述不一致时，以最后发出的书面形式的文件为准。</w:t>
      </w:r>
    </w:p>
    <w:p w14:paraId="6F78466B">
      <w:pPr>
        <w:pStyle w:val="5"/>
        <w:spacing w:line="360" w:lineRule="auto"/>
        <w:ind w:firstLine="422"/>
        <w:rPr>
          <w:rFonts w:hint="eastAsia" w:ascii="宋体" w:hAnsi="宋体"/>
          <w:color w:val="auto"/>
          <w:sz w:val="24"/>
          <w:szCs w:val="24"/>
          <w:highlight w:val="none"/>
        </w:rPr>
      </w:pPr>
      <w:r>
        <w:rPr>
          <w:color w:val="auto"/>
          <w:sz w:val="24"/>
          <w:highlight w:val="none"/>
        </w:rPr>
        <mc:AlternateContent>
          <mc:Choice Requires="wps">
            <w:drawing>
              <wp:anchor distT="0" distB="0" distL="114300" distR="114300" simplePos="0" relativeHeight="251672576" behindDoc="0" locked="0" layoutInCell="1" allowOverlap="1">
                <wp:simplePos x="0" y="0"/>
                <wp:positionH relativeFrom="column">
                  <wp:posOffset>53975</wp:posOffset>
                </wp:positionH>
                <wp:positionV relativeFrom="paragraph">
                  <wp:posOffset>947420</wp:posOffset>
                </wp:positionV>
                <wp:extent cx="5667375" cy="0"/>
                <wp:effectExtent l="0" t="6350" r="0" b="6350"/>
                <wp:wrapNone/>
                <wp:docPr id="18" name="直接连接符 18"/>
                <wp:cNvGraphicFramePr/>
                <a:graphic xmlns:a="http://schemas.openxmlformats.org/drawingml/2006/main">
                  <a:graphicData uri="http://schemas.microsoft.com/office/word/2010/wordprocessingShape">
                    <wps:wsp>
                      <wps:cNvCnPr/>
                      <wps:spPr>
                        <a:xfrm>
                          <a:off x="954405" y="2261870"/>
                          <a:ext cx="566737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25pt;margin-top:74.6pt;height:0pt;width:446.25pt;z-index:251672576;mso-width-relative:page;mso-height-relative:page;" filled="f" stroked="t" coordsize="21600,21600" o:gfxdata="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KJO1b1wAAAAkBAAAPAAAAAAAAAAEAIAAAACIAAABkcnMvZG93bnJldi54bWxQSwECFAAU&#10;AAAACACHTuJAn7uUC/IBAAC/AwAADgAAAAAAAAABACAAAAAmAQAAZHJzL2Uyb0RvYy54bWxQSwUG&#10;AAAAAAYABgBZAQAAigUAAAAA&#10;">
                <v:fill on="f" focussize="0,0"/>
                <v:stroke weight="1pt" color="#000000 [3213]" miterlimit="8" joinstyle="miter"/>
                <v:imagedata o:title=""/>
                <o:lock v:ext="edit" aspectratio="f"/>
              </v:line>
            </w:pict>
          </mc:Fallback>
        </mc:AlternateContent>
      </w:r>
      <w:r>
        <w:rPr>
          <w:rFonts w:hint="eastAsia"/>
          <w:b/>
          <w:color w:val="auto"/>
          <w:sz w:val="24"/>
          <w:szCs w:val="24"/>
          <w:highlight w:val="none"/>
        </w:rPr>
        <w:t>现文：</w:t>
      </w:r>
      <w:r>
        <w:rPr>
          <w:rFonts w:hint="eastAsia" w:ascii="宋体" w:hAnsi="宋体"/>
          <w:color w:val="auto"/>
          <w:sz w:val="24"/>
          <w:szCs w:val="24"/>
          <w:highlight w:val="none"/>
        </w:rPr>
        <w:t>9.4招标文件的澄清或修改均以</w:t>
      </w:r>
      <w:r>
        <w:rPr>
          <w:rFonts w:hint="eastAsia" w:ascii="宋体" w:hAnsi="宋体"/>
          <w:color w:val="auto"/>
          <w:sz w:val="24"/>
          <w:szCs w:val="24"/>
          <w:highlight w:val="none"/>
          <w:u w:val="single"/>
        </w:rPr>
        <w:t>广州交易集团有限公司（广州公共资源交易中心）网站“项目答疑纪要”专区公开发布。</w:t>
      </w:r>
      <w:r>
        <w:rPr>
          <w:rFonts w:hint="eastAsia" w:ascii="宋体" w:hAnsi="宋体"/>
          <w:color w:val="auto"/>
          <w:sz w:val="24"/>
          <w:szCs w:val="24"/>
          <w:highlight w:val="none"/>
        </w:rPr>
        <w:t>当招标文件的澄清、修改、补充等在同一内容的表述不一致时，以最后发出的书面形式的文件为准。</w:t>
      </w:r>
    </w:p>
    <w:p w14:paraId="7432658A">
      <w:pPr>
        <w:spacing w:line="360" w:lineRule="auto"/>
        <w:ind w:firstLine="540" w:firstLineChars="224"/>
        <w:rPr>
          <w:b/>
          <w:color w:val="auto"/>
          <w:sz w:val="24"/>
          <w:szCs w:val="24"/>
          <w:highlight w:val="none"/>
        </w:rPr>
      </w:pPr>
      <w:r>
        <w:rPr>
          <w:rFonts w:hint="eastAsia"/>
          <w:b/>
          <w:color w:val="auto"/>
          <w:sz w:val="24"/>
          <w:szCs w:val="24"/>
          <w:highlight w:val="none"/>
        </w:rPr>
        <w:t xml:space="preserve">条款号：11.2 </w:t>
      </w:r>
      <w:r>
        <w:rPr>
          <w:b/>
          <w:color w:val="auto"/>
          <w:sz w:val="24"/>
          <w:szCs w:val="24"/>
          <w:highlight w:val="none"/>
        </w:rPr>
        <w:t xml:space="preserve">             </w:t>
      </w:r>
      <w:r>
        <w:rPr>
          <w:rFonts w:hint="eastAsia"/>
          <w:b/>
          <w:color w:val="auto"/>
          <w:sz w:val="24"/>
          <w:szCs w:val="24"/>
          <w:highlight w:val="none"/>
        </w:rPr>
        <w:t>修改类型：修改</w:t>
      </w:r>
    </w:p>
    <w:p w14:paraId="4C6E43E9">
      <w:pPr>
        <w:spacing w:line="360" w:lineRule="auto"/>
        <w:ind w:firstLine="482" w:firstLineChars="200"/>
        <w:rPr>
          <w:rFonts w:hint="eastAsia" w:ascii="宋体" w:hAnsi="宋体"/>
          <w:bCs/>
          <w:color w:val="auto"/>
          <w:sz w:val="24"/>
          <w:szCs w:val="24"/>
          <w:highlight w:val="none"/>
          <w:u w:val="single"/>
        </w:rPr>
      </w:pPr>
      <w:r>
        <w:rPr>
          <w:rFonts w:hint="eastAsia"/>
          <w:b/>
          <w:color w:val="auto"/>
          <w:sz w:val="24"/>
          <w:szCs w:val="24"/>
          <w:highlight w:val="none"/>
        </w:rPr>
        <w:t>原文：</w:t>
      </w:r>
      <w:r>
        <w:rPr>
          <w:rFonts w:ascii="宋体" w:hAnsi="宋体"/>
          <w:bCs/>
          <w:color w:val="auto"/>
          <w:sz w:val="24"/>
          <w:szCs w:val="24"/>
          <w:highlight w:val="none"/>
          <w:u w:val="single"/>
        </w:rPr>
        <w:t>11.2</w:t>
      </w:r>
      <w:r>
        <w:rPr>
          <w:rFonts w:hint="eastAsia" w:ascii="宋体" w:hAnsi="宋体"/>
          <w:bCs/>
          <w:color w:val="auto"/>
          <w:sz w:val="24"/>
          <w:szCs w:val="24"/>
          <w:highlight w:val="none"/>
          <w:u w:val="single"/>
        </w:rPr>
        <w:t>投标文件技术标部分主要包括下列内容</w:t>
      </w:r>
      <w:r>
        <w:rPr>
          <w:rFonts w:ascii="宋体" w:hAnsi="宋体"/>
          <w:bCs/>
          <w:color w:val="auto"/>
          <w:sz w:val="24"/>
          <w:szCs w:val="24"/>
          <w:highlight w:val="none"/>
          <w:u w:val="single"/>
        </w:rPr>
        <w:t>:</w:t>
      </w:r>
    </w:p>
    <w:p w14:paraId="3D302753">
      <w:pPr>
        <w:pStyle w:val="20"/>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u w:val="single"/>
        </w:rPr>
        <w:t>11.2.1资格审查文件</w:t>
      </w:r>
    </w:p>
    <w:p w14:paraId="7B616148">
      <w:pPr>
        <w:numPr>
          <w:ilvl w:val="0"/>
          <w:numId w:val="6"/>
        </w:numPr>
        <w:spacing w:line="360" w:lineRule="auto"/>
        <w:ind w:firstLine="480" w:firstLineChars="200"/>
        <w:rPr>
          <w:rFonts w:ascii="宋体"/>
          <w:bCs/>
          <w:color w:val="auto"/>
          <w:sz w:val="24"/>
          <w:szCs w:val="24"/>
          <w:highlight w:val="none"/>
          <w:u w:val="single"/>
        </w:rPr>
      </w:pPr>
      <w:r>
        <w:rPr>
          <w:rFonts w:hint="eastAsia" w:ascii="宋体"/>
          <w:bCs/>
          <w:color w:val="auto"/>
          <w:sz w:val="24"/>
          <w:szCs w:val="24"/>
          <w:highlight w:val="none"/>
          <w:u w:val="single"/>
        </w:rPr>
        <w:t>投标人声明；</w:t>
      </w:r>
    </w:p>
    <w:p w14:paraId="61DE07F5">
      <w:pPr>
        <w:spacing w:line="360" w:lineRule="auto"/>
        <w:ind w:firstLine="480" w:firstLineChars="200"/>
        <w:rPr>
          <w:rFonts w:ascii="宋体"/>
          <w:bCs/>
          <w:color w:val="auto"/>
          <w:sz w:val="24"/>
          <w:szCs w:val="24"/>
          <w:highlight w:val="none"/>
          <w:u w:val="single"/>
        </w:rPr>
      </w:pPr>
      <w:r>
        <w:rPr>
          <w:rFonts w:hint="eastAsia" w:ascii="宋体"/>
          <w:bCs/>
          <w:color w:val="auto"/>
          <w:sz w:val="24"/>
          <w:szCs w:val="24"/>
          <w:highlight w:val="none"/>
          <w:u w:val="single"/>
        </w:rPr>
        <w:t>（2）法定代表人证明书、法定代表人签字或盖章的本投标文件授权委托证明书；</w:t>
      </w:r>
    </w:p>
    <w:p w14:paraId="1DE42523">
      <w:pPr>
        <w:spacing w:line="360" w:lineRule="auto"/>
        <w:ind w:firstLine="480" w:firstLineChars="200"/>
        <w:rPr>
          <w:rFonts w:ascii="宋体"/>
          <w:bCs/>
          <w:color w:val="auto"/>
          <w:sz w:val="24"/>
          <w:szCs w:val="24"/>
          <w:highlight w:val="none"/>
          <w:u w:val="single"/>
        </w:rPr>
      </w:pPr>
      <w:r>
        <w:rPr>
          <w:rFonts w:hint="eastAsia" w:ascii="宋体"/>
          <w:bCs/>
          <w:color w:val="auto"/>
          <w:sz w:val="24"/>
          <w:szCs w:val="24"/>
          <w:highlight w:val="none"/>
          <w:u w:val="single"/>
        </w:rPr>
        <w:t>（3）企业营业执照；</w:t>
      </w:r>
    </w:p>
    <w:p w14:paraId="54716F1A">
      <w:pPr>
        <w:spacing w:line="360" w:lineRule="auto"/>
        <w:ind w:firstLine="480" w:firstLineChars="200"/>
        <w:rPr>
          <w:rFonts w:ascii="宋体"/>
          <w:bCs/>
          <w:color w:val="auto"/>
          <w:sz w:val="24"/>
          <w:szCs w:val="24"/>
          <w:highlight w:val="none"/>
          <w:u w:val="single"/>
        </w:rPr>
      </w:pPr>
      <w:r>
        <w:rPr>
          <w:rFonts w:hint="eastAsia" w:ascii="宋体"/>
          <w:bCs/>
          <w:color w:val="auto"/>
          <w:sz w:val="24"/>
          <w:szCs w:val="24"/>
          <w:highlight w:val="none"/>
          <w:u w:val="single"/>
        </w:rPr>
        <w:t>（4）企业资质证书；</w:t>
      </w:r>
    </w:p>
    <w:p w14:paraId="1EC02BEA">
      <w:pPr>
        <w:spacing w:line="360" w:lineRule="auto"/>
        <w:ind w:firstLine="480" w:firstLineChars="200"/>
        <w:rPr>
          <w:rFonts w:ascii="宋体"/>
          <w:bCs/>
          <w:color w:val="auto"/>
          <w:sz w:val="24"/>
          <w:szCs w:val="24"/>
          <w:highlight w:val="none"/>
          <w:u w:val="single"/>
        </w:rPr>
      </w:pPr>
      <w:r>
        <w:rPr>
          <w:rFonts w:hint="eastAsia" w:ascii="宋体"/>
          <w:bCs/>
          <w:color w:val="auto"/>
          <w:sz w:val="24"/>
          <w:szCs w:val="24"/>
          <w:highlight w:val="none"/>
          <w:u w:val="single"/>
        </w:rPr>
        <w:t>（5）建筑施工企业安全生产许可证；</w:t>
      </w:r>
    </w:p>
    <w:p w14:paraId="4D615FF6">
      <w:pPr>
        <w:spacing w:line="360" w:lineRule="auto"/>
        <w:ind w:firstLine="480" w:firstLineChars="200"/>
        <w:rPr>
          <w:rFonts w:hint="eastAsia" w:ascii="宋体" w:hAnsi="宋体"/>
          <w:bCs/>
          <w:color w:val="auto"/>
          <w:sz w:val="24"/>
          <w:szCs w:val="24"/>
          <w:highlight w:val="none"/>
          <w:u w:val="single"/>
        </w:rPr>
      </w:pPr>
      <w:r>
        <w:rPr>
          <w:rFonts w:hint="eastAsia" w:ascii="宋体"/>
          <w:bCs/>
          <w:color w:val="auto"/>
          <w:sz w:val="24"/>
          <w:szCs w:val="24"/>
          <w:highlight w:val="none"/>
          <w:u w:val="single"/>
        </w:rPr>
        <w:t>（6）</w:t>
      </w:r>
      <w:r>
        <w:rPr>
          <w:rFonts w:hint="eastAsia" w:ascii="宋体" w:hAnsi="宋体"/>
          <w:bCs/>
          <w:color w:val="auto"/>
          <w:sz w:val="24"/>
          <w:szCs w:val="24"/>
          <w:highlight w:val="none"/>
          <w:u w:val="single"/>
        </w:rPr>
        <w:t>项目负责人（按网上投标登记时选择拟投标的项目负责人。</w:t>
      </w:r>
      <w:r>
        <w:rPr>
          <w:rFonts w:ascii="宋体" w:hAnsi="宋体"/>
          <w:color w:val="auto"/>
          <w:sz w:val="24"/>
          <w:szCs w:val="24"/>
          <w:highlight w:val="none"/>
          <w:u w:val="single"/>
        </w:rPr>
        <w:t>投标人须在</w:t>
      </w:r>
      <w:r>
        <w:rPr>
          <w:rFonts w:hint="eastAsia" w:ascii="宋体" w:hAnsi="宋体"/>
          <w:color w:val="auto"/>
          <w:sz w:val="24"/>
          <w:szCs w:val="24"/>
          <w:highlight w:val="none"/>
          <w:u w:val="single"/>
        </w:rPr>
        <w:t>广州市交通建设项目企业信息库建立企业信用信息档案，拟担任本工程项目负责人须是本企业信息档案中的在册人员</w:t>
      </w:r>
      <w:r>
        <w:rPr>
          <w:rFonts w:hint="eastAsia" w:ascii="宋体" w:hAnsi="宋体"/>
          <w:bCs/>
          <w:color w:val="auto"/>
          <w:sz w:val="24"/>
          <w:szCs w:val="24"/>
          <w:highlight w:val="none"/>
          <w:u w:val="single"/>
        </w:rPr>
        <w:t>）；</w:t>
      </w:r>
    </w:p>
    <w:p w14:paraId="2BAB43CC">
      <w:pPr>
        <w:spacing w:line="360" w:lineRule="auto"/>
        <w:ind w:firstLine="480" w:firstLineChars="200"/>
        <w:rPr>
          <w:rFonts w:hint="eastAsia" w:ascii="宋体" w:hAnsi="宋体"/>
          <w:bCs/>
          <w:color w:val="auto"/>
          <w:sz w:val="24"/>
          <w:szCs w:val="24"/>
          <w:highlight w:val="none"/>
          <w:u w:val="single"/>
        </w:rPr>
      </w:pPr>
      <w:r>
        <w:rPr>
          <w:rFonts w:hint="eastAsia" w:ascii="宋体" w:hAnsi="宋体"/>
          <w:bCs/>
          <w:color w:val="auto"/>
          <w:sz w:val="24"/>
          <w:szCs w:val="24"/>
          <w:highlight w:val="none"/>
          <w:u w:val="single"/>
        </w:rPr>
        <w:t>（7）专职安全员（按网上投标登记时选择拟投标的专职安全员，</w:t>
      </w:r>
      <w:r>
        <w:rPr>
          <w:rFonts w:ascii="宋体" w:hAnsi="宋体"/>
          <w:color w:val="auto"/>
          <w:sz w:val="24"/>
          <w:szCs w:val="24"/>
          <w:highlight w:val="none"/>
          <w:u w:val="single"/>
        </w:rPr>
        <w:t>投标人须在</w:t>
      </w:r>
      <w:r>
        <w:rPr>
          <w:rFonts w:hint="eastAsia" w:ascii="宋体" w:hAnsi="宋体"/>
          <w:color w:val="auto"/>
          <w:sz w:val="24"/>
          <w:szCs w:val="24"/>
          <w:highlight w:val="none"/>
          <w:u w:val="single"/>
        </w:rPr>
        <w:t>广州市交通建设项目企业信息库建立企业信用信息档案，拟担任本工程专职安全员须是本企业信息档案中的在册人员</w:t>
      </w:r>
      <w:r>
        <w:rPr>
          <w:rFonts w:hint="eastAsia" w:ascii="宋体" w:hAnsi="宋体"/>
          <w:bCs/>
          <w:color w:val="auto"/>
          <w:sz w:val="24"/>
          <w:szCs w:val="24"/>
          <w:highlight w:val="none"/>
          <w:u w:val="single"/>
        </w:rPr>
        <w:t>）；</w:t>
      </w:r>
    </w:p>
    <w:p w14:paraId="6454C45F">
      <w:pPr>
        <w:spacing w:line="360" w:lineRule="auto"/>
        <w:ind w:firstLine="480" w:firstLineChars="200"/>
        <w:rPr>
          <w:rFonts w:ascii="宋体"/>
          <w:bCs/>
          <w:color w:val="auto"/>
          <w:sz w:val="24"/>
          <w:szCs w:val="24"/>
          <w:highlight w:val="none"/>
          <w:u w:val="single"/>
        </w:rPr>
      </w:pPr>
      <w:r>
        <w:rPr>
          <w:rFonts w:hint="eastAsia" w:ascii="宋体"/>
          <w:bCs/>
          <w:color w:val="auto"/>
          <w:sz w:val="24"/>
          <w:szCs w:val="24"/>
          <w:highlight w:val="none"/>
          <w:u w:val="single"/>
        </w:rPr>
        <w:t>（8）拟委派项目负责人的建造师注册证书（取自</w:t>
      </w:r>
      <w:r>
        <w:rPr>
          <w:rFonts w:hint="eastAsia" w:ascii="宋体" w:hAnsi="宋体"/>
          <w:color w:val="auto"/>
          <w:sz w:val="24"/>
          <w:szCs w:val="24"/>
          <w:highlight w:val="none"/>
          <w:u w:val="single"/>
        </w:rPr>
        <w:t>广州市交通建设项目企业信息库</w:t>
      </w:r>
      <w:r>
        <w:rPr>
          <w:rFonts w:hint="eastAsia" w:ascii="宋体"/>
          <w:bCs/>
          <w:color w:val="auto"/>
          <w:sz w:val="24"/>
          <w:szCs w:val="24"/>
          <w:highlight w:val="none"/>
          <w:u w:val="single"/>
        </w:rPr>
        <w:t xml:space="preserve">内上传件） ； </w:t>
      </w:r>
    </w:p>
    <w:p w14:paraId="22FE537E">
      <w:pPr>
        <w:spacing w:line="360" w:lineRule="auto"/>
        <w:ind w:firstLine="480" w:firstLineChars="200"/>
        <w:rPr>
          <w:rFonts w:ascii="宋体"/>
          <w:bCs/>
          <w:color w:val="auto"/>
          <w:sz w:val="24"/>
          <w:szCs w:val="24"/>
          <w:highlight w:val="none"/>
          <w:u w:val="single"/>
        </w:rPr>
      </w:pPr>
      <w:r>
        <w:rPr>
          <w:rFonts w:hint="eastAsia" w:ascii="宋体"/>
          <w:bCs/>
          <w:color w:val="auto"/>
          <w:sz w:val="24"/>
          <w:szCs w:val="24"/>
          <w:highlight w:val="none"/>
          <w:u w:val="single"/>
        </w:rPr>
        <w:t>（9）项目负责人安全生产考核合格证明或在有效期内的安全考核合格证书（B类）或建筑施工企业项目负责人安全生产考核合格证书；</w:t>
      </w:r>
    </w:p>
    <w:p w14:paraId="11D5E098">
      <w:pPr>
        <w:spacing w:line="360" w:lineRule="auto"/>
        <w:ind w:firstLine="480" w:firstLineChars="200"/>
        <w:rPr>
          <w:rFonts w:ascii="宋体"/>
          <w:bCs/>
          <w:color w:val="auto"/>
          <w:sz w:val="24"/>
          <w:szCs w:val="24"/>
          <w:highlight w:val="none"/>
          <w:u w:val="single"/>
        </w:rPr>
      </w:pPr>
      <w:r>
        <w:rPr>
          <w:rFonts w:hint="eastAsia" w:ascii="宋体"/>
          <w:bCs/>
          <w:color w:val="auto"/>
          <w:sz w:val="24"/>
          <w:szCs w:val="24"/>
          <w:highlight w:val="none"/>
          <w:u w:val="single"/>
        </w:rPr>
        <w:t>（10）专职安全员须具有在有效期内的安全考核合格证书（C类）或建筑施工企业专职安全生产管理人员安全生产考核合格证书（C3）；</w:t>
      </w:r>
    </w:p>
    <w:p w14:paraId="5515D633">
      <w:pPr>
        <w:spacing w:line="360" w:lineRule="auto"/>
        <w:ind w:firstLine="480" w:firstLineChars="200"/>
        <w:rPr>
          <w:rFonts w:ascii="宋体"/>
          <w:bCs/>
          <w:color w:val="auto"/>
          <w:sz w:val="24"/>
          <w:szCs w:val="24"/>
          <w:highlight w:val="none"/>
          <w:u w:val="single"/>
        </w:rPr>
      </w:pPr>
      <w:r>
        <w:rPr>
          <w:rFonts w:hint="eastAsia" w:ascii="宋体"/>
          <w:bCs/>
          <w:color w:val="auto"/>
          <w:sz w:val="24"/>
          <w:szCs w:val="24"/>
          <w:highlight w:val="none"/>
          <w:u w:val="single"/>
        </w:rPr>
        <w:t>（11）</w:t>
      </w:r>
      <w:r>
        <w:rPr>
          <w:rFonts w:hint="eastAsia" w:ascii="宋体" w:hAnsi="宋体"/>
          <w:bCs/>
          <w:color w:val="auto"/>
          <w:sz w:val="24"/>
          <w:szCs w:val="24"/>
          <w:highlight w:val="none"/>
          <w:u w:val="single"/>
        </w:rPr>
        <w:t>用于资格审查的业绩（设置业绩要求时选择此项，</w:t>
      </w:r>
      <w:r>
        <w:rPr>
          <w:rFonts w:hint="eastAsia" w:ascii="宋体" w:hAnsi="宋体"/>
          <w:color w:val="auto"/>
          <w:sz w:val="24"/>
          <w:szCs w:val="24"/>
          <w:highlight w:val="none"/>
          <w:u w:val="single"/>
        </w:rPr>
        <w:t>具体格式由招标人自定</w:t>
      </w:r>
      <w:r>
        <w:rPr>
          <w:rFonts w:hint="eastAsia" w:ascii="宋体" w:hAnsi="宋体"/>
          <w:bCs/>
          <w:color w:val="auto"/>
          <w:sz w:val="24"/>
          <w:szCs w:val="24"/>
          <w:highlight w:val="none"/>
          <w:u w:val="single"/>
        </w:rPr>
        <w:t>）</w:t>
      </w:r>
    </w:p>
    <w:p w14:paraId="41C73818">
      <w:pPr>
        <w:spacing w:line="360" w:lineRule="auto"/>
        <w:ind w:firstLine="480" w:firstLineChars="200"/>
        <w:rPr>
          <w:rFonts w:hint="eastAsia" w:ascii="宋体" w:hAnsi="宋体"/>
          <w:bCs/>
          <w:color w:val="auto"/>
          <w:sz w:val="24"/>
          <w:szCs w:val="24"/>
          <w:highlight w:val="none"/>
          <w:u w:val="single"/>
        </w:rPr>
      </w:pPr>
      <w:r>
        <w:rPr>
          <w:rFonts w:hint="eastAsia" w:ascii="宋体" w:hAnsi="宋体"/>
          <w:bCs/>
          <w:color w:val="auto"/>
          <w:sz w:val="24"/>
          <w:szCs w:val="24"/>
          <w:highlight w:val="none"/>
          <w:u w:val="single"/>
        </w:rPr>
        <w:t>（12）列明主办单位的联合体工作协议（采用联合体投标时需递交，</w:t>
      </w:r>
      <w:r>
        <w:rPr>
          <w:rFonts w:hint="eastAsia" w:ascii="宋体" w:hAnsi="宋体"/>
          <w:color w:val="auto"/>
          <w:sz w:val="24"/>
          <w:szCs w:val="24"/>
          <w:highlight w:val="none"/>
          <w:u w:val="single"/>
        </w:rPr>
        <w:t>联合体工作协议应明确约定各方拟承担的工作和责任</w:t>
      </w:r>
      <w:r>
        <w:rPr>
          <w:rFonts w:hint="eastAsia" w:ascii="宋体" w:hAnsi="宋体"/>
          <w:bCs/>
          <w:color w:val="auto"/>
          <w:sz w:val="24"/>
          <w:szCs w:val="24"/>
          <w:highlight w:val="none"/>
          <w:u w:val="single"/>
        </w:rPr>
        <w:t>）；</w:t>
      </w:r>
    </w:p>
    <w:p w14:paraId="12BFDB32">
      <w:pPr>
        <w:spacing w:line="360" w:lineRule="auto"/>
        <w:ind w:firstLine="480" w:firstLineChars="200"/>
        <w:rPr>
          <w:rFonts w:hint="eastAsia" w:ascii="宋体" w:hAnsi="宋体"/>
          <w:bCs/>
          <w:color w:val="auto"/>
          <w:sz w:val="24"/>
          <w:szCs w:val="24"/>
          <w:highlight w:val="none"/>
          <w:u w:val="single"/>
        </w:rPr>
      </w:pPr>
      <w:r>
        <w:rPr>
          <w:rFonts w:hint="eastAsia" w:ascii="宋体" w:hAnsi="宋体"/>
          <w:bCs/>
          <w:color w:val="auto"/>
          <w:sz w:val="24"/>
          <w:szCs w:val="24"/>
          <w:highlight w:val="none"/>
          <w:u w:val="single"/>
        </w:rPr>
        <w:t>（13）投标人认为应提交的其他资料 。</w:t>
      </w:r>
    </w:p>
    <w:p w14:paraId="6548C4E9">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11.2.2技术投标文件主要包括下列内容：</w:t>
      </w:r>
    </w:p>
    <w:p w14:paraId="33B6FDE1">
      <w:pPr>
        <w:numPr>
          <w:ilvl w:val="0"/>
          <w:numId w:val="7"/>
        </w:numPr>
        <w:spacing w:line="360" w:lineRule="auto"/>
        <w:ind w:firstLine="480" w:firstLineChars="200"/>
        <w:rPr>
          <w:rFonts w:hint="eastAsia" w:ascii="宋体" w:hAnsi="宋体"/>
          <w:color w:val="auto"/>
          <w:sz w:val="24"/>
          <w:szCs w:val="24"/>
          <w:highlight w:val="none"/>
          <w:u w:val="single"/>
        </w:rPr>
      </w:pPr>
      <w:r>
        <w:rPr>
          <w:rFonts w:hint="eastAsia" w:ascii="宋体"/>
          <w:bCs/>
          <w:color w:val="auto"/>
          <w:sz w:val="24"/>
          <w:szCs w:val="24"/>
          <w:highlight w:val="none"/>
          <w:u w:val="single"/>
        </w:rPr>
        <w:t>《广州建设工程施工招标投标书》；</w:t>
      </w:r>
    </w:p>
    <w:p w14:paraId="0E367569">
      <w:pPr>
        <w:numPr>
          <w:ilvl w:val="0"/>
          <w:numId w:val="7"/>
        </w:num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项目管理机构配备：</w:t>
      </w:r>
    </w:p>
    <w:p w14:paraId="5A42FA5C">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①投标人应列出该项目工程的施工组织机构构成和画出机构框架图及其负责人；</w:t>
      </w:r>
    </w:p>
    <w:p w14:paraId="568B849F">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②投标人应详细列出该施工组织机构中主要成员的名单、简历资料、职务职称和在本项目中拟担任的职务等资料，并附上有关证明材料扫描件；</w:t>
      </w:r>
    </w:p>
    <w:p w14:paraId="416BA280">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③其他辅助说明资料。</w:t>
      </w:r>
    </w:p>
    <w:p w14:paraId="5945E110">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（3）施工组织设计或施工方案；</w:t>
      </w:r>
    </w:p>
    <w:p w14:paraId="68D81779">
      <w:pPr>
        <w:pStyle w:val="2"/>
        <w:spacing w:line="360" w:lineRule="auto"/>
        <w:rPr>
          <w:rFonts w:hint="eastAsia" w:ascii="宋体" w:hAnsi="宋体"/>
          <w:color w:val="auto"/>
          <w:sz w:val="24"/>
          <w:szCs w:val="24"/>
          <w:highlight w:val="none"/>
          <w:u w:val="single"/>
        </w:rPr>
      </w:pPr>
      <w:r>
        <w:rPr>
          <w:rFonts w:hint="eastAsia" w:ascii="楷体" w:hAnsi="楷体" w:eastAsia="楷体" w:cs="楷体"/>
          <w:color w:val="auto"/>
          <w:sz w:val="24"/>
          <w:szCs w:val="24"/>
          <w:highlight w:val="none"/>
          <w:u w:val="single"/>
        </w:rPr>
        <w:t>注：建议招标人在招标文件中提出篇幅上限，国家及地方现有工法规范已有的内容无需重复提交。</w:t>
      </w:r>
    </w:p>
    <w:p w14:paraId="4509760B">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（4）（选择性条款）有余泥渣土产生的项目可要求提供余泥渣土运输与排放方案；</w:t>
      </w:r>
    </w:p>
    <w:p w14:paraId="17024BDB">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（5）（选择性条款）投标人可使用适合本工程的机械设备；</w:t>
      </w:r>
    </w:p>
    <w:p w14:paraId="4E24CB74">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（6）（选择性条款）类似工程业绩材料；</w:t>
      </w:r>
    </w:p>
    <w:p w14:paraId="749DF223">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（7）按本招标文件规定提交的其它所有技术资料；</w:t>
      </w:r>
    </w:p>
    <w:p w14:paraId="6A5F101D">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（8）按照招标文件要求填写的《参与编制技术标投标文件人员名单》。</w:t>
      </w:r>
    </w:p>
    <w:p w14:paraId="5BFA1BD9">
      <w:pPr>
        <w:spacing w:line="360" w:lineRule="auto"/>
        <w:ind w:firstLine="482" w:firstLineChars="200"/>
        <w:rPr>
          <w:rFonts w:hint="eastAsia" w:ascii="宋体" w:hAnsi="宋体"/>
          <w:bCs/>
          <w:color w:val="auto"/>
          <w:sz w:val="24"/>
          <w:szCs w:val="24"/>
          <w:highlight w:val="none"/>
          <w:u w:val="single"/>
        </w:rPr>
      </w:pPr>
      <w:r>
        <w:rPr>
          <w:rFonts w:hint="eastAsia"/>
          <w:b/>
          <w:color w:val="auto"/>
          <w:sz w:val="24"/>
          <w:szCs w:val="24"/>
          <w:highlight w:val="none"/>
        </w:rPr>
        <w:t>现文：</w:t>
      </w:r>
      <w:r>
        <w:rPr>
          <w:rFonts w:ascii="宋体" w:hAnsi="宋体"/>
          <w:bCs/>
          <w:color w:val="auto"/>
          <w:sz w:val="24"/>
          <w:szCs w:val="24"/>
          <w:highlight w:val="none"/>
          <w:u w:val="single"/>
        </w:rPr>
        <w:t>11.2</w:t>
      </w:r>
      <w:r>
        <w:rPr>
          <w:rFonts w:hint="eastAsia" w:ascii="宋体" w:hAnsi="宋体"/>
          <w:bCs/>
          <w:color w:val="auto"/>
          <w:sz w:val="24"/>
          <w:szCs w:val="24"/>
          <w:highlight w:val="none"/>
          <w:u w:val="single"/>
        </w:rPr>
        <w:t>投标文件技术标部分主要包括下列内容</w:t>
      </w:r>
      <w:r>
        <w:rPr>
          <w:rFonts w:ascii="宋体" w:hAnsi="宋体"/>
          <w:bCs/>
          <w:color w:val="auto"/>
          <w:sz w:val="24"/>
          <w:szCs w:val="24"/>
          <w:highlight w:val="none"/>
          <w:u w:val="single"/>
        </w:rPr>
        <w:t>:</w:t>
      </w:r>
    </w:p>
    <w:p w14:paraId="250B4294">
      <w:pPr>
        <w:pStyle w:val="20"/>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u w:val="single"/>
        </w:rPr>
        <w:t>11.2.1资格审查文件</w:t>
      </w:r>
    </w:p>
    <w:p w14:paraId="3C05ED13">
      <w:pPr>
        <w:spacing w:line="360" w:lineRule="auto"/>
        <w:ind w:firstLine="480" w:firstLineChars="200"/>
        <w:rPr>
          <w:rFonts w:ascii="宋体"/>
          <w:bCs/>
          <w:color w:val="auto"/>
          <w:sz w:val="24"/>
          <w:szCs w:val="24"/>
          <w:highlight w:val="none"/>
          <w:u w:val="single"/>
        </w:rPr>
      </w:pPr>
      <w:r>
        <w:rPr>
          <w:rFonts w:ascii="宋体"/>
          <w:bCs/>
          <w:color w:val="auto"/>
          <w:sz w:val="24"/>
          <w:szCs w:val="24"/>
          <w:highlight w:val="none"/>
        </w:rPr>
        <w:t>（1）</w:t>
      </w:r>
      <w:r>
        <w:rPr>
          <w:rFonts w:hint="eastAsia" w:ascii="宋体"/>
          <w:bCs/>
          <w:color w:val="auto"/>
          <w:sz w:val="24"/>
          <w:szCs w:val="24"/>
          <w:highlight w:val="none"/>
          <w:u w:val="single"/>
        </w:rPr>
        <w:t>投标人声明（一）、投标人声明（二）、投标人声明（三）（须按本工程招标公告附件一格式）；</w:t>
      </w:r>
    </w:p>
    <w:p w14:paraId="4A64CC6A">
      <w:pPr>
        <w:spacing w:line="360" w:lineRule="auto"/>
        <w:ind w:firstLine="480" w:firstLineChars="200"/>
        <w:rPr>
          <w:rFonts w:ascii="宋体"/>
          <w:bCs/>
          <w:color w:val="auto"/>
          <w:sz w:val="24"/>
          <w:szCs w:val="24"/>
          <w:highlight w:val="none"/>
          <w:u w:val="single"/>
        </w:rPr>
      </w:pPr>
      <w:r>
        <w:rPr>
          <w:rFonts w:hint="eastAsia" w:ascii="宋体"/>
          <w:bCs/>
          <w:color w:val="auto"/>
          <w:sz w:val="24"/>
          <w:szCs w:val="24"/>
          <w:highlight w:val="none"/>
          <w:u w:val="single"/>
        </w:rPr>
        <w:t>（2）法定代表人证明书、法定代表人签字或盖章的本投标文件授权委托证明书；</w:t>
      </w:r>
    </w:p>
    <w:p w14:paraId="1802E889">
      <w:pPr>
        <w:spacing w:line="360" w:lineRule="auto"/>
        <w:ind w:firstLine="480" w:firstLineChars="200"/>
        <w:rPr>
          <w:rFonts w:ascii="宋体"/>
          <w:bCs/>
          <w:color w:val="auto"/>
          <w:sz w:val="24"/>
          <w:szCs w:val="24"/>
          <w:highlight w:val="none"/>
          <w:u w:val="single"/>
        </w:rPr>
      </w:pPr>
      <w:r>
        <w:rPr>
          <w:rFonts w:hint="eastAsia" w:ascii="宋体"/>
          <w:bCs/>
          <w:color w:val="auto"/>
          <w:sz w:val="24"/>
          <w:szCs w:val="24"/>
          <w:highlight w:val="none"/>
          <w:u w:val="single"/>
        </w:rPr>
        <w:t>（3）企业营业执照扫描件或电子证照；</w:t>
      </w:r>
    </w:p>
    <w:p w14:paraId="429F8412">
      <w:pPr>
        <w:spacing w:line="360" w:lineRule="auto"/>
        <w:ind w:firstLine="480" w:firstLineChars="200"/>
        <w:rPr>
          <w:rFonts w:ascii="宋体"/>
          <w:bCs/>
          <w:color w:val="auto"/>
          <w:sz w:val="24"/>
          <w:szCs w:val="24"/>
          <w:highlight w:val="none"/>
          <w:u w:val="single"/>
        </w:rPr>
      </w:pPr>
      <w:r>
        <w:rPr>
          <w:rFonts w:hint="eastAsia" w:ascii="宋体"/>
          <w:bCs/>
          <w:color w:val="auto"/>
          <w:sz w:val="24"/>
          <w:szCs w:val="24"/>
          <w:highlight w:val="none"/>
          <w:u w:val="single"/>
        </w:rPr>
        <w:t>（4）企业资质证书扫描件或电子证照；</w:t>
      </w:r>
    </w:p>
    <w:p w14:paraId="7C9A7822">
      <w:pPr>
        <w:spacing w:line="360" w:lineRule="auto"/>
        <w:ind w:firstLine="480" w:firstLineChars="200"/>
        <w:rPr>
          <w:rFonts w:ascii="宋体"/>
          <w:bCs/>
          <w:color w:val="auto"/>
          <w:sz w:val="24"/>
          <w:szCs w:val="24"/>
          <w:highlight w:val="none"/>
          <w:u w:val="single"/>
        </w:rPr>
      </w:pPr>
      <w:r>
        <w:rPr>
          <w:rFonts w:hint="eastAsia" w:ascii="宋体"/>
          <w:bCs/>
          <w:color w:val="auto"/>
          <w:sz w:val="24"/>
          <w:szCs w:val="24"/>
          <w:highlight w:val="none"/>
          <w:u w:val="single"/>
        </w:rPr>
        <w:t>（5）建筑施工企业安全生产许可证扫描件或电子证照；</w:t>
      </w:r>
    </w:p>
    <w:p w14:paraId="4CFFA923">
      <w:pPr>
        <w:spacing w:line="360" w:lineRule="auto"/>
        <w:ind w:firstLine="480" w:firstLineChars="200"/>
        <w:rPr>
          <w:rFonts w:hint="eastAsia" w:ascii="宋体" w:hAnsi="宋体"/>
          <w:bCs/>
          <w:color w:val="auto"/>
          <w:sz w:val="24"/>
          <w:szCs w:val="24"/>
          <w:highlight w:val="none"/>
          <w:u w:val="single"/>
        </w:rPr>
      </w:pPr>
      <w:r>
        <w:rPr>
          <w:rFonts w:hint="eastAsia" w:ascii="宋体"/>
          <w:bCs/>
          <w:color w:val="auto"/>
          <w:sz w:val="24"/>
          <w:szCs w:val="24"/>
          <w:highlight w:val="none"/>
          <w:u w:val="single"/>
        </w:rPr>
        <w:t>（6）</w:t>
      </w:r>
      <w:r>
        <w:rPr>
          <w:rFonts w:hint="eastAsia" w:ascii="宋体" w:hAnsi="宋体"/>
          <w:bCs/>
          <w:color w:val="auto"/>
          <w:sz w:val="24"/>
          <w:szCs w:val="24"/>
          <w:highlight w:val="none"/>
          <w:u w:val="single"/>
        </w:rPr>
        <w:t>项目负责人（按网上投标登记时选择拟投标的项目负责人）；</w:t>
      </w:r>
    </w:p>
    <w:p w14:paraId="07087611">
      <w:pPr>
        <w:spacing w:line="360" w:lineRule="auto"/>
        <w:ind w:firstLine="480" w:firstLineChars="200"/>
        <w:rPr>
          <w:rFonts w:hint="eastAsia" w:ascii="宋体" w:hAnsi="宋体"/>
          <w:bCs/>
          <w:color w:val="auto"/>
          <w:sz w:val="24"/>
          <w:szCs w:val="24"/>
          <w:highlight w:val="none"/>
          <w:u w:val="single"/>
        </w:rPr>
      </w:pPr>
      <w:r>
        <w:rPr>
          <w:rFonts w:hint="eastAsia" w:ascii="宋体" w:hAnsi="宋体"/>
          <w:bCs/>
          <w:color w:val="auto"/>
          <w:sz w:val="24"/>
          <w:szCs w:val="24"/>
          <w:highlight w:val="none"/>
          <w:u w:val="single"/>
        </w:rPr>
        <w:t>（7）专职安全员（按网上投标登记时选择拟投标的专职安全员）；</w:t>
      </w:r>
    </w:p>
    <w:p w14:paraId="6AA60F30">
      <w:pPr>
        <w:spacing w:line="360" w:lineRule="auto"/>
        <w:ind w:firstLine="480" w:firstLineChars="200"/>
        <w:rPr>
          <w:rFonts w:ascii="宋体"/>
          <w:bCs/>
          <w:color w:val="auto"/>
          <w:sz w:val="24"/>
          <w:szCs w:val="24"/>
          <w:highlight w:val="none"/>
          <w:u w:val="single"/>
        </w:rPr>
      </w:pPr>
      <w:r>
        <w:rPr>
          <w:rFonts w:hint="eastAsia" w:ascii="宋体"/>
          <w:bCs/>
          <w:color w:val="auto"/>
          <w:sz w:val="24"/>
          <w:szCs w:val="24"/>
          <w:highlight w:val="none"/>
          <w:u w:val="single"/>
        </w:rPr>
        <w:t xml:space="preserve">（8）拟委派项目负责人的建造师注册证书扫描件或电子证书 ； </w:t>
      </w:r>
    </w:p>
    <w:p w14:paraId="7FA19A4C">
      <w:pPr>
        <w:spacing w:line="360" w:lineRule="auto"/>
        <w:ind w:firstLine="480" w:firstLineChars="200"/>
        <w:rPr>
          <w:rFonts w:ascii="宋体"/>
          <w:bCs/>
          <w:color w:val="auto"/>
          <w:sz w:val="24"/>
          <w:szCs w:val="24"/>
          <w:highlight w:val="none"/>
          <w:u w:val="single"/>
        </w:rPr>
      </w:pPr>
      <w:r>
        <w:rPr>
          <w:rFonts w:hint="eastAsia" w:ascii="宋体"/>
          <w:bCs/>
          <w:color w:val="auto"/>
          <w:sz w:val="24"/>
          <w:szCs w:val="24"/>
          <w:highlight w:val="none"/>
          <w:u w:val="single"/>
        </w:rPr>
        <w:t>（9）项目负责人安全生产考核合格证明或在有效期内的安全考核合格证书（B类）或建筑施工企业项目负责人安全生产考核合格证书扫描件或电子证书；</w:t>
      </w:r>
    </w:p>
    <w:p w14:paraId="75A94B18">
      <w:pPr>
        <w:spacing w:line="360" w:lineRule="auto"/>
        <w:ind w:firstLine="480" w:firstLineChars="200"/>
        <w:rPr>
          <w:rFonts w:ascii="宋体"/>
          <w:bCs/>
          <w:color w:val="auto"/>
          <w:sz w:val="24"/>
          <w:szCs w:val="24"/>
          <w:highlight w:val="none"/>
          <w:u w:val="single"/>
        </w:rPr>
      </w:pPr>
      <w:r>
        <w:rPr>
          <w:rFonts w:hint="eastAsia" w:ascii="宋体"/>
          <w:bCs/>
          <w:color w:val="auto"/>
          <w:sz w:val="24"/>
          <w:szCs w:val="24"/>
          <w:highlight w:val="none"/>
          <w:u w:val="single"/>
        </w:rPr>
        <w:t>（10）专职安全员须具有在有效期内的安全考核合格证书（C类）或建筑施工企业专职安全生产管理人员安全生产考核合格证书（C3）扫描件或电子证书；</w:t>
      </w:r>
    </w:p>
    <w:p w14:paraId="7AB2D0BA">
      <w:pPr>
        <w:spacing w:line="360" w:lineRule="auto"/>
        <w:ind w:firstLine="480" w:firstLineChars="200"/>
        <w:rPr>
          <w:rFonts w:ascii="宋体"/>
          <w:bCs/>
          <w:strike w:val="0"/>
          <w:color w:val="auto"/>
          <w:sz w:val="24"/>
          <w:szCs w:val="24"/>
          <w:highlight w:val="none"/>
          <w:u w:val="single"/>
        </w:rPr>
      </w:pPr>
      <w:r>
        <w:rPr>
          <w:rFonts w:hint="eastAsia" w:ascii="宋体"/>
          <w:bCs/>
          <w:strike w:val="0"/>
          <w:color w:val="auto"/>
          <w:sz w:val="24"/>
          <w:szCs w:val="24"/>
          <w:highlight w:val="none"/>
          <w:u w:val="single"/>
        </w:rPr>
        <w:t>（11）用于资格审查的业绩（类似工程业绩材料按招标公告第九条第7点要求提供）；</w:t>
      </w:r>
    </w:p>
    <w:p w14:paraId="38FE56E6">
      <w:pPr>
        <w:widowControl/>
        <w:spacing w:line="360" w:lineRule="auto"/>
        <w:ind w:firstLine="480" w:firstLineChars="200"/>
        <w:rPr>
          <w:rFonts w:ascii="宋体"/>
          <w:bCs/>
          <w:color w:val="auto"/>
          <w:sz w:val="24"/>
          <w:szCs w:val="24"/>
          <w:highlight w:val="none"/>
          <w:u w:val="single"/>
        </w:rPr>
      </w:pPr>
      <w:r>
        <w:rPr>
          <w:rFonts w:hint="eastAsia" w:ascii="宋体"/>
          <w:bCs/>
          <w:color w:val="auto"/>
          <w:sz w:val="24"/>
          <w:szCs w:val="24"/>
          <w:highlight w:val="none"/>
          <w:u w:val="single"/>
        </w:rPr>
        <w:t>（12）资格审查前，投标人须在广州交易集团有限公司（广州公共资源交易中心）建立企业信用信息档案，并对其完整性、真实性、合法性负责。拟担任本工程项目负责人、专职安全员须是本企业信息档案中的在册人员。投标人无需提交相关资料，若招标人延长递交投标文件截止时间的，企业信息的评审时点也相应延长。（企业信息登记办理详见《施工类企业信息登记办事指引》，网址：https://www.gzggzy.cn/qyxxd1/1049818.jhtml）。</w:t>
      </w:r>
    </w:p>
    <w:p w14:paraId="10587B9E">
      <w:pPr>
        <w:spacing w:line="360" w:lineRule="auto"/>
        <w:ind w:firstLine="480" w:firstLineChars="200"/>
        <w:rPr>
          <w:rFonts w:ascii="宋体"/>
          <w:bCs/>
          <w:color w:val="auto"/>
          <w:sz w:val="24"/>
          <w:szCs w:val="24"/>
          <w:highlight w:val="none"/>
          <w:u w:val="single"/>
        </w:rPr>
      </w:pPr>
      <w:r>
        <w:rPr>
          <w:rFonts w:hint="eastAsia" w:ascii="宋体"/>
          <w:bCs/>
          <w:color w:val="auto"/>
          <w:sz w:val="24"/>
          <w:szCs w:val="24"/>
          <w:highlight w:val="none"/>
          <w:u w:val="single"/>
        </w:rPr>
        <w:t>注：1.相关电子证书按规定需打印后手写本人签名的，应按照规定手写本人签名后再扫描提交。</w:t>
      </w:r>
    </w:p>
    <w:p w14:paraId="2D8B0982">
      <w:pPr>
        <w:spacing w:line="360" w:lineRule="auto"/>
        <w:ind w:firstLine="480" w:firstLineChars="200"/>
        <w:rPr>
          <w:rFonts w:ascii="宋体"/>
          <w:bCs/>
          <w:color w:val="auto"/>
          <w:sz w:val="24"/>
          <w:szCs w:val="24"/>
          <w:highlight w:val="none"/>
          <w:u w:val="single"/>
        </w:rPr>
      </w:pPr>
      <w:r>
        <w:rPr>
          <w:rFonts w:hint="eastAsia" w:ascii="宋体"/>
          <w:bCs/>
          <w:color w:val="auto"/>
          <w:sz w:val="24"/>
          <w:szCs w:val="24"/>
          <w:highlight w:val="none"/>
          <w:u w:val="single"/>
        </w:rPr>
        <w:t>2.投标人在投标登记时选择了拟投入本项目的项目负责人、专职安全员，即已满足“资格审查前，投标人须在广州交易集团有限公司（广州公共资源交易中心）建立企业信用信息档案，拟担任本工程项目负责人、专职安全员须是本企业信用信息档案中的在册人员”的要求，投标人无需提供证明材料。</w:t>
      </w:r>
    </w:p>
    <w:p w14:paraId="49F8810A">
      <w:pPr>
        <w:spacing w:line="360" w:lineRule="auto"/>
        <w:ind w:firstLine="480" w:firstLineChars="200"/>
        <w:rPr>
          <w:rFonts w:hint="eastAsia" w:ascii="宋体" w:hAnsi="宋体"/>
          <w:bCs/>
          <w:color w:val="auto"/>
          <w:sz w:val="24"/>
          <w:szCs w:val="24"/>
          <w:highlight w:val="none"/>
          <w:u w:val="single"/>
        </w:rPr>
      </w:pPr>
      <w:r>
        <w:rPr>
          <w:rFonts w:hint="eastAsia" w:ascii="宋体" w:hAnsi="宋体"/>
          <w:bCs/>
          <w:color w:val="auto"/>
          <w:sz w:val="24"/>
          <w:szCs w:val="24"/>
          <w:highlight w:val="none"/>
          <w:u w:val="single"/>
        </w:rPr>
        <w:t>（</w:t>
      </w:r>
      <w:r>
        <w:rPr>
          <w:rFonts w:hint="eastAsia" w:ascii="宋体" w:hAnsi="宋体"/>
          <w:bCs/>
          <w:color w:val="auto"/>
          <w:sz w:val="24"/>
          <w:szCs w:val="24"/>
          <w:highlight w:val="none"/>
          <w:u w:val="single"/>
          <w:lang w:val="en-US" w:eastAsia="zh-CN"/>
        </w:rPr>
        <w:t>13</w:t>
      </w:r>
      <w:r>
        <w:rPr>
          <w:rFonts w:hint="eastAsia" w:ascii="宋体" w:hAnsi="宋体"/>
          <w:bCs/>
          <w:color w:val="auto"/>
          <w:sz w:val="24"/>
          <w:szCs w:val="24"/>
          <w:highlight w:val="none"/>
          <w:u w:val="single"/>
        </w:rPr>
        <w:t>）投标人认为应提交的其他资料 。</w:t>
      </w:r>
    </w:p>
    <w:p w14:paraId="5D7B3B0A">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11.2.2技术投标文件主要包括下列内容：</w:t>
      </w:r>
    </w:p>
    <w:p w14:paraId="5B94E9BD">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（1）</w:t>
      </w:r>
      <w:r>
        <w:rPr>
          <w:rFonts w:hint="eastAsia" w:ascii="宋体"/>
          <w:bCs/>
          <w:color w:val="auto"/>
          <w:sz w:val="24"/>
          <w:szCs w:val="24"/>
          <w:highlight w:val="none"/>
          <w:u w:val="single"/>
        </w:rPr>
        <w:t>广州建设工程施工招标投标书（具体格式以招标文件第四章《广州建设工程施工招标投标书》为准；电子投标管理软件编制的“广州建设工程施工招标投标书”不作为否决投标的条件)；</w:t>
      </w:r>
    </w:p>
    <w:p w14:paraId="7AD7E234">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（2）</w:t>
      </w:r>
      <w:r>
        <w:rPr>
          <w:rFonts w:hint="eastAsia" w:ascii="宋体" w:hAnsi="宋体"/>
          <w:color w:val="auto"/>
          <w:sz w:val="24"/>
          <w:szCs w:val="24"/>
          <w:highlight w:val="none"/>
          <w:u w:val="single"/>
        </w:rPr>
        <w:t>按照招标文件要求填写的《施工项目管理团队人员信息表》提供的证明材料(按本招标文件第四章投标文件格式)：</w:t>
      </w:r>
    </w:p>
    <w:p w14:paraId="470DF055">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①投标人应列出该项目工程的施工组织机构构成和画出机构框架图及其负责人（含姓名）；（无格式要求，格式自拟）</w:t>
      </w:r>
    </w:p>
    <w:p w14:paraId="7CC9C810">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②投标人应详细列出该施工组织机构中主要成员的名单、简历资料、职务职称和在本项目中拟担任的职务等资料，并附上有关证明材料扫描件；</w:t>
      </w:r>
    </w:p>
    <w:p w14:paraId="640D1030">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③其他辅助说明资料。</w:t>
      </w:r>
    </w:p>
    <w:p w14:paraId="6432DD5F">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（3）</w:t>
      </w:r>
      <w:r>
        <w:rPr>
          <w:rFonts w:hint="eastAsia" w:ascii="宋体" w:hAnsi="宋体"/>
          <w:color w:val="auto"/>
          <w:sz w:val="24"/>
          <w:szCs w:val="24"/>
          <w:highlight w:val="none"/>
          <w:u w:val="single"/>
          <w:lang w:val="zh-CN"/>
        </w:rPr>
        <w:t>响应招标文件所附施工组织设计要点的承诺书（格式见第四章）</w:t>
      </w:r>
      <w:r>
        <w:rPr>
          <w:rFonts w:hint="eastAsia" w:ascii="宋体" w:hAnsi="宋体"/>
          <w:color w:val="auto"/>
          <w:sz w:val="24"/>
          <w:szCs w:val="24"/>
          <w:highlight w:val="none"/>
          <w:u w:val="single"/>
        </w:rPr>
        <w:t>；</w:t>
      </w:r>
    </w:p>
    <w:p w14:paraId="0E6380D9">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（4）</w:t>
      </w:r>
      <w:r>
        <w:rPr>
          <w:rFonts w:hint="eastAsia" w:ascii="宋体" w:hAnsi="宋体"/>
          <w:color w:val="auto"/>
          <w:sz w:val="24"/>
          <w:szCs w:val="24"/>
          <w:highlight w:val="none"/>
          <w:u w:val="single"/>
        </w:rPr>
        <w:t>企业技术标得分证明材料（按《技术标详细审查评分表》要求提交，格式见第四章，无规定格式要求的，格式自拟）。</w:t>
      </w:r>
    </w:p>
    <w:p w14:paraId="1A52B790">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（5）按本招标文件规定提交的其它所有技术资料。</w:t>
      </w:r>
    </w:p>
    <w:p w14:paraId="7258C1A9">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（6）按照招标文件要求填写的《参与编制技术标投标文件人员名单》</w:t>
      </w:r>
      <w:r>
        <w:rPr>
          <w:rFonts w:hint="eastAsia" w:ascii="宋体" w:hAnsi="宋体" w:cs="宋体"/>
          <w:bCs/>
          <w:color w:val="auto"/>
          <w:sz w:val="24"/>
          <w:szCs w:val="24"/>
          <w:highlight w:val="none"/>
          <w:u w:val="single"/>
          <w:lang w:val="zh-CN"/>
        </w:rPr>
        <w:t>（格式见第四章）</w:t>
      </w:r>
      <w:r>
        <w:rPr>
          <w:rFonts w:hint="eastAsia" w:ascii="宋体" w:hAnsi="宋体"/>
          <w:color w:val="auto"/>
          <w:sz w:val="24"/>
          <w:szCs w:val="24"/>
          <w:highlight w:val="none"/>
          <w:u w:val="single"/>
        </w:rPr>
        <w:t>。</w:t>
      </w:r>
    </w:p>
    <w:p w14:paraId="520A72FE">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（7）危险性较大的分部分项工程清单及超过一定规模的危险性较大的分部分项工程清单（格式见第四章）。</w:t>
      </w:r>
    </w:p>
    <w:p w14:paraId="75EA6B30">
      <w:pPr>
        <w:spacing w:line="360" w:lineRule="auto"/>
        <w:ind w:firstLine="537" w:firstLineChars="224"/>
        <w:rPr>
          <w:b/>
          <w:color w:val="auto"/>
          <w:sz w:val="24"/>
          <w:szCs w:val="24"/>
          <w:highlight w:val="none"/>
        </w:rPr>
      </w:pPr>
      <w:r>
        <w:rPr>
          <w:color w:val="auto"/>
          <w:sz w:val="24"/>
          <w:highlight w:val="none"/>
        </w:rPr>
        <mc:AlternateContent>
          <mc:Choice Requires="wps">
            <w:drawing>
              <wp:anchor distT="0" distB="0" distL="114300" distR="114300" simplePos="0" relativeHeight="251673600" behindDoc="0" locked="0" layoutInCell="1" allowOverlap="1">
                <wp:simplePos x="0" y="0"/>
                <wp:positionH relativeFrom="column">
                  <wp:posOffset>-1905</wp:posOffset>
                </wp:positionH>
                <wp:positionV relativeFrom="paragraph">
                  <wp:posOffset>25400</wp:posOffset>
                </wp:positionV>
                <wp:extent cx="5691505" cy="0"/>
                <wp:effectExtent l="0" t="6350" r="0" b="6350"/>
                <wp:wrapNone/>
                <wp:docPr id="19" name="直接连接符 19"/>
                <wp:cNvGraphicFramePr/>
                <a:graphic xmlns:a="http://schemas.openxmlformats.org/drawingml/2006/main">
                  <a:graphicData uri="http://schemas.microsoft.com/office/word/2010/wordprocessingShape">
                    <wps:wsp>
                      <wps:cNvCnPr/>
                      <wps:spPr>
                        <a:xfrm>
                          <a:off x="906780" y="8793480"/>
                          <a:ext cx="569150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15pt;margin-top:2pt;height:0pt;width:448.15pt;z-index:251673600;mso-width-relative:page;mso-height-relative:page;" filled="f" stroked="t" coordsize="21600,21600" o:gfxdata="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BFXkY1QAAAAUBAAAPAAAAAAAAAAEAIAAAACIAAABkcnMvZG93bnJldi54bWxQSwECFAAUAAAA&#10;CACHTuJAyhjR//EBAAC/AwAADgAAAAAAAAABACAAAAAkAQAAZHJzL2Uyb0RvYy54bWxQSwUGAAAA&#10;AAYABgBZAQAAhwUAAAAA&#10;">
                <v:fill on="f" focussize="0,0"/>
                <v:stroke weight="1pt" color="#000000 [3213]" miterlimit="8" joinstyle="miter"/>
                <v:imagedata o:title=""/>
                <o:lock v:ext="edit" aspectratio="f"/>
              </v:line>
            </w:pict>
          </mc:Fallback>
        </mc:AlternateContent>
      </w:r>
      <w:r>
        <w:rPr>
          <w:rFonts w:hint="eastAsia"/>
          <w:b/>
          <w:color w:val="auto"/>
          <w:sz w:val="24"/>
          <w:szCs w:val="24"/>
          <w:highlight w:val="none"/>
        </w:rPr>
        <w:t>条款号： 11.3.2</w:t>
      </w:r>
      <w:r>
        <w:rPr>
          <w:b/>
          <w:color w:val="auto"/>
          <w:sz w:val="24"/>
          <w:szCs w:val="24"/>
          <w:highlight w:val="none"/>
        </w:rPr>
        <w:t xml:space="preserve">             </w:t>
      </w:r>
      <w:r>
        <w:rPr>
          <w:rFonts w:hint="eastAsia"/>
          <w:b/>
          <w:color w:val="auto"/>
          <w:sz w:val="24"/>
          <w:szCs w:val="24"/>
          <w:highlight w:val="none"/>
        </w:rPr>
        <w:t>修改类型：修改</w:t>
      </w:r>
    </w:p>
    <w:p w14:paraId="3D1F0660">
      <w:pPr>
        <w:spacing w:line="360" w:lineRule="auto"/>
        <w:ind w:firstLine="482" w:firstLineChars="200"/>
        <w:rPr>
          <w:rFonts w:ascii="宋体"/>
          <w:color w:val="auto"/>
          <w:sz w:val="24"/>
          <w:szCs w:val="24"/>
          <w:highlight w:val="none"/>
        </w:rPr>
      </w:pPr>
      <w:r>
        <w:rPr>
          <w:rFonts w:hint="eastAsia"/>
          <w:b/>
          <w:color w:val="auto"/>
          <w:sz w:val="24"/>
          <w:szCs w:val="24"/>
          <w:highlight w:val="none"/>
        </w:rPr>
        <w:t>原文：</w:t>
      </w:r>
      <w:r>
        <w:rPr>
          <w:rFonts w:ascii="宋体" w:hAnsi="宋体"/>
          <w:color w:val="auto"/>
          <w:sz w:val="24"/>
          <w:szCs w:val="24"/>
          <w:highlight w:val="none"/>
        </w:rPr>
        <w:t>11.3.2</w:t>
      </w:r>
      <w:r>
        <w:rPr>
          <w:rFonts w:hint="eastAsia" w:ascii="宋体" w:hAnsi="宋体"/>
          <w:color w:val="auto"/>
          <w:sz w:val="24"/>
          <w:szCs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r>
        <w:rPr>
          <w:rFonts w:ascii="宋体"/>
          <w:color w:val="auto"/>
          <w:sz w:val="24"/>
          <w:szCs w:val="24"/>
          <w:highlight w:val="none"/>
        </w:rPr>
        <w:t xml:space="preserve"> </w:t>
      </w:r>
    </w:p>
    <w:p w14:paraId="6A44671D">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）投标总价封面、扉页；</w:t>
      </w:r>
    </w:p>
    <w:p w14:paraId="5D34C65C">
      <w:pPr>
        <w:spacing w:line="360" w:lineRule="auto"/>
        <w:ind w:firstLine="566" w:firstLineChars="236"/>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）总说明；</w:t>
      </w:r>
    </w:p>
    <w:p w14:paraId="4CAA96CE">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（3）工程项目投标报价汇总表；</w:t>
      </w:r>
    </w:p>
    <w:p w14:paraId="47683F71">
      <w:pPr>
        <w:spacing w:line="360" w:lineRule="auto"/>
        <w:ind w:firstLine="566" w:firstLineChars="236"/>
        <w:rPr>
          <w:rFonts w:hint="eastAsia" w:ascii="宋体" w:hAnsi="宋体"/>
          <w:color w:val="auto"/>
          <w:sz w:val="24"/>
          <w:szCs w:val="24"/>
          <w:highlight w:val="none"/>
        </w:rPr>
      </w:pPr>
      <w:r>
        <w:rPr>
          <w:rFonts w:hint="eastAsia" w:ascii="宋体" w:hAnsi="宋体"/>
          <w:color w:val="auto"/>
          <w:sz w:val="24"/>
          <w:szCs w:val="24"/>
          <w:highlight w:val="none"/>
        </w:rPr>
        <w:t>（4）单项工程投标报价汇总表；</w:t>
      </w:r>
    </w:p>
    <w:p w14:paraId="0556AD64">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（5）单位工程投标报价汇总表；</w:t>
      </w:r>
    </w:p>
    <w:p w14:paraId="694698E9">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（6）分部分项工程清单与计价表；</w:t>
      </w:r>
    </w:p>
    <w:p w14:paraId="54651CB4">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（7）单价措施项目清单与计价表；</w:t>
      </w:r>
    </w:p>
    <w:p w14:paraId="460AFB1C">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（8）总价措施项目清单与计价表；</w:t>
      </w:r>
    </w:p>
    <w:p w14:paraId="2E503338">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（9）综合单价分析表；</w:t>
      </w:r>
    </w:p>
    <w:p w14:paraId="55C9C136">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（10）其他项目清单与计价汇总表；</w:t>
      </w:r>
    </w:p>
    <w:p w14:paraId="3806149A">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（11）暂列金额明细表；</w:t>
      </w:r>
    </w:p>
    <w:p w14:paraId="5C512592">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（12）材料（工程设备）暂估价明细表；</w:t>
      </w:r>
    </w:p>
    <w:p w14:paraId="301B32C6">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（13）专业工程暂估价明细表；</w:t>
      </w:r>
    </w:p>
    <w:p w14:paraId="1E779C84">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（14）计日工表；</w:t>
      </w:r>
    </w:p>
    <w:p w14:paraId="6DBC2B79">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（15）总承包服务计价表；</w:t>
      </w:r>
    </w:p>
    <w:p w14:paraId="66DCB1A6">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（16）规费和税金项目计价表；</w:t>
      </w:r>
    </w:p>
    <w:p w14:paraId="3B980E56">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（17）人工、主要材料和设备一览表</w:t>
      </w:r>
    </w:p>
    <w:p w14:paraId="536ADBB2">
      <w:pPr>
        <w:pStyle w:val="5"/>
        <w:spacing w:after="0" w:line="360" w:lineRule="auto"/>
        <w:ind w:firstLine="482" w:firstLineChars="200"/>
        <w:rPr>
          <w:rFonts w:hint="eastAsia" w:ascii="宋体" w:hAnsi="宋体"/>
          <w:color w:val="auto"/>
          <w:sz w:val="24"/>
          <w:szCs w:val="24"/>
          <w:highlight w:val="none"/>
          <w:u w:val="single"/>
        </w:rPr>
      </w:pPr>
      <w:r>
        <w:rPr>
          <w:rFonts w:hint="eastAsia"/>
          <w:b/>
          <w:color w:val="auto"/>
          <w:sz w:val="24"/>
          <w:szCs w:val="24"/>
          <w:highlight w:val="none"/>
        </w:rPr>
        <w:t>现文：</w:t>
      </w:r>
      <w:r>
        <w:rPr>
          <w:rFonts w:ascii="宋体" w:hAnsi="宋体"/>
          <w:color w:val="auto"/>
          <w:sz w:val="24"/>
          <w:szCs w:val="24"/>
          <w:highlight w:val="none"/>
          <w:u w:val="single"/>
        </w:rPr>
        <w:t>11.3.2</w:t>
      </w:r>
      <w:r>
        <w:rPr>
          <w:rFonts w:hint="eastAsia" w:ascii="宋体" w:hAnsi="宋体"/>
          <w:color w:val="auto"/>
          <w:sz w:val="24"/>
          <w:szCs w:val="24"/>
          <w:highlight w:val="none"/>
          <w:u w:val="single"/>
        </w:rPr>
        <w:t xml:space="preserve">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457B2F6E">
      <w:pPr>
        <w:pStyle w:val="5"/>
        <w:spacing w:after="0"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（1）投标总价封面、扉页；</w:t>
      </w:r>
    </w:p>
    <w:p w14:paraId="21D75ACA">
      <w:pPr>
        <w:pStyle w:val="5"/>
        <w:spacing w:after="0"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（2）总说明</w:t>
      </w:r>
    </w:p>
    <w:p w14:paraId="5DC2CA54">
      <w:pPr>
        <w:pStyle w:val="5"/>
        <w:spacing w:after="0"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（3）工程量清单报价表及综合单价分析表（相关表格的内容及格式要求以招标人发出的最新版电子招标文件中的相应内容及格式为准）。</w:t>
      </w:r>
    </w:p>
    <w:p w14:paraId="14D8D548">
      <w:pPr>
        <w:spacing w:line="360" w:lineRule="auto"/>
        <w:ind w:firstLine="537" w:firstLineChars="224"/>
        <w:rPr>
          <w:b/>
          <w:color w:val="auto"/>
          <w:sz w:val="24"/>
          <w:szCs w:val="24"/>
          <w:highlight w:val="none"/>
        </w:rPr>
      </w:pPr>
      <w:r>
        <w:rPr>
          <w:color w:val="auto"/>
          <w:sz w:val="24"/>
          <w:highlight w:val="none"/>
        </w:rPr>
        <mc:AlternateContent>
          <mc:Choice Requires="wps">
            <w:drawing>
              <wp:anchor distT="0" distB="0" distL="114300" distR="114300" simplePos="0" relativeHeight="251674624" behindDoc="0" locked="0" layoutInCell="1" allowOverlap="1">
                <wp:simplePos x="0" y="0"/>
                <wp:positionH relativeFrom="column">
                  <wp:posOffset>6350</wp:posOffset>
                </wp:positionH>
                <wp:positionV relativeFrom="paragraph">
                  <wp:posOffset>34925</wp:posOffset>
                </wp:positionV>
                <wp:extent cx="5691505" cy="12065"/>
                <wp:effectExtent l="0" t="6350" r="4445" b="10160"/>
                <wp:wrapNone/>
                <wp:docPr id="20" name="直接连接符 20"/>
                <wp:cNvGraphicFramePr/>
                <a:graphic xmlns:a="http://schemas.openxmlformats.org/drawingml/2006/main">
                  <a:graphicData uri="http://schemas.microsoft.com/office/word/2010/wordprocessingShape">
                    <wps:wsp>
                      <wps:cNvCnPr/>
                      <wps:spPr>
                        <a:xfrm flipV="1">
                          <a:off x="906780" y="1943735"/>
                          <a:ext cx="5691505" cy="12065"/>
                        </a:xfrm>
                        <a:prstGeom prst="line">
                          <a:avLst/>
                        </a:prstGeom>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5pt;margin-top:2.75pt;height:0.95pt;width:448.15pt;z-index:251674624;mso-width-relative:page;mso-height-relative:page;" filled="f" stroked="t" coordsize="21600,21600" o:gfxdata="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8b9RvTAAAABQEAAA8AAAAAAAAAAQAgAAAAIgAAAGRycy9kb3ducmV2LnhtbFBL&#10;AQIUABQAAAAIAIdO4kAEZi/v+wEAAMwDAAAOAAAAAAAAAAEAIAAAACIBAABkcnMvZTJvRG9jLnht&#10;bFBLBQYAAAAABgAGAFkBAACPBQAAAAA=&#10;">
                <v:fill on="f" focussize="0,0"/>
                <v:stroke weight="1pt" color="#000000" miterlimit="8" joinstyle="miter"/>
                <v:imagedata o:title=""/>
                <o:lock v:ext="edit" aspectratio="f"/>
              </v:line>
            </w:pict>
          </mc:Fallback>
        </mc:AlternateContent>
      </w:r>
      <w:r>
        <w:rPr>
          <w:rFonts w:hint="eastAsia"/>
          <w:b/>
          <w:color w:val="auto"/>
          <w:sz w:val="24"/>
          <w:szCs w:val="24"/>
          <w:highlight w:val="none"/>
        </w:rPr>
        <w:t xml:space="preserve">条款号：12.2 </w:t>
      </w:r>
      <w:r>
        <w:rPr>
          <w:b/>
          <w:color w:val="auto"/>
          <w:sz w:val="24"/>
          <w:szCs w:val="24"/>
          <w:highlight w:val="none"/>
        </w:rPr>
        <w:t xml:space="preserve">             </w:t>
      </w:r>
      <w:r>
        <w:rPr>
          <w:rFonts w:hint="eastAsia"/>
          <w:b/>
          <w:color w:val="auto"/>
          <w:sz w:val="24"/>
          <w:szCs w:val="24"/>
          <w:highlight w:val="none"/>
        </w:rPr>
        <w:t>修改类型：修改</w:t>
      </w:r>
    </w:p>
    <w:p w14:paraId="5D7AD9AF">
      <w:pPr>
        <w:pStyle w:val="5"/>
        <w:spacing w:after="0" w:line="360" w:lineRule="auto"/>
        <w:ind w:firstLine="482" w:firstLineChars="200"/>
        <w:rPr>
          <w:rFonts w:hint="eastAsia" w:ascii="宋体" w:hAnsi="宋体"/>
          <w:color w:val="auto"/>
          <w:sz w:val="24"/>
          <w:szCs w:val="24"/>
          <w:highlight w:val="none"/>
        </w:rPr>
      </w:pPr>
      <w:r>
        <w:rPr>
          <w:rFonts w:hint="eastAsia"/>
          <w:b/>
          <w:color w:val="auto"/>
          <w:sz w:val="24"/>
          <w:szCs w:val="24"/>
          <w:highlight w:val="none"/>
        </w:rPr>
        <w:t>原文：</w:t>
      </w:r>
      <w:r>
        <w:rPr>
          <w:rFonts w:hint="eastAsia" w:ascii="宋体" w:hAnsi="宋体"/>
          <w:color w:val="auto"/>
          <w:sz w:val="24"/>
          <w:szCs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14:paraId="4CFE070F">
      <w:pPr>
        <w:pStyle w:val="5"/>
        <w:spacing w:after="0" w:line="360" w:lineRule="auto"/>
        <w:ind w:firstLine="480" w:firstLineChars="200"/>
        <w:rPr>
          <w:color w:val="auto"/>
          <w:sz w:val="24"/>
          <w:szCs w:val="24"/>
          <w:highlight w:val="none"/>
          <w:u w:val="single"/>
        </w:rPr>
      </w:pPr>
      <w:r>
        <w:rPr>
          <w:color w:val="auto"/>
          <w:sz w:val="24"/>
          <w:highlight w:val="none"/>
        </w:rPr>
        <mc:AlternateContent>
          <mc:Choice Requires="wps">
            <w:drawing>
              <wp:anchor distT="0" distB="0" distL="114300" distR="114300" simplePos="0" relativeHeight="251675648" behindDoc="0" locked="0" layoutInCell="1" allowOverlap="1">
                <wp:simplePos x="0" y="0"/>
                <wp:positionH relativeFrom="column">
                  <wp:posOffset>26670</wp:posOffset>
                </wp:positionH>
                <wp:positionV relativeFrom="paragraph">
                  <wp:posOffset>1485265</wp:posOffset>
                </wp:positionV>
                <wp:extent cx="5715000" cy="0"/>
                <wp:effectExtent l="0" t="6350" r="0" b="6350"/>
                <wp:wrapNone/>
                <wp:docPr id="21" name="直接连接符 21"/>
                <wp:cNvGraphicFramePr/>
                <a:graphic xmlns:a="http://schemas.openxmlformats.org/drawingml/2006/main">
                  <a:graphicData uri="http://schemas.microsoft.com/office/word/2010/wordprocessingShape">
                    <wps:wsp>
                      <wps:cNvCnPr/>
                      <wps:spPr>
                        <a:xfrm>
                          <a:off x="927100" y="4979035"/>
                          <a:ext cx="5715000" cy="0"/>
                        </a:xfrm>
                        <a:prstGeom prst="line">
                          <a:avLst/>
                        </a:prstGeom>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1pt;margin-top:116.95pt;height:0pt;width:450pt;z-index:251675648;mso-width-relative:page;mso-height-relative:page;" filled="f" stroked="t" coordsize="21600,21600" o:gfxdata="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09yUD9cAAAAJAQAADwAAAAAAAAABACAAAAAiAAAAZHJzL2Rvd25yZXYueG1sUEsBAhQA&#10;FAAAAAgAh07iQJVkJmTzAQAAvgMAAA4AAAAAAAAAAQAgAAAAJgEAAGRycy9lMm9Eb2MueG1sUEsF&#10;BgAAAAAGAAYAWQEAAIsFAAAAAA==&#10;">
                <v:fill on="f" focussize="0,0"/>
                <v:stroke weight="1pt" color="#000000" miterlimit="8" joinstyle="miter"/>
                <v:imagedata o:title=""/>
                <o:lock v:ext="edit" aspectratio="f"/>
              </v:line>
            </w:pict>
          </mc:Fallback>
        </mc:AlternateContent>
      </w:r>
      <w:r>
        <w:rPr>
          <w:rFonts w:hint="eastAsia"/>
          <w:b/>
          <w:color w:val="auto"/>
          <w:sz w:val="24"/>
          <w:szCs w:val="24"/>
          <w:highlight w:val="none"/>
        </w:rPr>
        <w:t>现文：</w:t>
      </w:r>
      <w:r>
        <w:rPr>
          <w:rFonts w:hint="eastAsia" w:ascii="宋体" w:hAnsi="宋体"/>
          <w:color w:val="auto"/>
          <w:sz w:val="24"/>
          <w:szCs w:val="24"/>
          <w:highlight w:val="none"/>
        </w:rPr>
        <w:t>12.2 投标文件全部采用电子文档，投标文件所附证书证件均为原件扫描件，并采用单位数字证书，</w:t>
      </w:r>
      <w:r>
        <w:rPr>
          <w:rFonts w:hint="eastAsia" w:ascii="宋体" w:hAnsi="宋体"/>
          <w:color w:val="auto"/>
          <w:sz w:val="24"/>
          <w:highlight w:val="none"/>
        </w:rPr>
        <w:t>对投标文件加盖电子印章</w:t>
      </w:r>
      <w:r>
        <w:rPr>
          <w:rFonts w:hint="eastAsia" w:ascii="宋体" w:hAnsi="宋体"/>
          <w:color w:val="auto"/>
          <w:sz w:val="24"/>
          <w:szCs w:val="24"/>
          <w:highlight w:val="none"/>
        </w:rPr>
        <w:t>。投标文件中需个人签字或盖章的，应加盖个人电子印章或在线下完成后扫描上传。按照交易平台关于</w:t>
      </w:r>
      <w:r>
        <w:rPr>
          <w:rFonts w:hint="eastAsia"/>
          <w:color w:val="auto"/>
          <w:sz w:val="24"/>
          <w:szCs w:val="24"/>
          <w:highlight w:val="none"/>
        </w:rPr>
        <w:t>全流程电子化项目的相关指南进行操作。详见：</w:t>
      </w:r>
      <w:r>
        <w:rPr>
          <w:rFonts w:hint="eastAsia"/>
          <w:color w:val="auto"/>
          <w:sz w:val="24"/>
          <w:szCs w:val="24"/>
          <w:highlight w:val="none"/>
          <w:u w:val="single"/>
        </w:rPr>
        <w:t>广州交易集团有限公司（广州公共资源交易中心）网站。</w:t>
      </w:r>
    </w:p>
    <w:p w14:paraId="4861A749">
      <w:pPr>
        <w:spacing w:line="360" w:lineRule="auto"/>
        <w:ind w:firstLine="540" w:firstLineChars="224"/>
        <w:rPr>
          <w:b/>
          <w:color w:val="auto"/>
          <w:sz w:val="24"/>
          <w:szCs w:val="24"/>
          <w:highlight w:val="none"/>
        </w:rPr>
      </w:pPr>
      <w:r>
        <w:rPr>
          <w:rFonts w:hint="eastAsia"/>
          <w:b/>
          <w:color w:val="auto"/>
          <w:sz w:val="24"/>
          <w:szCs w:val="24"/>
          <w:highlight w:val="none"/>
        </w:rPr>
        <w:t>条款号： 12.3</w:t>
      </w:r>
      <w:r>
        <w:rPr>
          <w:b/>
          <w:color w:val="auto"/>
          <w:sz w:val="24"/>
          <w:szCs w:val="24"/>
          <w:highlight w:val="none"/>
        </w:rPr>
        <w:t xml:space="preserve">             </w:t>
      </w:r>
      <w:r>
        <w:rPr>
          <w:rFonts w:hint="eastAsia"/>
          <w:b/>
          <w:color w:val="auto"/>
          <w:sz w:val="24"/>
          <w:szCs w:val="24"/>
          <w:highlight w:val="none"/>
        </w:rPr>
        <w:t>修改类型：修改</w:t>
      </w:r>
    </w:p>
    <w:p w14:paraId="655B7761">
      <w:pPr>
        <w:pStyle w:val="5"/>
        <w:spacing w:after="0" w:line="360" w:lineRule="auto"/>
        <w:ind w:firstLine="482" w:firstLineChars="200"/>
        <w:rPr>
          <w:rFonts w:hint="eastAsia" w:ascii="宋体" w:hAnsi="宋体"/>
          <w:color w:val="auto"/>
          <w:sz w:val="24"/>
          <w:szCs w:val="24"/>
          <w:highlight w:val="none"/>
        </w:rPr>
      </w:pPr>
      <w:r>
        <w:rPr>
          <w:rFonts w:hint="eastAsia"/>
          <w:b/>
          <w:color w:val="auto"/>
          <w:sz w:val="24"/>
          <w:szCs w:val="24"/>
          <w:highlight w:val="none"/>
        </w:rPr>
        <w:t>原文：</w:t>
      </w:r>
      <w:r>
        <w:rPr>
          <w:rFonts w:hint="eastAsia" w:ascii="宋体" w:hAnsi="宋体"/>
          <w:color w:val="auto"/>
          <w:sz w:val="24"/>
          <w:szCs w:val="24"/>
          <w:highlight w:val="none"/>
        </w:rPr>
        <w:t xml:space="preserve">12.3 </w:t>
      </w:r>
      <w:r>
        <w:rPr>
          <w:rFonts w:hint="eastAsia" w:ascii="宋体" w:hAnsi="宋体"/>
          <w:bCs/>
          <w:color w:val="auto"/>
          <w:sz w:val="24"/>
          <w:szCs w:val="24"/>
          <w:highlight w:val="none"/>
        </w:rPr>
        <w:t>投标文件应按</w:t>
      </w:r>
      <w:r>
        <w:rPr>
          <w:rFonts w:hint="eastAsia" w:ascii="宋体" w:hAnsi="宋体"/>
          <w:color w:val="auto"/>
          <w:sz w:val="24"/>
          <w:szCs w:val="24"/>
          <w:highlight w:val="none"/>
        </w:rPr>
        <w:t>照交易平台关于全流程电子化项目的相关指南进行编制，详见：</w:t>
      </w:r>
      <w:r>
        <w:rPr>
          <w:color w:val="auto"/>
          <w:sz w:val="24"/>
          <w:szCs w:val="24"/>
          <w:highlight w:val="none"/>
          <w:u w:val="single"/>
        </w:rPr>
        <w:t xml:space="preserve">       </w:t>
      </w:r>
      <w:r>
        <w:rPr>
          <w:rFonts w:hint="eastAsia"/>
          <w:color w:val="auto"/>
          <w:sz w:val="24"/>
          <w:szCs w:val="24"/>
          <w:highlight w:val="none"/>
          <w:u w:val="single"/>
        </w:rPr>
        <w:t xml:space="preserve">     </w:t>
      </w:r>
      <w:r>
        <w:rPr>
          <w:rFonts w:hint="eastAsia" w:ascii="宋体" w:hAnsi="宋体"/>
          <w:color w:val="auto"/>
          <w:sz w:val="24"/>
          <w:szCs w:val="24"/>
          <w:highlight w:val="none"/>
        </w:rPr>
        <w:t>。</w:t>
      </w:r>
    </w:p>
    <w:p w14:paraId="00FFB89B">
      <w:pPr>
        <w:pStyle w:val="5"/>
        <w:spacing w:after="0" w:line="360" w:lineRule="auto"/>
        <w:ind w:firstLine="480" w:firstLineChars="200"/>
        <w:rPr>
          <w:rFonts w:hint="eastAsia" w:ascii="宋体" w:hAnsi="宋体"/>
          <w:color w:val="auto"/>
          <w:sz w:val="24"/>
          <w:highlight w:val="none"/>
        </w:rPr>
      </w:pPr>
      <w:r>
        <w:rPr>
          <w:rFonts w:hint="eastAsia" w:ascii="宋体" w:hAnsi="宋体"/>
          <w:bCs/>
          <w:color w:val="auto"/>
          <w:sz w:val="24"/>
          <w:szCs w:val="24"/>
          <w:highlight w:val="none"/>
        </w:rPr>
        <w:t>如不按上述要求编制引起系统无法检索、读取相关信息的，其后果由投标人承担。</w:t>
      </w:r>
    </w:p>
    <w:p w14:paraId="6D59C927">
      <w:pPr>
        <w:pStyle w:val="5"/>
        <w:spacing w:after="0" w:line="360" w:lineRule="auto"/>
        <w:ind w:firstLine="482" w:firstLineChars="200"/>
        <w:rPr>
          <w:rFonts w:hint="eastAsia" w:ascii="宋体" w:hAnsi="宋体"/>
          <w:color w:val="auto"/>
          <w:sz w:val="24"/>
          <w:szCs w:val="24"/>
          <w:highlight w:val="none"/>
          <w:u w:val="single"/>
        </w:rPr>
      </w:pPr>
      <w:r>
        <w:rPr>
          <w:rFonts w:hint="eastAsia"/>
          <w:b/>
          <w:color w:val="auto"/>
          <w:sz w:val="24"/>
          <w:szCs w:val="24"/>
          <w:highlight w:val="none"/>
        </w:rPr>
        <w:t>现文：</w:t>
      </w:r>
      <w:r>
        <w:rPr>
          <w:rFonts w:hint="eastAsia" w:ascii="宋体" w:hAnsi="宋体"/>
          <w:color w:val="auto"/>
          <w:sz w:val="24"/>
          <w:szCs w:val="24"/>
          <w:highlight w:val="none"/>
        </w:rPr>
        <w:t xml:space="preserve">12.3 </w:t>
      </w:r>
      <w:r>
        <w:rPr>
          <w:rFonts w:hint="eastAsia" w:ascii="宋体" w:hAnsi="宋体"/>
          <w:bCs/>
          <w:color w:val="auto"/>
          <w:sz w:val="24"/>
          <w:szCs w:val="24"/>
          <w:highlight w:val="none"/>
        </w:rPr>
        <w:t>投标文件应按</w:t>
      </w:r>
      <w:r>
        <w:rPr>
          <w:rFonts w:hint="eastAsia" w:ascii="宋体" w:hAnsi="宋体"/>
          <w:color w:val="auto"/>
          <w:sz w:val="24"/>
          <w:szCs w:val="24"/>
          <w:highlight w:val="none"/>
        </w:rPr>
        <w:t>照交易平台关于全流程电子化项目的相关指南进行编制，详见：</w:t>
      </w:r>
      <w:r>
        <w:rPr>
          <w:rFonts w:hint="eastAsia" w:ascii="宋体" w:hAnsi="宋体"/>
          <w:color w:val="auto"/>
          <w:sz w:val="24"/>
          <w:szCs w:val="24"/>
          <w:highlight w:val="none"/>
          <w:u w:val="single"/>
        </w:rPr>
        <w:t>广州交易集团有限公司（广州公共资源交易中心）网站。</w:t>
      </w:r>
    </w:p>
    <w:p w14:paraId="2886DBE0">
      <w:pPr>
        <w:pStyle w:val="5"/>
        <w:spacing w:after="0"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如不按上述要求编制引起系统无法检索、读取相关信息的，其后果由投标人承担。</w:t>
      </w:r>
    </w:p>
    <w:p w14:paraId="58ADE562">
      <w:pPr>
        <w:spacing w:line="360" w:lineRule="auto"/>
        <w:ind w:firstLine="537" w:firstLineChars="224"/>
        <w:rPr>
          <w:b/>
          <w:color w:val="auto"/>
          <w:sz w:val="24"/>
          <w:szCs w:val="24"/>
          <w:highlight w:val="none"/>
        </w:rPr>
      </w:pPr>
      <w:r>
        <w:rPr>
          <w:color w:val="auto"/>
          <w:sz w:val="24"/>
          <w:highlight w:val="none"/>
        </w:rPr>
        <mc:AlternateContent>
          <mc:Choice Requires="wps">
            <w:drawing>
              <wp:anchor distT="0" distB="0" distL="114300" distR="114300" simplePos="0" relativeHeight="251676672" behindDoc="0" locked="0" layoutInCell="1" allowOverlap="1">
                <wp:simplePos x="0" y="0"/>
                <wp:positionH relativeFrom="column">
                  <wp:posOffset>-17145</wp:posOffset>
                </wp:positionH>
                <wp:positionV relativeFrom="paragraph">
                  <wp:posOffset>46990</wp:posOffset>
                </wp:positionV>
                <wp:extent cx="5819140" cy="8890"/>
                <wp:effectExtent l="0" t="0" r="0" b="0"/>
                <wp:wrapNone/>
                <wp:docPr id="23" name="直接连接符 23"/>
                <wp:cNvGraphicFramePr/>
                <a:graphic xmlns:a="http://schemas.openxmlformats.org/drawingml/2006/main">
                  <a:graphicData uri="http://schemas.microsoft.com/office/word/2010/wordprocessingShape">
                    <wps:wsp>
                      <wps:cNvCnPr/>
                      <wps:spPr>
                        <a:xfrm>
                          <a:off x="883285" y="6611620"/>
                          <a:ext cx="5819140" cy="889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3.7pt;height:0.7pt;width:458.2pt;z-index:251676672;mso-width-relative:page;mso-height-relative:page;" filled="f" stroked="t" coordsize="21600,21600" o:gfxdata="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9sKtC1gAAAAYBAAAPAAAAAAAAAAEAIAAAACIAAABkcnMvZG93bnJldi54bWxQSwECFAAU&#10;AAAACACHTuJAo7pzQPMBAADCAwAADgAAAAAAAAABACAAAAAlAQAAZHJzL2Uyb0RvYy54bWxQSwUG&#10;AAAAAAYABgBZAQAAigUAAAAA&#10;">
                <v:fill on="f" focussize="0,0"/>
                <v:stroke weight="1pt" color="#000000 [3213]" miterlimit="8" joinstyle="miter"/>
                <v:imagedata o:title=""/>
                <o:lock v:ext="edit" aspectratio="f"/>
              </v:line>
            </w:pict>
          </mc:Fallback>
        </mc:AlternateContent>
      </w:r>
      <w:r>
        <w:rPr>
          <w:rFonts w:hint="eastAsia"/>
          <w:b/>
          <w:color w:val="auto"/>
          <w:sz w:val="24"/>
          <w:szCs w:val="24"/>
          <w:highlight w:val="none"/>
        </w:rPr>
        <w:t xml:space="preserve">条款号：13.1 </w:t>
      </w:r>
      <w:r>
        <w:rPr>
          <w:b/>
          <w:color w:val="auto"/>
          <w:sz w:val="24"/>
          <w:szCs w:val="24"/>
          <w:highlight w:val="none"/>
        </w:rPr>
        <w:t xml:space="preserve">             </w:t>
      </w:r>
      <w:r>
        <w:rPr>
          <w:rFonts w:hint="eastAsia"/>
          <w:b/>
          <w:color w:val="auto"/>
          <w:sz w:val="24"/>
          <w:szCs w:val="24"/>
          <w:highlight w:val="none"/>
        </w:rPr>
        <w:t>修改类型：修改</w:t>
      </w:r>
    </w:p>
    <w:p w14:paraId="2245C59B">
      <w:pPr>
        <w:spacing w:line="360" w:lineRule="auto"/>
        <w:ind w:firstLine="482" w:firstLineChars="200"/>
        <w:rPr>
          <w:b/>
          <w:color w:val="auto"/>
          <w:sz w:val="24"/>
          <w:szCs w:val="24"/>
          <w:highlight w:val="none"/>
        </w:rPr>
      </w:pPr>
      <w:r>
        <w:rPr>
          <w:rFonts w:hint="eastAsia"/>
          <w:b/>
          <w:color w:val="auto"/>
          <w:sz w:val="24"/>
          <w:szCs w:val="24"/>
          <w:highlight w:val="none"/>
        </w:rPr>
        <w:t>原文：</w:t>
      </w:r>
      <w:r>
        <w:rPr>
          <w:rFonts w:hint="eastAsia" w:ascii="宋体" w:hAnsi="宋体"/>
          <w:color w:val="auto"/>
          <w:sz w:val="24"/>
          <w:szCs w:val="24"/>
          <w:highlight w:val="none"/>
        </w:rPr>
        <w:t>13.1 本工程的投标报价采用投标须知前附表第14项所规定的方式。投标报价（含单价及总价）精确到“分”。</w:t>
      </w:r>
    </w:p>
    <w:p w14:paraId="69BA9F73">
      <w:pPr>
        <w:pStyle w:val="5"/>
        <w:spacing w:after="0" w:line="360" w:lineRule="auto"/>
        <w:ind w:firstLine="482" w:firstLineChars="200"/>
        <w:rPr>
          <w:color w:val="auto"/>
          <w:sz w:val="24"/>
          <w:szCs w:val="24"/>
          <w:highlight w:val="none"/>
          <w:u w:val="single"/>
        </w:rPr>
      </w:pPr>
      <w:r>
        <w:rPr>
          <w:rFonts w:hint="eastAsia"/>
          <w:b/>
          <w:color w:val="auto"/>
          <w:sz w:val="24"/>
          <w:szCs w:val="24"/>
          <w:highlight w:val="none"/>
        </w:rPr>
        <w:t>现文：</w:t>
      </w:r>
      <w:r>
        <w:rPr>
          <w:rFonts w:ascii="宋体" w:hAnsi="宋体"/>
          <w:color w:val="auto"/>
          <w:sz w:val="24"/>
          <w:szCs w:val="24"/>
          <w:highlight w:val="none"/>
        </w:rPr>
        <w:t xml:space="preserve">13.1 </w:t>
      </w:r>
      <w:r>
        <w:rPr>
          <w:rFonts w:hint="eastAsia" w:ascii="宋体" w:hAnsi="宋体"/>
          <w:color w:val="auto"/>
          <w:sz w:val="24"/>
          <w:szCs w:val="24"/>
          <w:highlight w:val="none"/>
        </w:rPr>
        <w:t>本工程的投标报价采用投标须知前附表第</w:t>
      </w:r>
      <w:r>
        <w:rPr>
          <w:rFonts w:ascii="宋体" w:hAnsi="宋体"/>
          <w:color w:val="auto"/>
          <w:sz w:val="24"/>
          <w:szCs w:val="24"/>
          <w:highlight w:val="none"/>
        </w:rPr>
        <w:t>1</w:t>
      </w:r>
      <w:r>
        <w:rPr>
          <w:rFonts w:hint="eastAsia" w:ascii="宋体" w:hAnsi="宋体"/>
          <w:color w:val="auto"/>
          <w:sz w:val="24"/>
          <w:szCs w:val="24"/>
          <w:highlight w:val="none"/>
        </w:rPr>
        <w:t>4项所规定的方式。投标报价（含单价及总价）精确到“分”。</w:t>
      </w:r>
      <w:r>
        <w:rPr>
          <w:rFonts w:hint="eastAsia" w:ascii="宋体" w:hAnsi="宋体"/>
          <w:color w:val="auto"/>
          <w:sz w:val="24"/>
          <w:szCs w:val="24"/>
          <w:highlight w:val="none"/>
          <w:u w:val="single"/>
        </w:rPr>
        <w:t>投标文件中的大写金额和小写金额不一致的，以大写金额为准。</w:t>
      </w:r>
    </w:p>
    <w:p w14:paraId="3783FE4E">
      <w:pPr>
        <w:spacing w:line="360" w:lineRule="auto"/>
        <w:ind w:firstLine="537" w:firstLineChars="224"/>
        <w:rPr>
          <w:b/>
          <w:color w:val="auto"/>
          <w:sz w:val="24"/>
          <w:szCs w:val="24"/>
          <w:highlight w:val="none"/>
        </w:rPr>
      </w:pPr>
      <w:r>
        <w:rPr>
          <w:color w:val="auto"/>
          <w:sz w:val="24"/>
          <w:highlight w:val="none"/>
        </w:rPr>
        <mc:AlternateContent>
          <mc:Choice Requires="wps">
            <w:drawing>
              <wp:anchor distT="0" distB="0" distL="114300" distR="114300" simplePos="0" relativeHeight="251677696" behindDoc="0" locked="0" layoutInCell="1" allowOverlap="1">
                <wp:simplePos x="0" y="0"/>
                <wp:positionH relativeFrom="column">
                  <wp:posOffset>2540</wp:posOffset>
                </wp:positionH>
                <wp:positionV relativeFrom="paragraph">
                  <wp:posOffset>15875</wp:posOffset>
                </wp:positionV>
                <wp:extent cx="5802630" cy="0"/>
                <wp:effectExtent l="0" t="6350" r="0" b="6350"/>
                <wp:wrapNone/>
                <wp:docPr id="25" name="直接连接符 25"/>
                <wp:cNvGraphicFramePr/>
                <a:graphic xmlns:a="http://schemas.openxmlformats.org/drawingml/2006/main">
                  <a:graphicData uri="http://schemas.microsoft.com/office/word/2010/wordprocessingShape">
                    <wps:wsp>
                      <wps:cNvCnPr/>
                      <wps:spPr>
                        <a:xfrm>
                          <a:off x="902970" y="7868285"/>
                          <a:ext cx="580263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2pt;margin-top:1.25pt;height:0pt;width:456.9pt;z-index:251677696;mso-width-relative:page;mso-height-relative:page;" filled="f" stroked="t" coordsize="21600,21600" o:gfxdata="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K0pf9QAAAAEAQAADwAAAAAAAAABACAAAAAiAAAAZHJzL2Rvd25yZXYueG1sUEsBAhQAFAAA&#10;AAgAh07iQGtViAfzAQAAvwMAAA4AAAAAAAAAAQAgAAAAIwEAAGRycy9lMm9Eb2MueG1sUEsFBgAA&#10;AAAGAAYAWQEAAIgFAAAAAA==&#10;">
                <v:fill on="f" focussize="0,0"/>
                <v:stroke weight="1pt" color="#000000 [3213]" miterlimit="8" joinstyle="miter"/>
                <v:imagedata o:title=""/>
                <o:lock v:ext="edit" aspectratio="f"/>
              </v:line>
            </w:pict>
          </mc:Fallback>
        </mc:AlternateContent>
      </w:r>
      <w:r>
        <w:rPr>
          <w:rFonts w:hint="eastAsia"/>
          <w:b/>
          <w:color w:val="auto"/>
          <w:sz w:val="24"/>
          <w:szCs w:val="24"/>
          <w:highlight w:val="none"/>
        </w:rPr>
        <w:t xml:space="preserve">条款号：13.4 </w:t>
      </w:r>
      <w:r>
        <w:rPr>
          <w:b/>
          <w:color w:val="auto"/>
          <w:sz w:val="24"/>
          <w:szCs w:val="24"/>
          <w:highlight w:val="none"/>
        </w:rPr>
        <w:t xml:space="preserve">             </w:t>
      </w:r>
      <w:r>
        <w:rPr>
          <w:rFonts w:hint="eastAsia"/>
          <w:b/>
          <w:color w:val="auto"/>
          <w:sz w:val="24"/>
          <w:szCs w:val="24"/>
          <w:highlight w:val="none"/>
        </w:rPr>
        <w:t>修改类型：修改</w:t>
      </w:r>
    </w:p>
    <w:p w14:paraId="5DBFD605">
      <w:pPr>
        <w:pStyle w:val="5"/>
        <w:spacing w:line="360" w:lineRule="auto"/>
        <w:ind w:firstLine="480"/>
        <w:rPr>
          <w:b/>
          <w:color w:val="auto"/>
          <w:sz w:val="24"/>
          <w:szCs w:val="24"/>
          <w:highlight w:val="none"/>
        </w:rPr>
      </w:pPr>
      <w:r>
        <w:rPr>
          <w:rFonts w:hint="eastAsia"/>
          <w:b/>
          <w:color w:val="auto"/>
          <w:sz w:val="24"/>
          <w:szCs w:val="24"/>
          <w:highlight w:val="none"/>
        </w:rPr>
        <w:t>原文：</w:t>
      </w:r>
      <w:r>
        <w:rPr>
          <w:rFonts w:ascii="宋体" w:hAnsi="宋体"/>
          <w:color w:val="auto"/>
          <w:sz w:val="24"/>
          <w:szCs w:val="24"/>
          <w:highlight w:val="none"/>
        </w:rPr>
        <w:t>13.4</w:t>
      </w:r>
      <w:r>
        <w:rPr>
          <w:rFonts w:hint="eastAsia" w:ascii="宋体" w:hAnsi="宋体"/>
          <w:color w:val="auto"/>
          <w:sz w:val="24"/>
          <w:szCs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7BAF3383">
      <w:pPr>
        <w:pStyle w:val="5"/>
        <w:pBdr>
          <w:bottom w:val="single" w:color="auto" w:sz="4" w:space="0"/>
        </w:pBdr>
        <w:spacing w:after="0" w:line="360" w:lineRule="auto"/>
        <w:ind w:firstLine="482" w:firstLineChars="200"/>
        <w:rPr>
          <w:rFonts w:hint="eastAsia" w:ascii="宋体" w:hAnsi="宋体"/>
          <w:color w:val="auto"/>
          <w:sz w:val="24"/>
          <w:szCs w:val="24"/>
          <w:highlight w:val="none"/>
          <w:u w:val="single"/>
          <w:lang w:eastAsia="zh-CN"/>
        </w:rPr>
      </w:pPr>
      <w:r>
        <w:rPr>
          <w:rFonts w:hint="eastAsia"/>
          <w:b/>
          <w:color w:val="auto"/>
          <w:sz w:val="24"/>
          <w:szCs w:val="24"/>
          <w:highlight w:val="none"/>
        </w:rPr>
        <w:t>现文：</w:t>
      </w:r>
      <w:r>
        <w:rPr>
          <w:rFonts w:ascii="宋体" w:hAnsi="宋体"/>
          <w:color w:val="auto"/>
          <w:sz w:val="24"/>
          <w:szCs w:val="24"/>
          <w:highlight w:val="none"/>
        </w:rPr>
        <w:t>13.4</w:t>
      </w:r>
      <w:r>
        <w:rPr>
          <w:rFonts w:hint="eastAsia" w:ascii="宋体" w:hAnsi="宋体"/>
          <w:color w:val="auto"/>
          <w:sz w:val="24"/>
          <w:szCs w:val="24"/>
          <w:highlight w:val="none"/>
          <w:u w:val="single"/>
        </w:rPr>
        <w:t>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w:t>
      </w:r>
      <w:r>
        <w:rPr>
          <w:rFonts w:hint="eastAsia" w:ascii="宋体" w:hAnsi="宋体"/>
          <w:color w:val="auto"/>
          <w:sz w:val="24"/>
          <w:szCs w:val="24"/>
          <w:highlight w:val="none"/>
          <w:u w:val="single"/>
        </w:rPr>
        <w:t>价格风险幅度为±5%</w:t>
      </w:r>
      <w:r>
        <w:rPr>
          <w:rFonts w:hint="eastAsia" w:ascii="宋体" w:hAnsi="宋体"/>
          <w:color w:val="auto"/>
          <w:sz w:val="24"/>
          <w:szCs w:val="24"/>
          <w:highlight w:val="none"/>
          <w:u w:val="single"/>
        </w:rPr>
        <w:t>、机械台班价格</w:t>
      </w:r>
      <w:r>
        <w:rPr>
          <w:rFonts w:hint="eastAsia" w:ascii="宋体" w:hAnsi="宋体"/>
          <w:color w:val="auto"/>
          <w:sz w:val="24"/>
          <w:szCs w:val="24"/>
          <w:highlight w:val="none"/>
          <w:u w:val="single"/>
        </w:rPr>
        <w:t>风险幅度为±10%</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波动涨跌幅度超过合同基准期（指递交投标文件截止日期前28天）价格和人工涨跌变化影响合同价款时，应根据合同约定，按《建设工程工程量清单计价规范》（GB5500-2013）调整合同价款，以广州市造价管理站同期《广州地区建设工程材料综合价格》、工程造价管理机构同期发布的工程造价信息,当工程造价信息没有发布时，以承包人、监理单位、发包人确认的与广州周边城市市场价的询价材料单价</w:t>
      </w:r>
      <w:r>
        <w:rPr>
          <w:rFonts w:hint="eastAsia" w:ascii="宋体" w:hAnsi="宋体"/>
          <w:color w:val="auto"/>
          <w:sz w:val="24"/>
          <w:szCs w:val="24"/>
          <w:highlight w:val="none"/>
          <w:u w:val="single"/>
          <w:lang w:val="en-US" w:eastAsia="zh-CN"/>
        </w:rPr>
        <w:t>计算</w:t>
      </w: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val="en-US" w:eastAsia="zh-CN"/>
        </w:rPr>
        <w:t>则超过部分的价格予以足额调整</w:t>
      </w:r>
      <w:r>
        <w:rPr>
          <w:rFonts w:hint="eastAsia" w:ascii="宋体" w:hAnsi="宋体"/>
          <w:color w:val="auto"/>
          <w:sz w:val="24"/>
          <w:szCs w:val="24"/>
          <w:highlight w:val="none"/>
          <w:u w:val="single"/>
          <w:lang w:eastAsia="zh-CN"/>
        </w:rPr>
        <w:t>。</w:t>
      </w:r>
    </w:p>
    <w:p w14:paraId="238255EF">
      <w:pPr>
        <w:spacing w:line="360" w:lineRule="auto"/>
        <w:ind w:firstLine="482" w:firstLineChars="200"/>
        <w:rPr>
          <w:b/>
          <w:color w:val="auto"/>
          <w:sz w:val="24"/>
          <w:szCs w:val="24"/>
          <w:highlight w:val="none"/>
        </w:rPr>
      </w:pPr>
      <w:r>
        <w:rPr>
          <w:rFonts w:hint="eastAsia"/>
          <w:b/>
          <w:color w:val="auto"/>
          <w:sz w:val="24"/>
          <w:szCs w:val="24"/>
          <w:highlight w:val="none"/>
        </w:rPr>
        <w:t xml:space="preserve">条款号：13.5.1 </w:t>
      </w:r>
      <w:r>
        <w:rPr>
          <w:b/>
          <w:color w:val="auto"/>
          <w:sz w:val="24"/>
          <w:szCs w:val="24"/>
          <w:highlight w:val="none"/>
        </w:rPr>
        <w:t xml:space="preserve">             </w:t>
      </w:r>
      <w:r>
        <w:rPr>
          <w:rFonts w:hint="eastAsia"/>
          <w:b/>
          <w:color w:val="auto"/>
          <w:sz w:val="24"/>
          <w:szCs w:val="24"/>
          <w:highlight w:val="none"/>
        </w:rPr>
        <w:t>修改类型：修改</w:t>
      </w:r>
    </w:p>
    <w:p w14:paraId="37E6E44C">
      <w:pPr>
        <w:spacing w:line="360" w:lineRule="auto"/>
        <w:ind w:firstLine="482" w:firstLineChars="200"/>
        <w:rPr>
          <w:b/>
          <w:color w:val="auto"/>
          <w:sz w:val="24"/>
          <w:szCs w:val="24"/>
          <w:highlight w:val="none"/>
        </w:rPr>
      </w:pPr>
      <w:r>
        <w:rPr>
          <w:rFonts w:hint="eastAsia"/>
          <w:b/>
          <w:color w:val="auto"/>
          <w:sz w:val="24"/>
          <w:szCs w:val="24"/>
          <w:highlight w:val="none"/>
        </w:rPr>
        <w:t>原文：</w:t>
      </w:r>
      <w:r>
        <w:rPr>
          <w:rFonts w:ascii="宋体" w:hAnsi="宋体"/>
          <w:color w:val="auto"/>
          <w:sz w:val="24"/>
          <w:szCs w:val="24"/>
          <w:highlight w:val="none"/>
        </w:rPr>
        <w:t>13.5.1</w:t>
      </w:r>
      <w:r>
        <w:rPr>
          <w:rFonts w:hint="eastAsia" w:ascii="宋体" w:hAnsi="宋体"/>
          <w:color w:val="auto"/>
          <w:sz w:val="24"/>
          <w:szCs w:val="24"/>
          <w:highlight w:val="none"/>
        </w:rPr>
        <w:t>中标的投标文件工程量清单中已有相同项目的适用综合单价，则沿用；</w:t>
      </w:r>
    </w:p>
    <w:p w14:paraId="2FD0FD38">
      <w:pPr>
        <w:pStyle w:val="5"/>
        <w:spacing w:line="360" w:lineRule="auto"/>
        <w:ind w:firstLine="480"/>
        <w:rPr>
          <w:rFonts w:hint="eastAsia" w:ascii="宋体" w:hAnsi="宋体"/>
          <w:color w:val="auto"/>
          <w:sz w:val="24"/>
          <w:szCs w:val="24"/>
          <w:highlight w:val="none"/>
          <w:u w:val="single"/>
        </w:rPr>
      </w:pPr>
      <w:r>
        <w:rPr>
          <w:color w:val="auto"/>
          <w:sz w:val="24"/>
          <w:highlight w:val="none"/>
        </w:rPr>
        <mc:AlternateContent>
          <mc:Choice Requires="wps">
            <w:drawing>
              <wp:anchor distT="0" distB="0" distL="114300" distR="114300" simplePos="0" relativeHeight="251678720" behindDoc="0" locked="0" layoutInCell="1" allowOverlap="1">
                <wp:simplePos x="0" y="0"/>
                <wp:positionH relativeFrom="column">
                  <wp:posOffset>2540</wp:posOffset>
                </wp:positionH>
                <wp:positionV relativeFrom="paragraph">
                  <wp:posOffset>921385</wp:posOffset>
                </wp:positionV>
                <wp:extent cx="5866130" cy="7620"/>
                <wp:effectExtent l="0" t="6350" r="1270" b="14605"/>
                <wp:wrapNone/>
                <wp:docPr id="27" name="直接连接符 27"/>
                <wp:cNvGraphicFramePr/>
                <a:graphic xmlns:a="http://schemas.openxmlformats.org/drawingml/2006/main">
                  <a:graphicData uri="http://schemas.microsoft.com/office/word/2010/wordprocessingShape">
                    <wps:wsp>
                      <wps:cNvCnPr/>
                      <wps:spPr>
                        <a:xfrm flipV="1">
                          <a:off x="902970" y="4910455"/>
                          <a:ext cx="5866130" cy="762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2pt;margin-top:72.55pt;height:0.6pt;width:461.9pt;z-index:251678720;mso-width-relative:page;mso-height-relative:page;" filled="f" stroked="t" coordsize="21600,21600" o:gfxdata="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lp9w3VAAAACAEAAA8AAAAAAAAAAQAgAAAAIgAAAGRycy9kb3ducmV2Lnht&#10;bFBLAQIUABQAAAAIAIdO4kBvPQZ1/AEAAMwDAAAOAAAAAAAAAAEAIAAAACQBAABkcnMvZTJvRG9j&#10;LnhtbFBLBQYAAAAABgAGAFkBAACSBQAAAAA=&#10;">
                <v:fill on="f" focussize="0,0"/>
                <v:stroke weight="1pt" color="#000000 [3213]" miterlimit="8" joinstyle="miter"/>
                <v:imagedata o:title=""/>
                <o:lock v:ext="edit" aspectratio="f"/>
              </v:line>
            </w:pict>
          </mc:Fallback>
        </mc:AlternateContent>
      </w:r>
      <w:r>
        <w:rPr>
          <w:rFonts w:hint="eastAsia"/>
          <w:b/>
          <w:color w:val="auto"/>
          <w:sz w:val="24"/>
          <w:szCs w:val="24"/>
          <w:highlight w:val="none"/>
        </w:rPr>
        <w:t>现文：</w:t>
      </w:r>
      <w:r>
        <w:rPr>
          <w:rFonts w:ascii="宋体" w:hAnsi="宋体"/>
          <w:color w:val="auto"/>
          <w:sz w:val="24"/>
          <w:szCs w:val="24"/>
          <w:highlight w:val="none"/>
        </w:rPr>
        <w:t>13.5.1</w:t>
      </w:r>
      <w:r>
        <w:rPr>
          <w:rFonts w:hint="eastAsia" w:ascii="宋体" w:hAnsi="宋体"/>
          <w:color w:val="auto"/>
          <w:sz w:val="24"/>
          <w:szCs w:val="24"/>
          <w:highlight w:val="none"/>
        </w:rPr>
        <w:t>中标的投标文件工程量清单中已有相同项目的,</w:t>
      </w:r>
      <w:r>
        <w:rPr>
          <w:rFonts w:hint="eastAsia" w:ascii="宋体" w:hAnsi="宋体"/>
          <w:color w:val="auto"/>
          <w:sz w:val="24"/>
          <w:szCs w:val="24"/>
          <w:highlight w:val="none"/>
          <w:u w:val="single"/>
        </w:rPr>
        <w:t>该项目的综合单价若低于招标控制价相应项目综合单价,则沿用;若高于招标控制价相应项目综合单价,则按招标控制价相应项目的综合单价。</w:t>
      </w:r>
    </w:p>
    <w:p w14:paraId="7F8F1D5D">
      <w:pPr>
        <w:spacing w:line="360" w:lineRule="auto"/>
        <w:ind w:firstLine="540" w:firstLineChars="224"/>
        <w:rPr>
          <w:b/>
          <w:color w:val="auto"/>
          <w:sz w:val="24"/>
          <w:szCs w:val="24"/>
          <w:highlight w:val="none"/>
        </w:rPr>
      </w:pPr>
      <w:r>
        <w:rPr>
          <w:rFonts w:hint="eastAsia"/>
          <w:b/>
          <w:color w:val="auto"/>
          <w:sz w:val="24"/>
          <w:szCs w:val="24"/>
          <w:highlight w:val="none"/>
        </w:rPr>
        <w:t xml:space="preserve">条款号：13.5.2 </w:t>
      </w:r>
      <w:r>
        <w:rPr>
          <w:b/>
          <w:color w:val="auto"/>
          <w:sz w:val="24"/>
          <w:szCs w:val="24"/>
          <w:highlight w:val="none"/>
        </w:rPr>
        <w:t xml:space="preserve">             </w:t>
      </w:r>
      <w:r>
        <w:rPr>
          <w:rFonts w:hint="eastAsia"/>
          <w:b/>
          <w:color w:val="auto"/>
          <w:sz w:val="24"/>
          <w:szCs w:val="24"/>
          <w:highlight w:val="none"/>
        </w:rPr>
        <w:t>修改类型：修改</w:t>
      </w:r>
    </w:p>
    <w:p w14:paraId="306678B0">
      <w:pPr>
        <w:pStyle w:val="5"/>
        <w:spacing w:line="360" w:lineRule="auto"/>
        <w:ind w:firstLine="480"/>
        <w:rPr>
          <w:b/>
          <w:color w:val="auto"/>
          <w:sz w:val="24"/>
          <w:szCs w:val="24"/>
          <w:highlight w:val="none"/>
        </w:rPr>
      </w:pPr>
      <w:r>
        <w:rPr>
          <w:rFonts w:hint="eastAsia"/>
          <w:b/>
          <w:color w:val="auto"/>
          <w:sz w:val="24"/>
          <w:szCs w:val="24"/>
          <w:highlight w:val="none"/>
        </w:rPr>
        <w:t>原文：</w:t>
      </w:r>
      <w:r>
        <w:rPr>
          <w:rFonts w:ascii="宋体" w:hAnsi="宋体"/>
          <w:color w:val="auto"/>
          <w:sz w:val="24"/>
          <w:szCs w:val="24"/>
          <w:highlight w:val="none"/>
        </w:rPr>
        <w:t>13.5.2</w:t>
      </w:r>
      <w:r>
        <w:rPr>
          <w:rFonts w:hint="eastAsia" w:ascii="宋体" w:hAnsi="宋体"/>
          <w:color w:val="auto"/>
          <w:sz w:val="24"/>
          <w:szCs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6630D42C">
      <w:pPr>
        <w:pStyle w:val="5"/>
        <w:spacing w:after="0" w:line="360" w:lineRule="auto"/>
        <w:ind w:firstLine="482" w:firstLineChars="200"/>
        <w:rPr>
          <w:rFonts w:hint="eastAsia" w:ascii="宋体" w:hAnsi="宋体"/>
          <w:color w:val="auto"/>
          <w:sz w:val="24"/>
          <w:szCs w:val="24"/>
          <w:highlight w:val="none"/>
        </w:rPr>
      </w:pPr>
      <w:r>
        <w:rPr>
          <w:rFonts w:hint="eastAsia"/>
          <w:b/>
          <w:color w:val="auto"/>
          <w:sz w:val="24"/>
          <w:szCs w:val="24"/>
          <w:highlight w:val="none"/>
        </w:rPr>
        <w:t>现文：</w:t>
      </w:r>
      <w:r>
        <w:rPr>
          <w:rFonts w:ascii="宋体" w:hAnsi="宋体"/>
          <w:color w:val="auto"/>
          <w:sz w:val="24"/>
          <w:szCs w:val="24"/>
          <w:highlight w:val="none"/>
        </w:rPr>
        <w:t>13.5.2</w:t>
      </w:r>
      <w:r>
        <w:rPr>
          <w:rFonts w:hint="eastAsia" w:ascii="宋体" w:hAnsi="宋体"/>
          <w:color w:val="auto"/>
          <w:sz w:val="24"/>
          <w:szCs w:val="24"/>
          <w:highlight w:val="none"/>
          <w:u w:val="singl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以广州市造价管理站同期《广州地区建设工程材料综合价格》、工程造价管理机构同期发布的工程造价信息,当工程造价信息没有发布时，以承包人、监理单位、发包人确认的与广州周边城市市场价的询价材料单价计算，并按中标浮动率下浮后作结算。</w:t>
      </w:r>
    </w:p>
    <w:p w14:paraId="7A488CD3">
      <w:pPr>
        <w:spacing w:line="360" w:lineRule="auto"/>
        <w:ind w:firstLine="482" w:firstLineChars="200"/>
        <w:rPr>
          <w:rFonts w:hint="eastAsia" w:ascii="宋体" w:hAnsi="宋体"/>
          <w:b/>
          <w:bCs/>
          <w:color w:val="auto"/>
          <w:sz w:val="24"/>
          <w:szCs w:val="24"/>
          <w:highlight w:val="none"/>
        </w:rPr>
      </w:pPr>
      <w:r>
        <w:rPr>
          <w:b/>
          <w:bCs/>
          <w:color w:val="auto"/>
          <w:sz w:val="24"/>
          <w:highlight w:val="none"/>
        </w:rPr>
        <mc:AlternateContent>
          <mc:Choice Requires="wps">
            <w:drawing>
              <wp:anchor distT="0" distB="0" distL="114300" distR="114300" simplePos="0" relativeHeight="251679744" behindDoc="0" locked="0" layoutInCell="1" allowOverlap="1">
                <wp:simplePos x="0" y="0"/>
                <wp:positionH relativeFrom="column">
                  <wp:posOffset>26670</wp:posOffset>
                </wp:positionH>
                <wp:positionV relativeFrom="paragraph">
                  <wp:posOffset>34925</wp:posOffset>
                </wp:positionV>
                <wp:extent cx="5746750" cy="0"/>
                <wp:effectExtent l="0" t="6350" r="0" b="6350"/>
                <wp:wrapNone/>
                <wp:docPr id="28" name="直接连接符 28"/>
                <wp:cNvGraphicFramePr/>
                <a:graphic xmlns:a="http://schemas.openxmlformats.org/drawingml/2006/main">
                  <a:graphicData uri="http://schemas.microsoft.com/office/word/2010/wordprocessingShape">
                    <wps:wsp>
                      <wps:cNvCnPr/>
                      <wps:spPr>
                        <a:xfrm>
                          <a:off x="927100" y="9426575"/>
                          <a:ext cx="574675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1pt;margin-top:2.75pt;height:0pt;width:452.5pt;z-index:251679744;mso-width-relative:page;mso-height-relative:page;" filled="f" stroked="t" coordsize="21600,21600" o:gfxdata="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Ikd/i1AAAAAUBAAAPAAAAAAAAAAEAIAAAACIAAABkcnMvZG93bnJldi54bWxQSwECFAAUAAAA&#10;CACHTuJA6ekp6vIBAAC/AwAADgAAAAAAAAABACAAAAAjAQAAZHJzL2Uyb0RvYy54bWxQSwUGAAAA&#10;AAYABgBZAQAAhwUAAAAA&#10;">
                <v:fill on="f" focussize="0,0"/>
                <v:stroke weight="1pt" color="#000000 [3213]" miterlimit="8" joinstyle="miter"/>
                <v:imagedata o:title=""/>
                <o:lock v:ext="edit" aspectratio="f"/>
              </v:line>
            </w:pict>
          </mc:Fallback>
        </mc:AlternateContent>
      </w:r>
      <w:r>
        <w:rPr>
          <w:rFonts w:hint="eastAsia" w:ascii="宋体" w:hAnsi="宋体"/>
          <w:b/>
          <w:bCs/>
          <w:color w:val="auto"/>
          <w:sz w:val="24"/>
          <w:szCs w:val="24"/>
          <w:highlight w:val="none"/>
        </w:rPr>
        <w:t>条款号：16             修改类型：删除</w:t>
      </w:r>
    </w:p>
    <w:p w14:paraId="4C4F699F">
      <w:pPr>
        <w:spacing w:line="360" w:lineRule="auto"/>
        <w:ind w:firstLine="482" w:firstLineChars="200"/>
        <w:rPr>
          <w:rFonts w:hint="eastAsia" w:ascii="宋体" w:hAnsi="宋体"/>
          <w:color w:val="auto"/>
          <w:sz w:val="24"/>
          <w:szCs w:val="24"/>
          <w:highlight w:val="none"/>
        </w:rPr>
      </w:pPr>
      <w:r>
        <w:rPr>
          <w:rFonts w:hint="eastAsia" w:ascii="宋体" w:hAnsi="宋体"/>
          <w:b/>
          <w:bCs/>
          <w:color w:val="auto"/>
          <w:sz w:val="24"/>
          <w:szCs w:val="24"/>
          <w:highlight w:val="none"/>
        </w:rPr>
        <w:t>原文：</w:t>
      </w:r>
      <w:r>
        <w:rPr>
          <w:rFonts w:hint="eastAsia" w:ascii="宋体" w:hAnsi="宋体"/>
          <w:color w:val="auto"/>
          <w:sz w:val="24"/>
          <w:szCs w:val="24"/>
          <w:highlight w:val="none"/>
        </w:rPr>
        <w:t>16．投标保证金</w:t>
      </w:r>
    </w:p>
    <w:p w14:paraId="1D93D30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16.1投标人应按国家、省、市有关规定和投标须知前附表第16项所述金额和时间递交投标保证金。招标人应当允许投标人自主选择现金、银行保函、保证保险、专业工程担保公司担保等方式缴纳投标保证金。</w:t>
      </w:r>
    </w:p>
    <w:p w14:paraId="4B146ED7">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16.1.1 采用现金或者支票形式提交的，投标保证金须从投标人的银行基本账户转出。</w:t>
      </w:r>
    </w:p>
    <w:p w14:paraId="69ED1521">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16.1.2 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475089D3">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16.1.3 采用电子形式的保函、担保或保证保险提交投标保证金的，应在招标文件中明确电子递交途径。</w:t>
      </w:r>
    </w:p>
    <w:p w14:paraId="77C440A3">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3EF09704">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16.3投标保证金应依据法律法规的相关规定退还。</w:t>
      </w:r>
    </w:p>
    <w:p w14:paraId="2EDE3A3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16.4如有下列情况之一的，招标人可以不予退还投标保证金（是否退还投标保证金由招标人依法依规在招标文件中规定）：</w:t>
      </w:r>
    </w:p>
    <w:p w14:paraId="1E6C0794">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16.5投标人如存在下列情况之一的，将被拒绝在一定时期内参与招标人后续工程投标（由招标人依法依规在招标文件中明确）：</w:t>
      </w:r>
    </w:p>
    <w:p w14:paraId="316B8A10">
      <w:pPr>
        <w:spacing w:line="360" w:lineRule="auto"/>
        <w:ind w:firstLine="537" w:firstLineChars="224"/>
        <w:rPr>
          <w:b/>
          <w:color w:val="auto"/>
          <w:sz w:val="24"/>
          <w:szCs w:val="24"/>
          <w:highlight w:val="none"/>
        </w:rPr>
      </w:pPr>
      <w:r>
        <w:rPr>
          <w:color w:val="auto"/>
          <w:sz w:val="24"/>
          <w:highlight w:val="none"/>
        </w:rPr>
        <mc:AlternateContent>
          <mc:Choice Requires="wps">
            <w:drawing>
              <wp:anchor distT="0" distB="0" distL="114300" distR="114300" simplePos="0" relativeHeight="251680768" behindDoc="0" locked="0" layoutInCell="1" allowOverlap="1">
                <wp:simplePos x="0" y="0"/>
                <wp:positionH relativeFrom="column">
                  <wp:posOffset>-36830</wp:posOffset>
                </wp:positionH>
                <wp:positionV relativeFrom="paragraph">
                  <wp:posOffset>3175</wp:posOffset>
                </wp:positionV>
                <wp:extent cx="5842000" cy="0"/>
                <wp:effectExtent l="0" t="6350" r="0" b="6350"/>
                <wp:wrapNone/>
                <wp:docPr id="29" name="直接连接符 29"/>
                <wp:cNvGraphicFramePr/>
                <a:graphic xmlns:a="http://schemas.openxmlformats.org/drawingml/2006/main">
                  <a:graphicData uri="http://schemas.microsoft.com/office/word/2010/wordprocessingShape">
                    <wps:wsp>
                      <wps:cNvCnPr/>
                      <wps:spPr>
                        <a:xfrm>
                          <a:off x="863600" y="6666865"/>
                          <a:ext cx="584200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9pt;margin-top:0.25pt;height:0pt;width:460pt;z-index:251680768;mso-width-relative:page;mso-height-relative:page;" filled="f" stroked="t" coordsize="21600,21600" o:gfxdata="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Mf5ntUAAAAEAQAADwAAAAAAAAABACAAAAAiAAAAZHJzL2Rvd25yZXYueG1sUEsBAhQAFAAAAAgA&#10;h07iQDvc0JfvAQAAvwMAAA4AAAAAAAAAAQAgAAAAJAEAAGRycy9lMm9Eb2MueG1sUEsFBgAAAAAG&#10;AAYAWQEAAIUFAAAAAA==&#10;">
                <v:fill on="f" focussize="0,0"/>
                <v:stroke weight="1pt" color="#000000 [3213]" miterlimit="8" joinstyle="miter"/>
                <v:imagedata o:title=""/>
                <o:lock v:ext="edit" aspectratio="f"/>
              </v:line>
            </w:pict>
          </mc:Fallback>
        </mc:AlternateContent>
      </w:r>
      <w:r>
        <w:rPr>
          <w:rFonts w:hint="eastAsia"/>
          <w:b/>
          <w:color w:val="auto"/>
          <w:sz w:val="24"/>
          <w:szCs w:val="24"/>
          <w:highlight w:val="none"/>
        </w:rPr>
        <w:t>条款号： 17.1</w:t>
      </w:r>
      <w:r>
        <w:rPr>
          <w:b/>
          <w:color w:val="auto"/>
          <w:sz w:val="24"/>
          <w:szCs w:val="24"/>
          <w:highlight w:val="none"/>
        </w:rPr>
        <w:t xml:space="preserve">             </w:t>
      </w:r>
      <w:r>
        <w:rPr>
          <w:rFonts w:hint="eastAsia"/>
          <w:b/>
          <w:color w:val="auto"/>
          <w:sz w:val="24"/>
          <w:szCs w:val="24"/>
          <w:highlight w:val="none"/>
        </w:rPr>
        <w:t>修改类型：修改</w:t>
      </w:r>
    </w:p>
    <w:p w14:paraId="059C64BA">
      <w:pPr>
        <w:spacing w:line="360" w:lineRule="auto"/>
        <w:ind w:firstLine="482" w:firstLineChars="200"/>
        <w:rPr>
          <w:rFonts w:hint="eastAsia" w:ascii="宋体" w:hAnsi="宋体"/>
          <w:color w:val="auto"/>
          <w:sz w:val="24"/>
          <w:szCs w:val="24"/>
          <w:highlight w:val="none"/>
        </w:rPr>
      </w:pPr>
      <w:r>
        <w:rPr>
          <w:rFonts w:hint="eastAsia"/>
          <w:b/>
          <w:color w:val="auto"/>
          <w:sz w:val="24"/>
          <w:szCs w:val="24"/>
          <w:highlight w:val="none"/>
        </w:rPr>
        <w:t>原文：</w:t>
      </w:r>
      <w:r>
        <w:rPr>
          <w:rFonts w:ascii="宋体" w:hAnsi="宋体"/>
          <w:color w:val="auto"/>
          <w:sz w:val="24"/>
          <w:szCs w:val="24"/>
          <w:highlight w:val="none"/>
        </w:rPr>
        <w:t>17.1</w:t>
      </w:r>
      <w:r>
        <w:rPr>
          <w:rFonts w:hint="eastAsia" w:ascii="宋体" w:hAnsi="宋体"/>
          <w:color w:val="auto"/>
          <w:sz w:val="24"/>
          <w:szCs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14:paraId="5BD0F009">
      <w:pPr>
        <w:spacing w:line="360" w:lineRule="auto"/>
        <w:ind w:firstLine="482" w:firstLineChars="200"/>
        <w:rPr>
          <w:rFonts w:hint="eastAsia" w:ascii="宋体" w:hAnsi="宋体"/>
          <w:color w:val="auto"/>
          <w:sz w:val="24"/>
          <w:szCs w:val="24"/>
          <w:highlight w:val="none"/>
          <w:u w:val="single"/>
        </w:rPr>
      </w:pPr>
      <w:r>
        <w:rPr>
          <w:rFonts w:hint="eastAsia"/>
          <w:b/>
          <w:color w:val="auto"/>
          <w:sz w:val="24"/>
          <w:szCs w:val="24"/>
          <w:highlight w:val="none"/>
        </w:rPr>
        <w:t>现文：</w:t>
      </w:r>
      <w:r>
        <w:rPr>
          <w:rFonts w:ascii="宋体" w:hAnsi="宋体"/>
          <w:color w:val="auto"/>
          <w:sz w:val="24"/>
          <w:szCs w:val="24"/>
          <w:highlight w:val="none"/>
        </w:rPr>
        <w:t>17.1</w:t>
      </w:r>
      <w:r>
        <w:rPr>
          <w:rFonts w:hint="eastAsia" w:ascii="宋体" w:hAnsi="宋体"/>
          <w:color w:val="auto"/>
          <w:sz w:val="24"/>
          <w:szCs w:val="24"/>
          <w:highlight w:val="none"/>
        </w:rPr>
        <w:t>投标人应采用单位数字证书，</w:t>
      </w:r>
      <w:r>
        <w:rPr>
          <w:rFonts w:hint="eastAsia" w:ascii="宋体" w:hAnsi="宋体"/>
          <w:color w:val="auto"/>
          <w:sz w:val="24"/>
          <w:highlight w:val="none"/>
        </w:rPr>
        <w:t>对投标文件加盖电子印章。</w:t>
      </w:r>
      <w:r>
        <w:rPr>
          <w:rFonts w:hint="eastAsia" w:ascii="宋体" w:hAnsi="宋体"/>
          <w:color w:val="auto"/>
          <w:sz w:val="24"/>
          <w:szCs w:val="24"/>
          <w:highlight w:val="none"/>
        </w:rPr>
        <w:t>投标文件中需个人签字或盖章的，应加盖个人电子印章或在线下完成后扫描上传。按照交易平台关于全流程电子化项目的相关指南进行操作。详见：</w:t>
      </w:r>
      <w:r>
        <w:rPr>
          <w:rFonts w:hint="eastAsia" w:ascii="宋体" w:hAnsi="宋体"/>
          <w:color w:val="auto"/>
          <w:sz w:val="24"/>
          <w:szCs w:val="24"/>
          <w:highlight w:val="none"/>
          <w:u w:val="single"/>
        </w:rPr>
        <w:t>广州交易集团有限公司（广州公共资源交易中心）网站。</w:t>
      </w:r>
    </w:p>
    <w:p w14:paraId="79957982">
      <w:pPr>
        <w:spacing w:line="360" w:lineRule="auto"/>
        <w:ind w:firstLine="537" w:firstLineChars="224"/>
        <w:rPr>
          <w:b/>
          <w:color w:val="auto"/>
          <w:sz w:val="24"/>
          <w:szCs w:val="24"/>
          <w:highlight w:val="none"/>
        </w:rPr>
      </w:pPr>
      <w:r>
        <w:rPr>
          <w:color w:val="auto"/>
          <w:sz w:val="24"/>
          <w:highlight w:val="none"/>
        </w:rPr>
        <mc:AlternateContent>
          <mc:Choice Requires="wps">
            <w:drawing>
              <wp:anchor distT="0" distB="0" distL="114300" distR="114300" simplePos="0" relativeHeight="251681792" behindDoc="0" locked="0" layoutInCell="1" allowOverlap="1">
                <wp:simplePos x="0" y="0"/>
                <wp:positionH relativeFrom="column">
                  <wp:posOffset>26670</wp:posOffset>
                </wp:positionH>
                <wp:positionV relativeFrom="paragraph">
                  <wp:posOffset>22860</wp:posOffset>
                </wp:positionV>
                <wp:extent cx="5746750" cy="0"/>
                <wp:effectExtent l="0" t="6350" r="0" b="6350"/>
                <wp:wrapNone/>
                <wp:docPr id="30" name="直接连接符 30"/>
                <wp:cNvGraphicFramePr/>
                <a:graphic xmlns:a="http://schemas.openxmlformats.org/drawingml/2006/main">
                  <a:graphicData uri="http://schemas.microsoft.com/office/word/2010/wordprocessingShape">
                    <wps:wsp>
                      <wps:cNvCnPr/>
                      <wps:spPr>
                        <a:xfrm>
                          <a:off x="927100" y="9063990"/>
                          <a:ext cx="574675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1pt;margin-top:1.8pt;height:0pt;width:452.5pt;z-index:251681792;mso-width-relative:page;mso-height-relative:page;" filled="f" stroked="t" coordsize="21600,21600" o:gfxdata="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R&#10;Q7mH0wAAAAUBAAAPAAAAAAAAAAEAIAAAACIAAABkcnMvZG93bnJldi54bWxQSwECFAAUAAAACACH&#10;TuJAexO7lfABAAC/AwAADgAAAAAAAAABACAAAAAiAQAAZHJzL2Uyb0RvYy54bWxQSwUGAAAAAAYA&#10;BgBZAQAAhAUAAAAA&#10;">
                <v:fill on="f" focussize="0,0"/>
                <v:stroke weight="1pt" color="#000000 [3213]" miterlimit="8" joinstyle="miter"/>
                <v:imagedata o:title=""/>
                <o:lock v:ext="edit" aspectratio="f"/>
              </v:line>
            </w:pict>
          </mc:Fallback>
        </mc:AlternateContent>
      </w:r>
      <w:r>
        <w:rPr>
          <w:rFonts w:hint="eastAsia"/>
          <w:b/>
          <w:color w:val="auto"/>
          <w:sz w:val="24"/>
          <w:szCs w:val="24"/>
          <w:highlight w:val="none"/>
        </w:rPr>
        <w:t xml:space="preserve">条款号：18.1 </w:t>
      </w:r>
      <w:r>
        <w:rPr>
          <w:b/>
          <w:color w:val="auto"/>
          <w:sz w:val="24"/>
          <w:szCs w:val="24"/>
          <w:highlight w:val="none"/>
        </w:rPr>
        <w:t xml:space="preserve">             </w:t>
      </w:r>
      <w:r>
        <w:rPr>
          <w:rFonts w:hint="eastAsia"/>
          <w:b/>
          <w:color w:val="auto"/>
          <w:sz w:val="24"/>
          <w:szCs w:val="24"/>
          <w:highlight w:val="none"/>
        </w:rPr>
        <w:t>修改类型：修改</w:t>
      </w:r>
    </w:p>
    <w:p w14:paraId="7663742C">
      <w:pPr>
        <w:spacing w:line="360" w:lineRule="auto"/>
        <w:ind w:firstLine="482" w:firstLineChars="200"/>
        <w:rPr>
          <w:rFonts w:ascii="宋体"/>
          <w:bCs/>
          <w:color w:val="auto"/>
          <w:sz w:val="24"/>
          <w:szCs w:val="24"/>
          <w:highlight w:val="none"/>
        </w:rPr>
      </w:pPr>
      <w:r>
        <w:rPr>
          <w:rFonts w:hint="eastAsia"/>
          <w:b/>
          <w:color w:val="auto"/>
          <w:sz w:val="24"/>
          <w:szCs w:val="24"/>
          <w:highlight w:val="none"/>
        </w:rPr>
        <w:t>原文：</w:t>
      </w:r>
      <w:r>
        <w:rPr>
          <w:rFonts w:ascii="宋体" w:hAnsi="宋体"/>
          <w:bCs/>
          <w:color w:val="auto"/>
          <w:sz w:val="24"/>
          <w:szCs w:val="24"/>
          <w:highlight w:val="none"/>
        </w:rPr>
        <w:t>1</w:t>
      </w:r>
      <w:r>
        <w:rPr>
          <w:rFonts w:hint="eastAsia" w:ascii="宋体" w:hAnsi="宋体"/>
          <w:bCs/>
          <w:color w:val="auto"/>
          <w:sz w:val="24"/>
          <w:szCs w:val="24"/>
          <w:highlight w:val="none"/>
        </w:rPr>
        <w:t>8</w:t>
      </w:r>
      <w:r>
        <w:rPr>
          <w:rFonts w:ascii="宋体" w:hAnsi="宋体"/>
          <w:bCs/>
          <w:color w:val="auto"/>
          <w:sz w:val="24"/>
          <w:szCs w:val="24"/>
          <w:highlight w:val="none"/>
        </w:rPr>
        <w:t>.1</w:t>
      </w:r>
      <w:r>
        <w:rPr>
          <w:rFonts w:hint="eastAsia" w:ascii="宋体" w:hAnsi="宋体"/>
          <w:bCs/>
          <w:color w:val="auto"/>
          <w:sz w:val="24"/>
          <w:szCs w:val="24"/>
          <w:highlight w:val="none"/>
        </w:rPr>
        <w:t>递交的电子投标文件（不含备用光盘）必须进行加密。按照交易平台关于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14:paraId="606CB73D">
      <w:pPr>
        <w:spacing w:line="360" w:lineRule="auto"/>
        <w:ind w:firstLine="482" w:firstLineChars="200"/>
        <w:rPr>
          <w:rFonts w:hint="eastAsia" w:ascii="宋体" w:hAnsi="宋体"/>
          <w:color w:val="auto"/>
          <w:sz w:val="24"/>
          <w:szCs w:val="24"/>
          <w:highlight w:val="none"/>
        </w:rPr>
      </w:pPr>
      <w:r>
        <w:rPr>
          <w:rFonts w:hint="eastAsia"/>
          <w:b/>
          <w:color w:val="auto"/>
          <w:sz w:val="24"/>
          <w:szCs w:val="24"/>
          <w:highlight w:val="none"/>
        </w:rPr>
        <w:t>现文：</w:t>
      </w:r>
      <w:r>
        <w:rPr>
          <w:rFonts w:ascii="宋体" w:hAnsi="宋体"/>
          <w:bCs/>
          <w:color w:val="auto"/>
          <w:sz w:val="24"/>
          <w:szCs w:val="24"/>
          <w:highlight w:val="none"/>
        </w:rPr>
        <w:t>1</w:t>
      </w:r>
      <w:r>
        <w:rPr>
          <w:rFonts w:hint="eastAsia" w:ascii="宋体" w:hAnsi="宋体"/>
          <w:bCs/>
          <w:color w:val="auto"/>
          <w:sz w:val="24"/>
          <w:szCs w:val="24"/>
          <w:highlight w:val="none"/>
        </w:rPr>
        <w:t>8</w:t>
      </w:r>
      <w:r>
        <w:rPr>
          <w:rFonts w:ascii="宋体" w:hAnsi="宋体"/>
          <w:bCs/>
          <w:color w:val="auto"/>
          <w:sz w:val="24"/>
          <w:szCs w:val="24"/>
          <w:highlight w:val="none"/>
        </w:rPr>
        <w:t>.1</w:t>
      </w:r>
      <w:r>
        <w:rPr>
          <w:rFonts w:hint="eastAsia" w:ascii="宋体" w:hAnsi="宋体"/>
          <w:bCs/>
          <w:color w:val="auto"/>
          <w:sz w:val="24"/>
          <w:szCs w:val="24"/>
          <w:highlight w:val="none"/>
        </w:rPr>
        <w:t>递交的电子投标文件（不含备用光盘）必须进行加密。按照交易平台关于</w:t>
      </w:r>
      <w:r>
        <w:rPr>
          <w:rFonts w:hint="eastAsia"/>
          <w:color w:val="auto"/>
          <w:sz w:val="24"/>
          <w:szCs w:val="24"/>
          <w:highlight w:val="none"/>
        </w:rPr>
        <w:t>全流程电子化项目的相关指南进行操作。详见</w:t>
      </w:r>
      <w:r>
        <w:rPr>
          <w:rFonts w:hint="eastAsia"/>
          <w:color w:val="auto"/>
          <w:sz w:val="24"/>
          <w:szCs w:val="24"/>
          <w:highlight w:val="none"/>
          <w:u w:val="single"/>
        </w:rPr>
        <w:t>：广州交易集团有限公司（广州公共资源交易中心）网站。</w:t>
      </w:r>
    </w:p>
    <w:p w14:paraId="45BE97B8">
      <w:pPr>
        <w:spacing w:line="360" w:lineRule="auto"/>
        <w:ind w:firstLine="537" w:firstLineChars="224"/>
        <w:rPr>
          <w:b/>
          <w:color w:val="auto"/>
          <w:sz w:val="24"/>
          <w:szCs w:val="24"/>
          <w:highlight w:val="none"/>
        </w:rPr>
      </w:pPr>
      <w:r>
        <w:rPr>
          <w:color w:val="auto"/>
          <w:sz w:val="24"/>
          <w:highlight w:val="none"/>
        </w:rPr>
        <mc:AlternateContent>
          <mc:Choice Requires="wps">
            <w:drawing>
              <wp:anchor distT="0" distB="0" distL="114300" distR="114300" simplePos="0" relativeHeight="251682816" behindDoc="0" locked="0" layoutInCell="1" allowOverlap="1">
                <wp:simplePos x="0" y="0"/>
                <wp:positionH relativeFrom="column">
                  <wp:posOffset>18415</wp:posOffset>
                </wp:positionH>
                <wp:positionV relativeFrom="paragraph">
                  <wp:posOffset>13970</wp:posOffset>
                </wp:positionV>
                <wp:extent cx="5786755" cy="8255"/>
                <wp:effectExtent l="0" t="0" r="0" b="0"/>
                <wp:wrapNone/>
                <wp:docPr id="31" name="直接连接符 31"/>
                <wp:cNvGraphicFramePr/>
                <a:graphic xmlns:a="http://schemas.openxmlformats.org/drawingml/2006/main">
                  <a:graphicData uri="http://schemas.microsoft.com/office/word/2010/wordprocessingShape">
                    <wps:wsp>
                      <wps:cNvCnPr/>
                      <wps:spPr>
                        <a:xfrm>
                          <a:off x="918845" y="1922780"/>
                          <a:ext cx="5786755" cy="825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45pt;margin-top:1.1pt;height:0.65pt;width:455.65pt;z-index:251682816;mso-width-relative:page;mso-height-relative:page;" filled="f" stroked="t" coordsize="21600,21600" o:gfxdata="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DlkaN1QAAAAUBAAAPAAAAAAAAAAEAIAAAACIAAABkcnMvZG93bnJldi54bWxQSwECFAAU&#10;AAAACACHTuJA/UAFD/QBAADCAwAADgAAAAAAAAABACAAAAAkAQAAZHJzL2Uyb0RvYy54bWxQSwUG&#10;AAAAAAYABgBZAQAAigUAAAAA&#10;">
                <v:fill on="f" focussize="0,0"/>
                <v:stroke weight="1pt" color="#000000 [3213]" miterlimit="8" joinstyle="miter"/>
                <v:imagedata o:title=""/>
                <o:lock v:ext="edit" aspectratio="f"/>
              </v:line>
            </w:pict>
          </mc:Fallback>
        </mc:AlternateContent>
      </w:r>
      <w:r>
        <w:rPr>
          <w:rFonts w:hint="eastAsia"/>
          <w:b/>
          <w:color w:val="auto"/>
          <w:sz w:val="24"/>
          <w:szCs w:val="24"/>
          <w:highlight w:val="none"/>
        </w:rPr>
        <w:t>条款号： 18.2</w:t>
      </w:r>
      <w:r>
        <w:rPr>
          <w:b/>
          <w:color w:val="auto"/>
          <w:sz w:val="24"/>
          <w:szCs w:val="24"/>
          <w:highlight w:val="none"/>
        </w:rPr>
        <w:t xml:space="preserve">             </w:t>
      </w:r>
      <w:r>
        <w:rPr>
          <w:rFonts w:hint="eastAsia"/>
          <w:b/>
          <w:color w:val="auto"/>
          <w:sz w:val="24"/>
          <w:szCs w:val="24"/>
          <w:highlight w:val="none"/>
        </w:rPr>
        <w:t>修改类型：修改</w:t>
      </w:r>
    </w:p>
    <w:p w14:paraId="3BCF51A6">
      <w:pPr>
        <w:spacing w:line="360" w:lineRule="auto"/>
        <w:ind w:firstLine="482" w:firstLineChars="200"/>
        <w:rPr>
          <w:b/>
          <w:color w:val="auto"/>
          <w:sz w:val="24"/>
          <w:szCs w:val="24"/>
          <w:highlight w:val="none"/>
        </w:rPr>
      </w:pPr>
      <w:r>
        <w:rPr>
          <w:rFonts w:hint="eastAsia"/>
          <w:b/>
          <w:color w:val="auto"/>
          <w:sz w:val="24"/>
          <w:szCs w:val="24"/>
          <w:highlight w:val="none"/>
        </w:rPr>
        <w:t>原文：</w:t>
      </w:r>
      <w:r>
        <w:rPr>
          <w:rFonts w:ascii="宋体" w:hAnsi="宋体"/>
          <w:bCs/>
          <w:color w:val="auto"/>
          <w:sz w:val="24"/>
          <w:szCs w:val="24"/>
          <w:highlight w:val="none"/>
        </w:rPr>
        <w:t>1</w:t>
      </w:r>
      <w:r>
        <w:rPr>
          <w:rFonts w:hint="eastAsia" w:ascii="宋体" w:hAnsi="宋体"/>
          <w:bCs/>
          <w:color w:val="auto"/>
          <w:sz w:val="24"/>
          <w:szCs w:val="24"/>
          <w:highlight w:val="none"/>
        </w:rPr>
        <w:t>8</w:t>
      </w:r>
      <w:r>
        <w:rPr>
          <w:rFonts w:ascii="宋体" w:hAnsi="宋体"/>
          <w:bCs/>
          <w:color w:val="auto"/>
          <w:sz w:val="24"/>
          <w:szCs w:val="24"/>
          <w:highlight w:val="none"/>
        </w:rPr>
        <w:t>.2</w:t>
      </w:r>
      <w:r>
        <w:rPr>
          <w:rFonts w:ascii="宋体"/>
          <w:bCs/>
          <w:color w:val="auto"/>
          <w:sz w:val="24"/>
          <w:szCs w:val="24"/>
          <w:highlight w:val="none"/>
        </w:rPr>
        <w:t xml:space="preserve"> </w:t>
      </w:r>
      <w:r>
        <w:rPr>
          <w:rFonts w:hint="eastAsia" w:ascii="宋体"/>
          <w:bCs/>
          <w:color w:val="auto"/>
          <w:sz w:val="24"/>
          <w:szCs w:val="24"/>
          <w:highlight w:val="none"/>
        </w:rPr>
        <w:t>未按要求加密的投标文件，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bCs/>
          <w:color w:val="auto"/>
          <w:sz w:val="24"/>
          <w:szCs w:val="24"/>
          <w:highlight w:val="none"/>
        </w:rPr>
        <w:t>将予以拒收。</w:t>
      </w:r>
    </w:p>
    <w:p w14:paraId="1B7C250C">
      <w:pPr>
        <w:spacing w:line="360" w:lineRule="auto"/>
        <w:ind w:firstLine="482" w:firstLineChars="200"/>
        <w:rPr>
          <w:rFonts w:ascii="宋体"/>
          <w:bCs/>
          <w:color w:val="auto"/>
          <w:sz w:val="24"/>
          <w:szCs w:val="24"/>
          <w:highlight w:val="none"/>
        </w:rPr>
      </w:pPr>
      <w:r>
        <w:rPr>
          <w:rFonts w:hint="eastAsia"/>
          <w:b/>
          <w:color w:val="auto"/>
          <w:sz w:val="24"/>
          <w:szCs w:val="24"/>
          <w:highlight w:val="none"/>
        </w:rPr>
        <w:t>现文：</w:t>
      </w:r>
      <w:r>
        <w:rPr>
          <w:rFonts w:ascii="宋体" w:hAnsi="宋体"/>
          <w:bCs/>
          <w:color w:val="auto"/>
          <w:sz w:val="24"/>
          <w:szCs w:val="24"/>
          <w:highlight w:val="none"/>
        </w:rPr>
        <w:t>1</w:t>
      </w:r>
      <w:r>
        <w:rPr>
          <w:rFonts w:hint="eastAsia" w:ascii="宋体" w:hAnsi="宋体"/>
          <w:bCs/>
          <w:color w:val="auto"/>
          <w:sz w:val="24"/>
          <w:szCs w:val="24"/>
          <w:highlight w:val="none"/>
        </w:rPr>
        <w:t>8</w:t>
      </w:r>
      <w:r>
        <w:rPr>
          <w:rFonts w:ascii="宋体" w:hAnsi="宋体"/>
          <w:bCs/>
          <w:color w:val="auto"/>
          <w:sz w:val="24"/>
          <w:szCs w:val="24"/>
          <w:highlight w:val="none"/>
        </w:rPr>
        <w:t>.2</w:t>
      </w:r>
      <w:r>
        <w:rPr>
          <w:rFonts w:ascii="宋体"/>
          <w:bCs/>
          <w:color w:val="auto"/>
          <w:sz w:val="24"/>
          <w:szCs w:val="24"/>
          <w:highlight w:val="none"/>
        </w:rPr>
        <w:t xml:space="preserve"> </w:t>
      </w:r>
      <w:r>
        <w:rPr>
          <w:rFonts w:hint="eastAsia" w:ascii="宋体"/>
          <w:bCs/>
          <w:color w:val="auto"/>
          <w:sz w:val="24"/>
          <w:szCs w:val="24"/>
          <w:highlight w:val="none"/>
        </w:rPr>
        <w:t>未按要求加密的投标文件，</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bCs/>
          <w:color w:val="auto"/>
          <w:sz w:val="24"/>
          <w:szCs w:val="24"/>
          <w:highlight w:val="none"/>
        </w:rPr>
        <w:t>将予以拒收。</w:t>
      </w:r>
    </w:p>
    <w:p w14:paraId="04A60BBD">
      <w:pPr>
        <w:spacing w:line="360" w:lineRule="auto"/>
        <w:ind w:firstLine="480" w:firstLineChars="200"/>
        <w:rPr>
          <w:b/>
          <w:color w:val="auto"/>
          <w:sz w:val="24"/>
          <w:szCs w:val="24"/>
          <w:highlight w:val="none"/>
        </w:rPr>
      </w:pPr>
      <w:r>
        <w:rPr>
          <w:color w:val="auto"/>
          <w:sz w:val="24"/>
          <w:highlight w:val="none"/>
        </w:rPr>
        <mc:AlternateContent>
          <mc:Choice Requires="wps">
            <w:drawing>
              <wp:anchor distT="0" distB="0" distL="114300" distR="114300" simplePos="0" relativeHeight="251683840" behindDoc="0" locked="0" layoutInCell="1" allowOverlap="1">
                <wp:simplePos x="0" y="0"/>
                <wp:positionH relativeFrom="column">
                  <wp:posOffset>34290</wp:posOffset>
                </wp:positionH>
                <wp:positionV relativeFrom="paragraph">
                  <wp:posOffset>15875</wp:posOffset>
                </wp:positionV>
                <wp:extent cx="5755005" cy="0"/>
                <wp:effectExtent l="0" t="6350" r="0" b="6350"/>
                <wp:wrapNone/>
                <wp:docPr id="32" name="直接连接符 32"/>
                <wp:cNvGraphicFramePr/>
                <a:graphic xmlns:a="http://schemas.openxmlformats.org/drawingml/2006/main">
                  <a:graphicData uri="http://schemas.microsoft.com/office/word/2010/wordprocessingShape">
                    <wps:wsp>
                      <wps:cNvCnPr/>
                      <wps:spPr>
                        <a:xfrm>
                          <a:off x="934720" y="3113405"/>
                          <a:ext cx="575500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7pt;margin-top:1.25pt;height:0pt;width:453.15pt;z-index:251683840;mso-width-relative:page;mso-height-relative:page;" filled="f" stroked="t" coordsize="21600,21600" o:gfxdata="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Hv8WbVAAAABQEAAA8AAAAAAAAAAQAgAAAAIgAAAGRycy9kb3ducmV2LnhtbFBLAQIUABQA&#10;AAAIAIdO4kBR9R6+8wEAAL8DAAAOAAAAAAAAAAEAIAAAACQBAABkcnMvZTJvRG9jLnhtbFBLBQYA&#10;AAAABgAGAFkBAACJBQAAAAA=&#10;">
                <v:fill on="f" focussize="0,0"/>
                <v:stroke weight="1pt" color="#000000 [3213]" miterlimit="8" joinstyle="miter"/>
                <v:imagedata o:title=""/>
                <o:lock v:ext="edit" aspectratio="f"/>
              </v:line>
            </w:pict>
          </mc:Fallback>
        </mc:AlternateContent>
      </w:r>
      <w:r>
        <w:rPr>
          <w:rFonts w:hint="eastAsia"/>
          <w:b/>
          <w:color w:val="auto"/>
          <w:sz w:val="24"/>
          <w:szCs w:val="24"/>
          <w:highlight w:val="none"/>
        </w:rPr>
        <w:t>条款号： 19.1</w:t>
      </w:r>
      <w:r>
        <w:rPr>
          <w:b/>
          <w:color w:val="auto"/>
          <w:sz w:val="24"/>
          <w:szCs w:val="24"/>
          <w:highlight w:val="none"/>
        </w:rPr>
        <w:t xml:space="preserve">             </w:t>
      </w:r>
      <w:r>
        <w:rPr>
          <w:rFonts w:hint="eastAsia"/>
          <w:b/>
          <w:color w:val="auto"/>
          <w:sz w:val="24"/>
          <w:szCs w:val="24"/>
          <w:highlight w:val="none"/>
        </w:rPr>
        <w:t>修改类型：修改</w:t>
      </w:r>
    </w:p>
    <w:p w14:paraId="711D04FC">
      <w:pPr>
        <w:spacing w:line="360" w:lineRule="auto"/>
        <w:ind w:firstLine="482" w:firstLineChars="200"/>
        <w:rPr>
          <w:rFonts w:ascii="宋体"/>
          <w:bCs/>
          <w:color w:val="auto"/>
          <w:sz w:val="24"/>
          <w:szCs w:val="24"/>
          <w:highlight w:val="none"/>
        </w:rPr>
      </w:pPr>
      <w:r>
        <w:rPr>
          <w:rFonts w:hint="eastAsia"/>
          <w:b/>
          <w:color w:val="auto"/>
          <w:sz w:val="24"/>
          <w:szCs w:val="24"/>
          <w:highlight w:val="none"/>
        </w:rPr>
        <w:t>原文：</w:t>
      </w:r>
      <w:r>
        <w:rPr>
          <w:rFonts w:ascii="宋体" w:hAnsi="宋体"/>
          <w:bCs/>
          <w:color w:val="auto"/>
          <w:sz w:val="24"/>
          <w:szCs w:val="24"/>
          <w:highlight w:val="none"/>
        </w:rPr>
        <w:t>1</w:t>
      </w:r>
      <w:r>
        <w:rPr>
          <w:rFonts w:hint="eastAsia" w:ascii="宋体" w:hAnsi="宋体"/>
          <w:bCs/>
          <w:color w:val="auto"/>
          <w:sz w:val="24"/>
          <w:szCs w:val="24"/>
          <w:highlight w:val="none"/>
        </w:rPr>
        <w:t>9</w:t>
      </w:r>
      <w:r>
        <w:rPr>
          <w:rFonts w:ascii="宋体" w:hAnsi="宋体"/>
          <w:bCs/>
          <w:color w:val="auto"/>
          <w:sz w:val="24"/>
          <w:szCs w:val="24"/>
          <w:highlight w:val="none"/>
        </w:rPr>
        <w:t>.</w:t>
      </w:r>
      <w:r>
        <w:rPr>
          <w:rFonts w:hint="eastAsia" w:ascii="宋体" w:hAnsi="宋体"/>
          <w:bCs/>
          <w:color w:val="auto"/>
          <w:sz w:val="24"/>
          <w:szCs w:val="24"/>
          <w:highlight w:val="none"/>
        </w:rPr>
        <w:t>1投标人通过</w:t>
      </w:r>
      <w:r>
        <w:rPr>
          <w:color w:val="auto"/>
          <w:sz w:val="24"/>
          <w:szCs w:val="24"/>
          <w:highlight w:val="none"/>
          <w:u w:val="single"/>
        </w:rPr>
        <w:t xml:space="preserve">        </w:t>
      </w:r>
      <w:r>
        <w:rPr>
          <w:rFonts w:hint="eastAsia" w:ascii="宋体" w:hAnsi="宋体"/>
          <w:color w:val="auto"/>
          <w:sz w:val="24"/>
          <w:szCs w:val="24"/>
          <w:highlight w:val="none"/>
        </w:rPr>
        <w:t>交易平台递交电子投标文件。</w:t>
      </w:r>
    </w:p>
    <w:p w14:paraId="015521A6">
      <w:pPr>
        <w:spacing w:line="360" w:lineRule="auto"/>
        <w:ind w:firstLine="480" w:firstLineChars="200"/>
        <w:rPr>
          <w:rFonts w:hint="eastAsia" w:ascii="宋体" w:hAnsi="宋体"/>
          <w:color w:val="auto"/>
          <w:sz w:val="24"/>
          <w:szCs w:val="24"/>
          <w:highlight w:val="none"/>
        </w:rPr>
      </w:pPr>
      <w:r>
        <w:rPr>
          <w:color w:val="auto"/>
          <w:sz w:val="24"/>
          <w:highlight w:val="none"/>
        </w:rPr>
        <mc:AlternateContent>
          <mc:Choice Requires="wps">
            <w:drawing>
              <wp:anchor distT="0" distB="0" distL="114300" distR="114300" simplePos="0" relativeHeight="251684864" behindDoc="0" locked="0" layoutInCell="1" allowOverlap="1">
                <wp:simplePos x="0" y="0"/>
                <wp:positionH relativeFrom="column">
                  <wp:posOffset>20320</wp:posOffset>
                </wp:positionH>
                <wp:positionV relativeFrom="paragraph">
                  <wp:posOffset>598805</wp:posOffset>
                </wp:positionV>
                <wp:extent cx="5755005" cy="0"/>
                <wp:effectExtent l="0" t="6350" r="0" b="6350"/>
                <wp:wrapNone/>
                <wp:docPr id="33" name="直接连接符 33"/>
                <wp:cNvGraphicFramePr/>
                <a:graphic xmlns:a="http://schemas.openxmlformats.org/drawingml/2006/main">
                  <a:graphicData uri="http://schemas.microsoft.com/office/word/2010/wordprocessingShape">
                    <wps:wsp>
                      <wps:cNvCnPr/>
                      <wps:spPr>
                        <a:xfrm>
                          <a:off x="0" y="0"/>
                          <a:ext cx="575500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6pt;margin-top:47.15pt;height:0pt;width:453.15pt;z-index:251684864;mso-width-relative:page;mso-height-relative:page;" filled="f" stroked="t" coordsize="21600,21600" o:gfxdata="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hoCcNYAAAAH&#10;AQAADwAAAAAAAAABACAAAAAiAAAAZHJzL2Rvd25yZXYueG1sUEsBAhQAFAAAAAgAh07iQGhFf+Ll&#10;AQAAtAMAAA4AAAAAAAAAAQAgAAAAJQEAAGRycy9lMm9Eb2MueG1sUEsFBgAAAAAGAAYAWQEAAHwF&#10;AAAAAA==&#10;">
                <v:fill on="f" focussize="0,0"/>
                <v:stroke weight="1pt" color="#000000 [3213]" miterlimit="8" joinstyle="miter"/>
                <v:imagedata o:title=""/>
                <o:lock v:ext="edit" aspectratio="f"/>
              </v:line>
            </w:pict>
          </mc:Fallback>
        </mc:AlternateContent>
      </w:r>
      <w:r>
        <w:rPr>
          <w:rFonts w:hint="eastAsia"/>
          <w:b/>
          <w:color w:val="auto"/>
          <w:sz w:val="24"/>
          <w:szCs w:val="24"/>
          <w:highlight w:val="none"/>
        </w:rPr>
        <w:t>现文：</w:t>
      </w:r>
      <w:r>
        <w:rPr>
          <w:rFonts w:ascii="宋体" w:hAnsi="宋体"/>
          <w:bCs/>
          <w:color w:val="auto"/>
          <w:sz w:val="24"/>
          <w:szCs w:val="24"/>
          <w:highlight w:val="none"/>
        </w:rPr>
        <w:t>1</w:t>
      </w:r>
      <w:r>
        <w:rPr>
          <w:rFonts w:hint="eastAsia" w:ascii="宋体" w:hAnsi="宋体"/>
          <w:bCs/>
          <w:color w:val="auto"/>
          <w:sz w:val="24"/>
          <w:szCs w:val="24"/>
          <w:highlight w:val="none"/>
        </w:rPr>
        <w:t>9</w:t>
      </w:r>
      <w:r>
        <w:rPr>
          <w:rFonts w:ascii="宋体" w:hAnsi="宋体"/>
          <w:bCs/>
          <w:color w:val="auto"/>
          <w:sz w:val="24"/>
          <w:szCs w:val="24"/>
          <w:highlight w:val="none"/>
        </w:rPr>
        <w:t>.</w:t>
      </w:r>
      <w:r>
        <w:rPr>
          <w:rFonts w:hint="eastAsia" w:ascii="宋体" w:hAnsi="宋体"/>
          <w:bCs/>
          <w:color w:val="auto"/>
          <w:sz w:val="24"/>
          <w:szCs w:val="24"/>
          <w:highlight w:val="none"/>
        </w:rPr>
        <w:t>1投标人通过</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交易平台递交电子投标文件。</w:t>
      </w:r>
    </w:p>
    <w:p w14:paraId="39F89893">
      <w:pPr>
        <w:spacing w:line="360" w:lineRule="auto"/>
        <w:ind w:firstLine="540" w:firstLineChars="224"/>
        <w:rPr>
          <w:b/>
          <w:color w:val="auto"/>
          <w:sz w:val="24"/>
          <w:szCs w:val="24"/>
          <w:highlight w:val="none"/>
        </w:rPr>
      </w:pPr>
      <w:r>
        <w:rPr>
          <w:rFonts w:hint="eastAsia"/>
          <w:b/>
          <w:color w:val="auto"/>
          <w:sz w:val="24"/>
          <w:szCs w:val="24"/>
          <w:highlight w:val="none"/>
        </w:rPr>
        <w:t>条款号： 19.2</w:t>
      </w:r>
      <w:r>
        <w:rPr>
          <w:b/>
          <w:color w:val="auto"/>
          <w:sz w:val="24"/>
          <w:szCs w:val="24"/>
          <w:highlight w:val="none"/>
        </w:rPr>
        <w:t xml:space="preserve">             </w:t>
      </w:r>
      <w:r>
        <w:rPr>
          <w:rFonts w:hint="eastAsia"/>
          <w:b/>
          <w:color w:val="auto"/>
          <w:sz w:val="24"/>
          <w:szCs w:val="24"/>
          <w:highlight w:val="none"/>
        </w:rPr>
        <w:t>修改类型：修改</w:t>
      </w:r>
    </w:p>
    <w:p w14:paraId="11020CE2">
      <w:pPr>
        <w:spacing w:line="360" w:lineRule="auto"/>
        <w:ind w:firstLine="482" w:firstLineChars="200"/>
        <w:rPr>
          <w:b/>
          <w:color w:val="auto"/>
          <w:sz w:val="24"/>
          <w:szCs w:val="24"/>
          <w:highlight w:val="none"/>
        </w:rPr>
      </w:pPr>
      <w:r>
        <w:rPr>
          <w:rFonts w:hint="eastAsia"/>
          <w:b/>
          <w:color w:val="auto"/>
          <w:sz w:val="24"/>
          <w:szCs w:val="24"/>
          <w:highlight w:val="none"/>
        </w:rPr>
        <w:t>原文：</w:t>
      </w:r>
      <w:r>
        <w:rPr>
          <w:rFonts w:ascii="宋体" w:hAnsi="宋体"/>
          <w:bCs/>
          <w:color w:val="auto"/>
          <w:sz w:val="24"/>
          <w:szCs w:val="24"/>
          <w:highlight w:val="none"/>
        </w:rPr>
        <w:t>1</w:t>
      </w:r>
      <w:r>
        <w:rPr>
          <w:rFonts w:hint="eastAsia" w:ascii="宋体" w:hAnsi="宋体"/>
          <w:bCs/>
          <w:color w:val="auto"/>
          <w:sz w:val="24"/>
          <w:szCs w:val="24"/>
          <w:highlight w:val="none"/>
        </w:rPr>
        <w:t>9</w:t>
      </w:r>
      <w:r>
        <w:rPr>
          <w:rFonts w:ascii="宋体" w:hAnsi="宋体"/>
          <w:bCs/>
          <w:color w:val="auto"/>
          <w:sz w:val="24"/>
          <w:szCs w:val="24"/>
          <w:highlight w:val="none"/>
        </w:rPr>
        <w:t>.</w:t>
      </w:r>
      <w:r>
        <w:rPr>
          <w:rFonts w:hint="eastAsia" w:ascii="宋体" w:hAnsi="宋体"/>
          <w:bCs/>
          <w:color w:val="auto"/>
          <w:sz w:val="24"/>
          <w:szCs w:val="24"/>
          <w:highlight w:val="none"/>
        </w:rPr>
        <w:t>2投标人完成电子</w:t>
      </w:r>
      <w:r>
        <w:rPr>
          <w:rFonts w:hint="eastAsia" w:ascii="宋体" w:hAnsi="宋体"/>
          <w:color w:val="auto"/>
          <w:sz w:val="24"/>
          <w:szCs w:val="24"/>
          <w:highlight w:val="none"/>
        </w:rPr>
        <w:t>投标文件</w:t>
      </w:r>
      <w:r>
        <w:rPr>
          <w:rFonts w:hint="eastAsia" w:ascii="宋体" w:hAnsi="宋体"/>
          <w:bCs/>
          <w:color w:val="auto"/>
          <w:sz w:val="24"/>
          <w:szCs w:val="24"/>
          <w:highlight w:val="none"/>
        </w:rPr>
        <w:t>上传后，</w:t>
      </w:r>
      <w:r>
        <w:rPr>
          <w:color w:val="auto"/>
          <w:sz w:val="24"/>
          <w:szCs w:val="24"/>
          <w:highlight w:val="none"/>
          <w:u w:val="single"/>
        </w:rPr>
        <w:t xml:space="preserve">        </w:t>
      </w:r>
      <w:r>
        <w:rPr>
          <w:rFonts w:hint="eastAsia" w:ascii="宋体" w:hAnsi="宋体"/>
          <w:color w:val="auto"/>
          <w:sz w:val="24"/>
          <w:szCs w:val="24"/>
          <w:highlight w:val="none"/>
        </w:rPr>
        <w:t>交易平台即时向投标人发出递交回执通知。递交时间以递交回执通知载明的传输完成时间为准。</w:t>
      </w:r>
    </w:p>
    <w:p w14:paraId="16B4F200">
      <w:pPr>
        <w:spacing w:line="360" w:lineRule="auto"/>
        <w:ind w:firstLine="482" w:firstLineChars="200"/>
        <w:rPr>
          <w:rFonts w:ascii="宋体"/>
          <w:bCs/>
          <w:color w:val="auto"/>
          <w:sz w:val="24"/>
          <w:szCs w:val="24"/>
          <w:highlight w:val="none"/>
        </w:rPr>
      </w:pPr>
      <w:r>
        <w:rPr>
          <w:rFonts w:hint="eastAsia"/>
          <w:b/>
          <w:color w:val="auto"/>
          <w:sz w:val="24"/>
          <w:szCs w:val="24"/>
          <w:highlight w:val="none"/>
        </w:rPr>
        <w:t>现文：</w:t>
      </w:r>
      <w:r>
        <w:rPr>
          <w:rFonts w:ascii="宋体" w:hAnsi="宋体"/>
          <w:bCs/>
          <w:color w:val="auto"/>
          <w:sz w:val="24"/>
          <w:szCs w:val="24"/>
          <w:highlight w:val="none"/>
        </w:rPr>
        <w:t>1</w:t>
      </w:r>
      <w:r>
        <w:rPr>
          <w:rFonts w:hint="eastAsia" w:ascii="宋体" w:hAnsi="宋体"/>
          <w:bCs/>
          <w:color w:val="auto"/>
          <w:sz w:val="24"/>
          <w:szCs w:val="24"/>
          <w:highlight w:val="none"/>
        </w:rPr>
        <w:t>9</w:t>
      </w:r>
      <w:r>
        <w:rPr>
          <w:rFonts w:ascii="宋体" w:hAnsi="宋体"/>
          <w:bCs/>
          <w:color w:val="auto"/>
          <w:sz w:val="24"/>
          <w:szCs w:val="24"/>
          <w:highlight w:val="none"/>
        </w:rPr>
        <w:t>.</w:t>
      </w:r>
      <w:r>
        <w:rPr>
          <w:rFonts w:hint="eastAsia" w:ascii="宋体" w:hAnsi="宋体"/>
          <w:bCs/>
          <w:color w:val="auto"/>
          <w:sz w:val="24"/>
          <w:szCs w:val="24"/>
          <w:highlight w:val="none"/>
        </w:rPr>
        <w:t>2投标人完成电子</w:t>
      </w:r>
      <w:r>
        <w:rPr>
          <w:rFonts w:hint="eastAsia" w:ascii="宋体" w:hAnsi="宋体"/>
          <w:color w:val="auto"/>
          <w:sz w:val="24"/>
          <w:szCs w:val="24"/>
          <w:highlight w:val="none"/>
        </w:rPr>
        <w:t>投标文件</w:t>
      </w:r>
      <w:r>
        <w:rPr>
          <w:rFonts w:hint="eastAsia" w:ascii="宋体" w:hAnsi="宋体"/>
          <w:bCs/>
          <w:color w:val="auto"/>
          <w:sz w:val="24"/>
          <w:szCs w:val="24"/>
          <w:highlight w:val="none"/>
        </w:rPr>
        <w:t>上传后，</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交易平台即时向投标人发出递交回执通知。递交时间以递交回执通知载明的传输完成时间为准。</w:t>
      </w:r>
    </w:p>
    <w:p w14:paraId="36B4B0CF">
      <w:pPr>
        <w:spacing w:line="360" w:lineRule="auto"/>
        <w:ind w:firstLine="480" w:firstLineChars="200"/>
        <w:rPr>
          <w:b/>
          <w:color w:val="auto"/>
          <w:sz w:val="24"/>
          <w:szCs w:val="24"/>
          <w:highlight w:val="none"/>
        </w:rPr>
      </w:pPr>
      <w:r>
        <w:rPr>
          <w:color w:val="auto"/>
          <w:sz w:val="24"/>
          <w:highlight w:val="none"/>
        </w:rPr>
        <mc:AlternateContent>
          <mc:Choice Requires="wps">
            <w:drawing>
              <wp:anchor distT="0" distB="0" distL="114300" distR="114300" simplePos="0" relativeHeight="251685888" behindDoc="0" locked="0" layoutInCell="1" allowOverlap="1">
                <wp:simplePos x="0" y="0"/>
                <wp:positionH relativeFrom="column">
                  <wp:posOffset>27940</wp:posOffset>
                </wp:positionH>
                <wp:positionV relativeFrom="paragraph">
                  <wp:posOffset>38100</wp:posOffset>
                </wp:positionV>
                <wp:extent cx="5755005" cy="0"/>
                <wp:effectExtent l="0" t="6350" r="0" b="6350"/>
                <wp:wrapNone/>
                <wp:docPr id="34" name="直接连接符 34"/>
                <wp:cNvGraphicFramePr/>
                <a:graphic xmlns:a="http://schemas.openxmlformats.org/drawingml/2006/main">
                  <a:graphicData uri="http://schemas.microsoft.com/office/word/2010/wordprocessingShape">
                    <wps:wsp>
                      <wps:cNvCnPr/>
                      <wps:spPr>
                        <a:xfrm>
                          <a:off x="0" y="0"/>
                          <a:ext cx="575500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2pt;margin-top:3pt;height:0pt;width:453.15pt;z-index:251685888;mso-width-relative:page;mso-height-relative:page;" filled="f" stroked="t" coordsize="21600,21600" o:gfxdata="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V4XUDUAAAABQEA&#10;AA8AAAAAAAAAAQAgAAAAIgAAAGRycy9kb3ducmV2LnhtbFBLAQIUABQAAAAIAIdO4kBRbxnr5QEA&#10;ALQDAAAOAAAAAAAAAAEAIAAAACMBAABkcnMvZTJvRG9jLnhtbFBLBQYAAAAABgAGAFkBAAB6BQAA&#10;AAA=&#10;">
                <v:fill on="f" focussize="0,0"/>
                <v:stroke weight="1pt" color="#000000 [3213]" miterlimit="8" joinstyle="miter"/>
                <v:imagedata o:title=""/>
                <o:lock v:ext="edit" aspectratio="f"/>
              </v:line>
            </w:pict>
          </mc:Fallback>
        </mc:AlternateContent>
      </w:r>
      <w:r>
        <w:rPr>
          <w:rFonts w:hint="eastAsia"/>
          <w:b/>
          <w:color w:val="auto"/>
          <w:sz w:val="24"/>
          <w:szCs w:val="24"/>
          <w:highlight w:val="none"/>
        </w:rPr>
        <w:t>条款号： 19.3</w:t>
      </w:r>
      <w:r>
        <w:rPr>
          <w:b/>
          <w:color w:val="auto"/>
          <w:sz w:val="24"/>
          <w:szCs w:val="24"/>
          <w:highlight w:val="none"/>
        </w:rPr>
        <w:t xml:space="preserve">             </w:t>
      </w:r>
      <w:r>
        <w:rPr>
          <w:rFonts w:hint="eastAsia"/>
          <w:b/>
          <w:color w:val="auto"/>
          <w:sz w:val="24"/>
          <w:szCs w:val="24"/>
          <w:highlight w:val="none"/>
        </w:rPr>
        <w:t>修改类型：修改</w:t>
      </w:r>
    </w:p>
    <w:p w14:paraId="4CEFC1A0">
      <w:pPr>
        <w:spacing w:line="360" w:lineRule="auto"/>
        <w:ind w:firstLine="482" w:firstLineChars="200"/>
        <w:rPr>
          <w:rFonts w:hint="eastAsia" w:ascii="宋体" w:hAnsi="宋体"/>
          <w:color w:val="auto"/>
          <w:sz w:val="24"/>
          <w:szCs w:val="24"/>
          <w:highlight w:val="none"/>
        </w:rPr>
      </w:pPr>
      <w:r>
        <w:rPr>
          <w:rFonts w:hint="eastAsia"/>
          <w:b/>
          <w:color w:val="auto"/>
          <w:sz w:val="24"/>
          <w:szCs w:val="24"/>
          <w:highlight w:val="none"/>
        </w:rPr>
        <w:t>原文：</w:t>
      </w:r>
      <w:r>
        <w:rPr>
          <w:rFonts w:ascii="宋体" w:hAnsi="宋体"/>
          <w:bCs/>
          <w:color w:val="auto"/>
          <w:sz w:val="24"/>
          <w:szCs w:val="24"/>
          <w:highlight w:val="none"/>
        </w:rPr>
        <w:t>1</w:t>
      </w:r>
      <w:r>
        <w:rPr>
          <w:rFonts w:hint="eastAsia" w:ascii="宋体" w:hAnsi="宋体"/>
          <w:bCs/>
          <w:color w:val="auto"/>
          <w:sz w:val="24"/>
          <w:szCs w:val="24"/>
          <w:highlight w:val="none"/>
        </w:rPr>
        <w:t>9</w:t>
      </w:r>
      <w:r>
        <w:rPr>
          <w:rFonts w:ascii="宋体" w:hAnsi="宋体"/>
          <w:bCs/>
          <w:color w:val="auto"/>
          <w:sz w:val="24"/>
          <w:szCs w:val="24"/>
          <w:highlight w:val="none"/>
        </w:rPr>
        <w:t>.</w:t>
      </w:r>
      <w:r>
        <w:rPr>
          <w:rFonts w:hint="eastAsia" w:ascii="宋体" w:hAnsi="宋体"/>
          <w:bCs/>
          <w:color w:val="auto"/>
          <w:sz w:val="24"/>
          <w:szCs w:val="24"/>
          <w:highlight w:val="none"/>
        </w:rPr>
        <w:t>3</w:t>
      </w:r>
      <w:r>
        <w:rPr>
          <w:rFonts w:hint="eastAsia"/>
          <w:bCs/>
          <w:color w:val="auto"/>
          <w:sz w:val="24"/>
          <w:szCs w:val="24"/>
          <w:highlight w:val="none"/>
        </w:rPr>
        <w:t>逾期送达的</w:t>
      </w:r>
      <w:r>
        <w:rPr>
          <w:rFonts w:hint="eastAsia" w:ascii="宋体" w:hAnsi="宋体"/>
          <w:bCs/>
          <w:color w:val="auto"/>
          <w:sz w:val="24"/>
          <w:szCs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交易平台将予以拒收。</w:t>
      </w:r>
    </w:p>
    <w:p w14:paraId="24E3FB75">
      <w:pPr>
        <w:spacing w:line="360" w:lineRule="auto"/>
        <w:ind w:firstLine="482" w:firstLineChars="200"/>
        <w:rPr>
          <w:rFonts w:hint="eastAsia" w:ascii="宋体" w:hAnsi="宋体"/>
          <w:color w:val="auto"/>
          <w:sz w:val="24"/>
          <w:szCs w:val="24"/>
          <w:highlight w:val="none"/>
        </w:rPr>
      </w:pPr>
      <w:r>
        <w:rPr>
          <w:rFonts w:hint="eastAsia"/>
          <w:b/>
          <w:color w:val="auto"/>
          <w:sz w:val="24"/>
          <w:szCs w:val="24"/>
          <w:highlight w:val="none"/>
        </w:rPr>
        <w:t>现文：</w:t>
      </w:r>
      <w:r>
        <w:rPr>
          <w:rFonts w:ascii="宋体" w:hAnsi="宋体"/>
          <w:bCs/>
          <w:color w:val="auto"/>
          <w:sz w:val="24"/>
          <w:szCs w:val="24"/>
          <w:highlight w:val="none"/>
        </w:rPr>
        <w:t>1</w:t>
      </w:r>
      <w:r>
        <w:rPr>
          <w:rFonts w:hint="eastAsia" w:ascii="宋体" w:hAnsi="宋体"/>
          <w:bCs/>
          <w:color w:val="auto"/>
          <w:sz w:val="24"/>
          <w:szCs w:val="24"/>
          <w:highlight w:val="none"/>
        </w:rPr>
        <w:t>9</w:t>
      </w:r>
      <w:r>
        <w:rPr>
          <w:rFonts w:ascii="宋体" w:hAnsi="宋体"/>
          <w:bCs/>
          <w:color w:val="auto"/>
          <w:sz w:val="24"/>
          <w:szCs w:val="24"/>
          <w:highlight w:val="none"/>
        </w:rPr>
        <w:t>.</w:t>
      </w:r>
      <w:r>
        <w:rPr>
          <w:rFonts w:hint="eastAsia" w:ascii="宋体" w:hAnsi="宋体"/>
          <w:bCs/>
          <w:color w:val="auto"/>
          <w:sz w:val="24"/>
          <w:szCs w:val="24"/>
          <w:highlight w:val="none"/>
        </w:rPr>
        <w:t>3</w:t>
      </w:r>
      <w:r>
        <w:rPr>
          <w:rFonts w:hint="eastAsia"/>
          <w:bCs/>
          <w:color w:val="auto"/>
          <w:sz w:val="24"/>
          <w:szCs w:val="24"/>
          <w:highlight w:val="none"/>
        </w:rPr>
        <w:t>逾期送达的</w:t>
      </w:r>
      <w:r>
        <w:rPr>
          <w:rFonts w:hint="eastAsia" w:ascii="宋体" w:hAnsi="宋体"/>
          <w:bCs/>
          <w:color w:val="auto"/>
          <w:sz w:val="24"/>
          <w:szCs w:val="24"/>
          <w:highlight w:val="none"/>
        </w:rPr>
        <w:t>电子投标文件</w:t>
      </w:r>
      <w:r>
        <w:rPr>
          <w:rFonts w:hint="eastAsia" w:ascii="宋体" w:hAnsi="宋体"/>
          <w:bCs/>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交易平台将予以拒收。</w:t>
      </w:r>
    </w:p>
    <w:p w14:paraId="5932734C">
      <w:pPr>
        <w:spacing w:line="360" w:lineRule="auto"/>
        <w:ind w:firstLine="480" w:firstLineChars="200"/>
        <w:rPr>
          <w:b/>
          <w:color w:val="auto"/>
          <w:sz w:val="24"/>
          <w:szCs w:val="24"/>
          <w:highlight w:val="none"/>
        </w:rPr>
      </w:pPr>
      <w:r>
        <w:rPr>
          <w:color w:val="auto"/>
          <w:sz w:val="24"/>
          <w:highlight w:val="none"/>
        </w:rPr>
        <mc:AlternateContent>
          <mc:Choice Requires="wps">
            <w:drawing>
              <wp:anchor distT="0" distB="0" distL="114300" distR="114300" simplePos="0" relativeHeight="251686912" behindDoc="0" locked="0" layoutInCell="1" allowOverlap="1">
                <wp:simplePos x="0" y="0"/>
                <wp:positionH relativeFrom="column">
                  <wp:posOffset>10795</wp:posOffset>
                </wp:positionH>
                <wp:positionV relativeFrom="paragraph">
                  <wp:posOffset>38735</wp:posOffset>
                </wp:positionV>
                <wp:extent cx="5746750" cy="0"/>
                <wp:effectExtent l="0" t="6350" r="0" b="6350"/>
                <wp:wrapNone/>
                <wp:docPr id="35" name="直接连接符 35"/>
                <wp:cNvGraphicFramePr/>
                <a:graphic xmlns:a="http://schemas.openxmlformats.org/drawingml/2006/main">
                  <a:graphicData uri="http://schemas.microsoft.com/office/word/2010/wordprocessingShape">
                    <wps:wsp>
                      <wps:cNvCnPr/>
                      <wps:spPr>
                        <a:xfrm>
                          <a:off x="911225" y="7296785"/>
                          <a:ext cx="574675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85pt;margin-top:3.05pt;height:0pt;width:452.5pt;z-index:251686912;mso-width-relative:page;mso-height-relative:page;" filled="f" stroked="t" coordsize="21600,21600" o:gfxdata="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rv213SAAAABQEAAA8AAAAAAAAAAQAgAAAAIgAAAGRycy9kb3ducmV2LnhtbFBLAQIUABQAAAAI&#10;AIdO4kBrUA1A8wEAAL8DAAAOAAAAAAAAAAEAIAAAACEBAABkcnMvZTJvRG9jLnhtbFBLBQYAAAAA&#10;BgAGAFkBAACGBQAAAAA=&#10;">
                <v:fill on="f" focussize="0,0"/>
                <v:stroke weight="1pt" color="#000000 [3213]" miterlimit="8" joinstyle="miter"/>
                <v:imagedata o:title=""/>
                <o:lock v:ext="edit" aspectratio="f"/>
              </v:line>
            </w:pict>
          </mc:Fallback>
        </mc:AlternateContent>
      </w:r>
      <w:r>
        <w:rPr>
          <w:rFonts w:hint="eastAsia"/>
          <w:b/>
          <w:color w:val="auto"/>
          <w:sz w:val="24"/>
          <w:szCs w:val="24"/>
          <w:highlight w:val="none"/>
        </w:rPr>
        <w:t>条款号： 19.5</w:t>
      </w:r>
      <w:r>
        <w:rPr>
          <w:b/>
          <w:color w:val="auto"/>
          <w:sz w:val="24"/>
          <w:szCs w:val="24"/>
          <w:highlight w:val="none"/>
        </w:rPr>
        <w:t xml:space="preserve">             </w:t>
      </w:r>
      <w:r>
        <w:rPr>
          <w:rFonts w:hint="eastAsia"/>
          <w:b/>
          <w:color w:val="auto"/>
          <w:sz w:val="24"/>
          <w:szCs w:val="24"/>
          <w:highlight w:val="none"/>
        </w:rPr>
        <w:t>修改类型：修改</w:t>
      </w:r>
    </w:p>
    <w:p w14:paraId="7F7E027F">
      <w:pPr>
        <w:spacing w:line="360" w:lineRule="auto"/>
        <w:ind w:firstLine="482" w:firstLineChars="200"/>
        <w:rPr>
          <w:rFonts w:hint="eastAsia" w:ascii="宋体" w:hAnsi="宋体"/>
          <w:color w:val="auto"/>
          <w:sz w:val="24"/>
          <w:szCs w:val="24"/>
          <w:highlight w:val="none"/>
        </w:rPr>
      </w:pPr>
      <w:r>
        <w:rPr>
          <w:rFonts w:hint="eastAsia"/>
          <w:b/>
          <w:color w:val="auto"/>
          <w:sz w:val="24"/>
          <w:szCs w:val="24"/>
          <w:highlight w:val="none"/>
        </w:rPr>
        <w:t>原文：</w:t>
      </w:r>
      <w:r>
        <w:rPr>
          <w:rFonts w:ascii="宋体" w:hAnsi="宋体"/>
          <w:color w:val="auto"/>
          <w:sz w:val="24"/>
          <w:szCs w:val="24"/>
          <w:highlight w:val="none"/>
        </w:rPr>
        <w:t>19.</w:t>
      </w:r>
      <w:r>
        <w:rPr>
          <w:rFonts w:hint="eastAsia" w:ascii="宋体" w:hAnsi="宋体"/>
          <w:color w:val="auto"/>
          <w:sz w:val="24"/>
          <w:szCs w:val="24"/>
          <w:highlight w:val="none"/>
        </w:rPr>
        <w:t>5如技术标和经济标先后分别开启，</w:t>
      </w:r>
      <w:r>
        <w:rPr>
          <w:color w:val="auto"/>
          <w:sz w:val="24"/>
          <w:szCs w:val="24"/>
          <w:highlight w:val="none"/>
          <w:u w:val="single"/>
        </w:rPr>
        <w:t xml:space="preserve">        </w:t>
      </w:r>
      <w:r>
        <w:rPr>
          <w:rFonts w:hint="eastAsia" w:ascii="宋体" w:hAnsi="宋体"/>
          <w:color w:val="auto"/>
          <w:sz w:val="24"/>
          <w:szCs w:val="24"/>
          <w:highlight w:val="none"/>
        </w:rPr>
        <w:t>交易平台将按招标文件规定的时间分别开启技术标和经济标。</w:t>
      </w:r>
    </w:p>
    <w:p w14:paraId="2032C4D0">
      <w:pPr>
        <w:spacing w:line="360" w:lineRule="auto"/>
        <w:ind w:firstLine="482" w:firstLineChars="200"/>
        <w:rPr>
          <w:b/>
          <w:color w:val="auto"/>
          <w:sz w:val="24"/>
          <w:szCs w:val="24"/>
          <w:highlight w:val="none"/>
        </w:rPr>
      </w:pPr>
      <w:r>
        <w:rPr>
          <w:rFonts w:hint="eastAsia"/>
          <w:b/>
          <w:color w:val="auto"/>
          <w:sz w:val="24"/>
          <w:szCs w:val="24"/>
          <w:highlight w:val="none"/>
        </w:rPr>
        <w:t>现文：</w:t>
      </w:r>
      <w:r>
        <w:rPr>
          <w:rFonts w:ascii="宋体" w:hAnsi="宋体"/>
          <w:color w:val="auto"/>
          <w:sz w:val="24"/>
          <w:szCs w:val="24"/>
          <w:highlight w:val="none"/>
        </w:rPr>
        <w:t>19.</w:t>
      </w:r>
      <w:r>
        <w:rPr>
          <w:rFonts w:hint="eastAsia" w:ascii="宋体" w:hAnsi="宋体"/>
          <w:color w:val="auto"/>
          <w:sz w:val="24"/>
          <w:szCs w:val="24"/>
          <w:highlight w:val="none"/>
        </w:rPr>
        <w:t>5如技术标和经济标先后分别开启，</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交易平台将按招标文件规定的时间分别开启技术标和经济标。</w:t>
      </w:r>
    </w:p>
    <w:p w14:paraId="56B53102">
      <w:pPr>
        <w:spacing w:line="360" w:lineRule="auto"/>
        <w:ind w:firstLine="480" w:firstLineChars="200"/>
        <w:rPr>
          <w:b/>
          <w:color w:val="auto"/>
          <w:sz w:val="24"/>
          <w:szCs w:val="24"/>
          <w:highlight w:val="none"/>
        </w:rPr>
      </w:pPr>
      <w:r>
        <w:rPr>
          <w:color w:val="auto"/>
          <w:sz w:val="24"/>
          <w:highlight w:val="none"/>
        </w:rPr>
        <mc:AlternateContent>
          <mc:Choice Requires="wps">
            <w:drawing>
              <wp:anchor distT="0" distB="0" distL="114300" distR="114300" simplePos="0" relativeHeight="251687936" behindDoc="0" locked="0" layoutInCell="1" allowOverlap="1">
                <wp:simplePos x="0" y="0"/>
                <wp:positionH relativeFrom="column">
                  <wp:posOffset>6350</wp:posOffset>
                </wp:positionH>
                <wp:positionV relativeFrom="paragraph">
                  <wp:posOffset>13335</wp:posOffset>
                </wp:positionV>
                <wp:extent cx="5762625" cy="8255"/>
                <wp:effectExtent l="0" t="0" r="0" b="0"/>
                <wp:wrapNone/>
                <wp:docPr id="36" name="直接连接符 36"/>
                <wp:cNvGraphicFramePr/>
                <a:graphic xmlns:a="http://schemas.openxmlformats.org/drawingml/2006/main">
                  <a:graphicData uri="http://schemas.microsoft.com/office/word/2010/wordprocessingShape">
                    <wps:wsp>
                      <wps:cNvCnPr/>
                      <wps:spPr>
                        <a:xfrm>
                          <a:off x="895350" y="8796655"/>
                          <a:ext cx="5762625" cy="825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5pt;margin-top:1.05pt;height:0.65pt;width:453.75pt;z-index:251687936;mso-width-relative:page;mso-height-relative:page;" filled="f" stroked="t" coordsize="21600,21600" o:gfxdata="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4rhUytUAAAAFAQAADwAAAAAAAAABACAAAAAiAAAAZHJzL2Rvd25yZXYueG1sUEsBAhQAFAAA&#10;AAgAh07iQGKRNkvyAQAAwgMAAA4AAAAAAAAAAQAgAAAAJAEAAGRycy9lMm9Eb2MueG1sUEsFBgAA&#10;AAAGAAYAWQEAAIgFAAAAAA==&#10;">
                <v:fill on="f" focussize="0,0"/>
                <v:stroke weight="1pt" color="#000000 [3213]" miterlimit="8" joinstyle="miter"/>
                <v:imagedata o:title=""/>
                <o:lock v:ext="edit" aspectratio="f"/>
              </v:line>
            </w:pict>
          </mc:Fallback>
        </mc:AlternateContent>
      </w:r>
      <w:r>
        <w:rPr>
          <w:rFonts w:hint="eastAsia"/>
          <w:b/>
          <w:color w:val="auto"/>
          <w:sz w:val="24"/>
          <w:szCs w:val="24"/>
          <w:highlight w:val="none"/>
        </w:rPr>
        <w:t>条款号： 21.1</w:t>
      </w:r>
      <w:r>
        <w:rPr>
          <w:b/>
          <w:color w:val="auto"/>
          <w:sz w:val="24"/>
          <w:szCs w:val="24"/>
          <w:highlight w:val="none"/>
        </w:rPr>
        <w:t xml:space="preserve">             </w:t>
      </w:r>
      <w:r>
        <w:rPr>
          <w:rFonts w:hint="eastAsia"/>
          <w:b/>
          <w:color w:val="auto"/>
          <w:sz w:val="24"/>
          <w:szCs w:val="24"/>
          <w:highlight w:val="none"/>
        </w:rPr>
        <w:t>修改类型：修改</w:t>
      </w:r>
    </w:p>
    <w:p w14:paraId="00260494">
      <w:pPr>
        <w:spacing w:line="360" w:lineRule="auto"/>
        <w:ind w:firstLine="482" w:firstLineChars="200"/>
        <w:rPr>
          <w:rFonts w:ascii="宋体"/>
          <w:color w:val="auto"/>
          <w:sz w:val="24"/>
          <w:szCs w:val="24"/>
          <w:highlight w:val="none"/>
        </w:rPr>
      </w:pPr>
      <w:r>
        <w:rPr>
          <w:rFonts w:hint="eastAsia"/>
          <w:b/>
          <w:color w:val="auto"/>
          <w:sz w:val="24"/>
          <w:szCs w:val="24"/>
          <w:highlight w:val="none"/>
        </w:rPr>
        <w:t>原文：</w:t>
      </w:r>
      <w:r>
        <w:rPr>
          <w:rFonts w:ascii="宋体" w:hAnsi="宋体"/>
          <w:color w:val="auto"/>
          <w:sz w:val="24"/>
          <w:szCs w:val="24"/>
          <w:highlight w:val="none"/>
        </w:rPr>
        <w:t xml:space="preserve">21.1 </w:t>
      </w:r>
      <w:r>
        <w:rPr>
          <w:rFonts w:hint="eastAsia" w:ascii="宋体" w:hAnsi="宋体"/>
          <w:color w:val="auto"/>
          <w:sz w:val="24"/>
          <w:szCs w:val="24"/>
          <w:highlight w:val="none"/>
        </w:rPr>
        <w:t>本须知前附表第17项规定的投标截止时间</w:t>
      </w:r>
      <w:r>
        <w:rPr>
          <w:rFonts w:hint="eastAsia"/>
          <w:bCs/>
          <w:color w:val="auto"/>
          <w:sz w:val="24"/>
          <w:szCs w:val="24"/>
          <w:highlight w:val="none"/>
        </w:rPr>
        <w:t>后送达的</w:t>
      </w:r>
      <w:r>
        <w:rPr>
          <w:rFonts w:hint="eastAsia" w:ascii="宋体" w:hAnsi="宋体"/>
          <w:bCs/>
          <w:color w:val="auto"/>
          <w:sz w:val="24"/>
          <w:szCs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交易平台将予以拒收。</w:t>
      </w:r>
    </w:p>
    <w:p w14:paraId="4D8A55FD">
      <w:pPr>
        <w:spacing w:line="360" w:lineRule="auto"/>
        <w:ind w:firstLine="482" w:firstLineChars="200"/>
        <w:rPr>
          <w:rFonts w:ascii="宋体"/>
          <w:color w:val="auto"/>
          <w:sz w:val="24"/>
          <w:szCs w:val="24"/>
          <w:highlight w:val="none"/>
        </w:rPr>
      </w:pPr>
      <w:r>
        <w:rPr>
          <w:rFonts w:hint="eastAsia"/>
          <w:b/>
          <w:color w:val="auto"/>
          <w:sz w:val="24"/>
          <w:szCs w:val="24"/>
          <w:highlight w:val="none"/>
        </w:rPr>
        <w:t>现文：</w:t>
      </w:r>
      <w:r>
        <w:rPr>
          <w:rFonts w:ascii="宋体" w:hAnsi="宋体"/>
          <w:color w:val="auto"/>
          <w:sz w:val="24"/>
          <w:szCs w:val="24"/>
          <w:highlight w:val="none"/>
        </w:rPr>
        <w:t xml:space="preserve">21.1 </w:t>
      </w:r>
      <w:r>
        <w:rPr>
          <w:rFonts w:hint="eastAsia" w:ascii="宋体" w:hAnsi="宋体"/>
          <w:color w:val="auto"/>
          <w:sz w:val="24"/>
          <w:szCs w:val="24"/>
          <w:highlight w:val="none"/>
        </w:rPr>
        <w:t>本须知前附表第17项规定的投标截止时间</w:t>
      </w:r>
      <w:r>
        <w:rPr>
          <w:rFonts w:hint="eastAsia"/>
          <w:bCs/>
          <w:color w:val="auto"/>
          <w:sz w:val="24"/>
          <w:szCs w:val="24"/>
          <w:highlight w:val="none"/>
        </w:rPr>
        <w:t>后送达的</w:t>
      </w:r>
      <w:r>
        <w:rPr>
          <w:rFonts w:hint="eastAsia" w:ascii="宋体" w:hAnsi="宋体"/>
          <w:bCs/>
          <w:color w:val="auto"/>
          <w:sz w:val="24"/>
          <w:szCs w:val="24"/>
          <w:highlight w:val="none"/>
        </w:rPr>
        <w:t>电子投标文件，广</w:t>
      </w:r>
      <w:r>
        <w:rPr>
          <w:rFonts w:hint="eastAsia" w:ascii="宋体" w:hAnsi="宋体"/>
          <w:bCs/>
          <w:color w:val="auto"/>
          <w:sz w:val="24"/>
          <w:szCs w:val="24"/>
          <w:highlight w:val="none"/>
          <w:u w:val="single"/>
        </w:rPr>
        <w:t>州交易集团有限公司（广州公共资源交易中心）</w:t>
      </w:r>
      <w:r>
        <w:rPr>
          <w:rFonts w:hint="eastAsia" w:ascii="宋体" w:hAnsi="宋体"/>
          <w:color w:val="auto"/>
          <w:sz w:val="24"/>
          <w:szCs w:val="24"/>
          <w:highlight w:val="none"/>
        </w:rPr>
        <w:t>交易平台将予以拒收。</w:t>
      </w:r>
    </w:p>
    <w:p w14:paraId="4F11BBE7">
      <w:pPr>
        <w:spacing w:line="360" w:lineRule="auto"/>
        <w:ind w:firstLine="480" w:firstLineChars="200"/>
        <w:rPr>
          <w:b/>
          <w:color w:val="auto"/>
          <w:sz w:val="24"/>
          <w:szCs w:val="24"/>
          <w:highlight w:val="none"/>
        </w:rPr>
      </w:pPr>
      <w:r>
        <w:rPr>
          <w:color w:val="auto"/>
          <w:sz w:val="24"/>
          <w:highlight w:val="none"/>
        </w:rPr>
        <mc:AlternateContent>
          <mc:Choice Requires="wps">
            <w:drawing>
              <wp:anchor distT="0" distB="0" distL="114300" distR="114300" simplePos="0" relativeHeight="251688960" behindDoc="0" locked="0" layoutInCell="1" allowOverlap="1">
                <wp:simplePos x="0" y="0"/>
                <wp:positionH relativeFrom="column">
                  <wp:posOffset>-635</wp:posOffset>
                </wp:positionH>
                <wp:positionV relativeFrom="paragraph">
                  <wp:posOffset>24765</wp:posOffset>
                </wp:positionV>
                <wp:extent cx="5749290" cy="0"/>
                <wp:effectExtent l="0" t="6350" r="0" b="6350"/>
                <wp:wrapNone/>
                <wp:docPr id="37" name="直接连接符 37"/>
                <wp:cNvGraphicFramePr/>
                <a:graphic xmlns:a="http://schemas.openxmlformats.org/drawingml/2006/main">
                  <a:graphicData uri="http://schemas.microsoft.com/office/word/2010/wordprocessingShape">
                    <wps:wsp>
                      <wps:cNvCnPr/>
                      <wps:spPr>
                        <a:xfrm>
                          <a:off x="899795" y="1339215"/>
                          <a:ext cx="574929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05pt;margin-top:1.95pt;height:0pt;width:452.7pt;z-index:251688960;mso-width-relative:page;mso-height-relative:page;" filled="f" stroked="t" coordsize="21600,21600" o:gfxdata="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LjJydQAAAAFAQAADwAAAAAAAAABACAAAAAiAAAAZHJzL2Rvd25yZXYueG1sUEsBAhQAFAAA&#10;AAgAh07iQDXdLULzAQAAvwMAAA4AAAAAAAAAAQAgAAAAIwEAAGRycy9lMm9Eb2MueG1sUEsFBgAA&#10;AAAGAAYAWQEAAIgFAAAAAA==&#10;">
                <v:fill on="f" focussize="0,0"/>
                <v:stroke weight="1pt" color="#000000 [3213]" miterlimit="8" joinstyle="miter"/>
                <v:imagedata o:title=""/>
                <o:lock v:ext="edit" aspectratio="f"/>
              </v:line>
            </w:pict>
          </mc:Fallback>
        </mc:AlternateContent>
      </w:r>
      <w:r>
        <w:rPr>
          <w:rFonts w:hint="eastAsia"/>
          <w:b/>
          <w:color w:val="auto"/>
          <w:sz w:val="24"/>
          <w:szCs w:val="24"/>
          <w:highlight w:val="none"/>
        </w:rPr>
        <w:t>条款号： 27.1、27.2</w:t>
      </w:r>
      <w:r>
        <w:rPr>
          <w:b/>
          <w:color w:val="auto"/>
          <w:sz w:val="24"/>
          <w:szCs w:val="24"/>
          <w:highlight w:val="none"/>
        </w:rPr>
        <w:t xml:space="preserve">             </w:t>
      </w:r>
      <w:r>
        <w:rPr>
          <w:rFonts w:hint="eastAsia"/>
          <w:b/>
          <w:color w:val="auto"/>
          <w:sz w:val="24"/>
          <w:szCs w:val="24"/>
          <w:highlight w:val="none"/>
        </w:rPr>
        <w:t>修改类型：修改</w:t>
      </w:r>
    </w:p>
    <w:p w14:paraId="766271D8">
      <w:pPr>
        <w:pStyle w:val="20"/>
        <w:spacing w:line="360" w:lineRule="auto"/>
        <w:ind w:firstLine="482" w:firstLineChars="200"/>
        <w:rPr>
          <w:rFonts w:hint="eastAsia" w:hAnsi="宋体"/>
          <w:color w:val="auto"/>
          <w:sz w:val="24"/>
          <w:szCs w:val="24"/>
          <w:highlight w:val="none"/>
        </w:rPr>
      </w:pPr>
      <w:r>
        <w:rPr>
          <w:rFonts w:hint="eastAsia"/>
          <w:b/>
          <w:color w:val="auto"/>
          <w:sz w:val="24"/>
          <w:szCs w:val="24"/>
          <w:highlight w:val="none"/>
        </w:rPr>
        <w:t>原文：</w:t>
      </w:r>
      <w:r>
        <w:rPr>
          <w:rFonts w:hint="eastAsia" w:hAnsi="宋体"/>
          <w:color w:val="auto"/>
          <w:sz w:val="24"/>
          <w:szCs w:val="24"/>
          <w:highlight w:val="none"/>
        </w:rPr>
        <w:t>27.1按照投标人须知前附表的规定，由招标人或招标人授权的评标委员会依法确定中标人。</w:t>
      </w:r>
    </w:p>
    <w:p w14:paraId="39B65F02">
      <w:pPr>
        <w:pStyle w:val="20"/>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27.2采用评定分离方式确定中标人的，从其规定。</w:t>
      </w:r>
    </w:p>
    <w:p w14:paraId="2467AD2A">
      <w:pPr>
        <w:pStyle w:val="20"/>
        <w:spacing w:line="360" w:lineRule="auto"/>
        <w:ind w:firstLine="482" w:firstLineChars="200"/>
        <w:rPr>
          <w:rFonts w:hint="eastAsia" w:hAnsi="宋体"/>
          <w:color w:val="auto"/>
          <w:sz w:val="24"/>
          <w:szCs w:val="24"/>
          <w:highlight w:val="none"/>
        </w:rPr>
      </w:pPr>
      <w:r>
        <w:rPr>
          <w:rFonts w:hint="eastAsia"/>
          <w:b/>
          <w:color w:val="auto"/>
          <w:sz w:val="24"/>
          <w:szCs w:val="24"/>
          <w:highlight w:val="none"/>
        </w:rPr>
        <w:t>现文：</w:t>
      </w:r>
      <w:r>
        <w:rPr>
          <w:rFonts w:hint="eastAsia" w:hAnsi="宋体"/>
          <w:color w:val="auto"/>
          <w:sz w:val="24"/>
          <w:szCs w:val="24"/>
          <w:highlight w:val="none"/>
        </w:rPr>
        <w:t>27.1按照投标人须知前附表第20项的规定，由招标人</w:t>
      </w:r>
      <w:r>
        <w:rPr>
          <w:rFonts w:hint="eastAsia" w:hAnsi="宋体"/>
          <w:strike/>
          <w:color w:val="auto"/>
          <w:sz w:val="24"/>
          <w:szCs w:val="24"/>
          <w:highlight w:val="none"/>
        </w:rPr>
        <w:t>或招标人授权的评标委员会</w:t>
      </w:r>
      <w:r>
        <w:rPr>
          <w:rFonts w:hint="eastAsia" w:hAnsi="宋体"/>
          <w:color w:val="auto"/>
          <w:sz w:val="24"/>
          <w:szCs w:val="24"/>
          <w:highlight w:val="none"/>
        </w:rPr>
        <w:t>依法确定中标人。</w:t>
      </w:r>
    </w:p>
    <w:p w14:paraId="386AEB24">
      <w:pPr>
        <w:pStyle w:val="20"/>
        <w:ind w:firstLine="480"/>
        <w:rPr>
          <w:rFonts w:hint="eastAsia" w:hAnsi="宋体"/>
          <w:color w:val="auto"/>
          <w:sz w:val="24"/>
          <w:szCs w:val="24"/>
          <w:highlight w:val="none"/>
        </w:rPr>
      </w:pPr>
      <w:r>
        <w:rPr>
          <w:rFonts w:hint="eastAsia" w:hAnsi="宋体"/>
          <w:strike/>
          <w:color w:val="auto"/>
          <w:sz w:val="24"/>
          <w:szCs w:val="24"/>
          <w:highlight w:val="none"/>
        </w:rPr>
        <w:t>27.2采用评定分离方式确定中标人的，从其规定。</w:t>
      </w:r>
    </w:p>
    <w:p w14:paraId="78CB9778">
      <w:pPr>
        <w:spacing w:line="360" w:lineRule="auto"/>
        <w:ind w:firstLine="480" w:firstLineChars="200"/>
        <w:rPr>
          <w:b/>
          <w:color w:val="auto"/>
          <w:sz w:val="24"/>
          <w:szCs w:val="24"/>
          <w:highlight w:val="none"/>
        </w:rPr>
      </w:pPr>
      <w:r>
        <w:rPr>
          <w:color w:val="auto"/>
          <w:sz w:val="24"/>
          <w:highlight w:val="none"/>
        </w:rPr>
        <mc:AlternateContent>
          <mc:Choice Requires="wps">
            <w:drawing>
              <wp:anchor distT="0" distB="0" distL="114300" distR="114300" simplePos="0" relativeHeight="251689984" behindDoc="0" locked="0" layoutInCell="1" allowOverlap="1">
                <wp:simplePos x="0" y="0"/>
                <wp:positionH relativeFrom="column">
                  <wp:posOffset>11430</wp:posOffset>
                </wp:positionH>
                <wp:positionV relativeFrom="paragraph">
                  <wp:posOffset>26670</wp:posOffset>
                </wp:positionV>
                <wp:extent cx="5775960" cy="13335"/>
                <wp:effectExtent l="0" t="6350" r="15240" b="8890"/>
                <wp:wrapNone/>
                <wp:docPr id="39" name="直接连接符 39"/>
                <wp:cNvGraphicFramePr/>
                <a:graphic xmlns:a="http://schemas.openxmlformats.org/drawingml/2006/main">
                  <a:graphicData uri="http://schemas.microsoft.com/office/word/2010/wordprocessingShape">
                    <wps:wsp>
                      <wps:cNvCnPr/>
                      <wps:spPr>
                        <a:xfrm flipV="1">
                          <a:off x="906780" y="3372485"/>
                          <a:ext cx="5775960" cy="1333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9pt;margin-top:2.1pt;height:1.05pt;width:454.8pt;z-index:251689984;mso-width-relative:page;mso-height-relative:page;" filled="f" stroked="t" coordsize="21600,21600" o:gfxdata="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xPKHSAAAABQEAAA8AAAAAAAAAAQAgAAAAIgAAAGRycy9kb3ducmV2LnhtbFBL&#10;AQIUABQAAAAIAIdO4kDqRPD+/AEAAM0DAAAOAAAAAAAAAAEAIAAAACEBAABkcnMvZTJvRG9jLnht&#10;bFBLBQYAAAAABgAGAFkBAACPBQAAAAA=&#10;">
                <v:fill on="f" focussize="0,0"/>
                <v:stroke weight="1pt" color="#000000 [3213]" miterlimit="8" joinstyle="miter"/>
                <v:imagedata o:title=""/>
                <o:lock v:ext="edit" aspectratio="f"/>
              </v:line>
            </w:pict>
          </mc:Fallback>
        </mc:AlternateContent>
      </w:r>
      <w:r>
        <w:rPr>
          <w:rFonts w:hint="eastAsia"/>
          <w:b/>
          <w:color w:val="auto"/>
          <w:sz w:val="24"/>
          <w:szCs w:val="24"/>
          <w:highlight w:val="none"/>
        </w:rPr>
        <w:t xml:space="preserve">条款号：28.1 </w:t>
      </w:r>
      <w:r>
        <w:rPr>
          <w:b/>
          <w:color w:val="auto"/>
          <w:sz w:val="24"/>
          <w:szCs w:val="24"/>
          <w:highlight w:val="none"/>
        </w:rPr>
        <w:t xml:space="preserve">             </w:t>
      </w:r>
      <w:r>
        <w:rPr>
          <w:rFonts w:hint="eastAsia"/>
          <w:b/>
          <w:color w:val="auto"/>
          <w:sz w:val="24"/>
          <w:szCs w:val="24"/>
          <w:highlight w:val="none"/>
        </w:rPr>
        <w:t>修改类型：修改</w:t>
      </w:r>
    </w:p>
    <w:p w14:paraId="357EDD2A">
      <w:pPr>
        <w:spacing w:line="360" w:lineRule="auto"/>
        <w:ind w:firstLine="482" w:firstLineChars="200"/>
        <w:rPr>
          <w:color w:val="auto"/>
          <w:sz w:val="24"/>
          <w:szCs w:val="24"/>
          <w:highlight w:val="none"/>
        </w:rPr>
      </w:pPr>
      <w:r>
        <w:rPr>
          <w:rFonts w:hint="eastAsia"/>
          <w:b/>
          <w:color w:val="auto"/>
          <w:sz w:val="24"/>
          <w:szCs w:val="24"/>
          <w:highlight w:val="none"/>
        </w:rPr>
        <w:t>原文：</w:t>
      </w:r>
      <w:r>
        <w:rPr>
          <w:rFonts w:hint="eastAsia" w:ascii="宋体" w:hAnsi="宋体"/>
          <w:color w:val="auto"/>
          <w:sz w:val="24"/>
          <w:szCs w:val="24"/>
          <w:highlight w:val="none"/>
        </w:rPr>
        <w:t>28.1招标人将在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交易平台、广东省招标投标监管网和中国招标投标公共服务平台公示中标候选人，公示期为三天（最后一天应为工作日）。投标人或其他利害关系人对评标结果有异议的，应当在中标候选人公示期间提出，通过电子交易系统向招标人提出异议，招标人也应通过交易平台答复线上提交的异议，具体按照电子招标投标交易平台相关指南进行操作。作出答复前，应当暂停招标投标活动。</w:t>
      </w:r>
      <w:r>
        <w:rPr>
          <w:rFonts w:hint="eastAsia" w:ascii="宋体" w:hAnsi="宋体"/>
          <w:color w:val="auto"/>
          <w:sz w:val="24"/>
          <w:szCs w:val="24"/>
          <w:highlight w:val="none"/>
          <w:u w:val="single"/>
        </w:rPr>
        <w:t>投标人提出异议时需在线提交书面的异议书（异议书应清晰表述异议事项、依据、线索、请求或主张、有效的联系方式等）并附法定代表人证明书、有效的授权委托书、被授权人的有效身份证明。</w:t>
      </w:r>
    </w:p>
    <w:p w14:paraId="5EF776C9">
      <w:pPr>
        <w:spacing w:line="360" w:lineRule="auto"/>
        <w:ind w:firstLine="482" w:firstLineChars="200"/>
        <w:rPr>
          <w:rFonts w:hint="eastAsia" w:ascii="宋体" w:hAnsi="宋体"/>
          <w:color w:val="auto"/>
          <w:sz w:val="24"/>
          <w:szCs w:val="24"/>
          <w:highlight w:val="none"/>
        </w:rPr>
      </w:pPr>
      <w:r>
        <w:rPr>
          <w:rFonts w:hint="eastAsia"/>
          <w:b/>
          <w:color w:val="auto"/>
          <w:sz w:val="24"/>
          <w:szCs w:val="24"/>
          <w:highlight w:val="none"/>
        </w:rPr>
        <w:t>现文：</w:t>
      </w:r>
      <w:r>
        <w:rPr>
          <w:rFonts w:hint="eastAsia" w:ascii="宋体" w:hAnsi="宋体"/>
          <w:color w:val="auto"/>
          <w:sz w:val="24"/>
          <w:szCs w:val="24"/>
          <w:highlight w:val="none"/>
        </w:rPr>
        <w:t>28.1招标人将在</w:t>
      </w:r>
      <w:r>
        <w:rPr>
          <w:rFonts w:hint="eastAsia" w:ascii="宋体" w:hAnsi="宋体"/>
          <w:color w:val="auto"/>
          <w:sz w:val="24"/>
          <w:szCs w:val="24"/>
          <w:highlight w:val="none"/>
          <w:u w:val="single"/>
        </w:rPr>
        <w:t>广州交易集团有限公司（广州公共资源交易中心）交易平台、广东省招标投标监管网、广州市增城区人民政府门户网站（http://www.zc.gov.cn/）的“首页&gt;公开&gt;公共资源配置领域&gt;工程建设项目招投标”栏目等法定媒体网站</w:t>
      </w:r>
      <w:r>
        <w:rPr>
          <w:rFonts w:hint="eastAsia" w:ascii="宋体" w:hAnsi="宋体"/>
          <w:color w:val="auto"/>
          <w:sz w:val="24"/>
          <w:szCs w:val="24"/>
          <w:highlight w:val="none"/>
        </w:rPr>
        <w:t>发布公示中标候选人，公示期为三天（最后一天应为工作日）。投标人或其他利害关系人对评标结果有异议的，应当在中标候选人公示期间提出，通过电子交易系统向招标人提出异议，招标人也应通过交易平台答复线上提交的异议，具体按照电子招标投标交易平台相关指南进行操作。作出答复前，应当暂停招标投标活动。</w:t>
      </w:r>
      <w:r>
        <w:rPr>
          <w:rFonts w:hint="eastAsia" w:ascii="宋体" w:hAnsi="宋体"/>
          <w:color w:val="auto"/>
          <w:sz w:val="24"/>
          <w:szCs w:val="24"/>
          <w:highlight w:val="none"/>
          <w:u w:val="single"/>
        </w:rPr>
        <w:t>投标人提出异议时需在线提交书面的异议书（异议书应清晰表述异议事项、依据、线索、请求或主张、有效的联系方式等）并附法定代表人证明书、有效的授权委托书、被授权人的有效身份证明。具体操作详见“广州交易集团有限公司《广州公共资源交易中心)门户网站首页-&gt;服务指南-&gt;系统帮助-操作手册-&gt;发起及受理异议操作指引”。</w:t>
      </w:r>
    </w:p>
    <w:p w14:paraId="5694F7C0">
      <w:pPr>
        <w:spacing w:line="360" w:lineRule="auto"/>
        <w:ind w:firstLine="482" w:firstLineChars="200"/>
        <w:rPr>
          <w:b/>
          <w:color w:val="auto"/>
          <w:sz w:val="24"/>
          <w:szCs w:val="24"/>
          <w:highlight w:val="none"/>
        </w:rPr>
      </w:pPr>
      <w:r>
        <w:rPr>
          <w:rFonts w:hint="eastAsia"/>
          <w:b/>
          <w:color w:val="auto"/>
          <w:sz w:val="24"/>
          <w:szCs w:val="24"/>
          <w:highlight w:val="none"/>
        </w:rPr>
        <w:t xml:space="preserve">条款号：28.4 </w:t>
      </w:r>
      <w:r>
        <w:rPr>
          <w:b/>
          <w:color w:val="auto"/>
          <w:sz w:val="24"/>
          <w:szCs w:val="24"/>
          <w:highlight w:val="none"/>
        </w:rPr>
        <w:t xml:space="preserve">             </w:t>
      </w:r>
      <w:r>
        <w:rPr>
          <w:rFonts w:hint="eastAsia"/>
          <w:b/>
          <w:color w:val="auto"/>
          <w:sz w:val="24"/>
          <w:szCs w:val="24"/>
          <w:highlight w:val="none"/>
        </w:rPr>
        <w:t>修改类型：修改</w:t>
      </w:r>
    </w:p>
    <w:p w14:paraId="2BF16ED2">
      <w:pPr>
        <w:spacing w:line="360" w:lineRule="auto"/>
        <w:ind w:firstLine="482" w:firstLineChars="200"/>
        <w:rPr>
          <w:b/>
          <w:color w:val="auto"/>
          <w:sz w:val="24"/>
          <w:szCs w:val="24"/>
          <w:highlight w:val="none"/>
        </w:rPr>
      </w:pPr>
      <w:r>
        <w:rPr>
          <w:rFonts w:hint="eastAsia"/>
          <w:b/>
          <w:color w:val="auto"/>
          <w:sz w:val="24"/>
          <w:szCs w:val="24"/>
          <w:highlight w:val="none"/>
        </w:rPr>
        <w:t>原文：</w:t>
      </w:r>
      <w:r>
        <w:rPr>
          <w:rFonts w:hint="eastAsia" w:ascii="宋体" w:hAnsi="宋体"/>
          <w:color w:val="auto"/>
          <w:sz w:val="24"/>
          <w:szCs w:val="24"/>
          <w:highlight w:val="none"/>
        </w:rPr>
        <w:t>28.4在产生中标候选人后，招标人将中标候选人的投标文件商务部分文件的所有内容（包括人员、业绩、奖项等资料）在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交易平台和广东省招标投标监管网公开。</w:t>
      </w:r>
    </w:p>
    <w:p w14:paraId="6835419B">
      <w:pPr>
        <w:spacing w:line="360" w:lineRule="auto"/>
        <w:ind w:firstLine="482" w:firstLineChars="200"/>
        <w:rPr>
          <w:rFonts w:hint="eastAsia" w:ascii="宋体" w:hAnsi="宋体"/>
          <w:color w:val="auto"/>
          <w:sz w:val="24"/>
          <w:szCs w:val="24"/>
          <w:highlight w:val="none"/>
        </w:rPr>
      </w:pPr>
      <w:r>
        <w:rPr>
          <w:rFonts w:hint="eastAsia"/>
          <w:b/>
          <w:color w:val="auto"/>
          <w:sz w:val="24"/>
          <w:szCs w:val="24"/>
          <w:highlight w:val="none"/>
        </w:rPr>
        <w:t>现文：</w:t>
      </w:r>
      <w:r>
        <w:rPr>
          <w:rFonts w:hint="eastAsia" w:ascii="宋体" w:hAnsi="宋体"/>
          <w:color w:val="auto"/>
          <w:sz w:val="24"/>
          <w:szCs w:val="24"/>
          <w:highlight w:val="none"/>
        </w:rPr>
        <w:t>28.4在产生中标候选人后，招标人将中标候选人的投标文件商务部分文件的所有内容（包括人员、业绩、奖项等资料）在</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交易平台和广东省招标投标监管网公开。</w:t>
      </w:r>
    </w:p>
    <w:p w14:paraId="5E22D6E9">
      <w:pPr>
        <w:spacing w:line="360" w:lineRule="auto"/>
        <w:ind w:firstLine="537" w:firstLineChars="224"/>
        <w:rPr>
          <w:b/>
          <w:color w:val="auto"/>
          <w:sz w:val="24"/>
          <w:szCs w:val="24"/>
          <w:highlight w:val="none"/>
        </w:rPr>
      </w:pPr>
      <w:r>
        <w:rPr>
          <w:color w:val="auto"/>
          <w:sz w:val="24"/>
          <w:highlight w:val="none"/>
        </w:rPr>
        <mc:AlternateContent>
          <mc:Choice Requires="wps">
            <w:drawing>
              <wp:anchor distT="0" distB="0" distL="114300" distR="114300" simplePos="0" relativeHeight="251691008" behindDoc="0" locked="0" layoutInCell="1" allowOverlap="1">
                <wp:simplePos x="0" y="0"/>
                <wp:positionH relativeFrom="column">
                  <wp:posOffset>26670</wp:posOffset>
                </wp:positionH>
                <wp:positionV relativeFrom="paragraph">
                  <wp:posOffset>5080</wp:posOffset>
                </wp:positionV>
                <wp:extent cx="5755640" cy="0"/>
                <wp:effectExtent l="0" t="6350" r="0" b="6350"/>
                <wp:wrapNone/>
                <wp:docPr id="40" name="直接连接符 40"/>
                <wp:cNvGraphicFramePr/>
                <a:graphic xmlns:a="http://schemas.openxmlformats.org/drawingml/2006/main">
                  <a:graphicData uri="http://schemas.microsoft.com/office/word/2010/wordprocessingShape">
                    <wps:wsp>
                      <wps:cNvCnPr/>
                      <wps:spPr>
                        <a:xfrm>
                          <a:off x="927100" y="2211070"/>
                          <a:ext cx="575564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1pt;margin-top:0.4pt;height:0pt;width:453.2pt;z-index:251691008;mso-width-relative:page;mso-height-relative:page;" filled="f" stroked="t" coordsize="21600,21600" o:gfxdata="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tx&#10;6RvTAAAAAwEAAA8AAAAAAAAAAQAgAAAAIgAAAGRycy9kb3ducmV2LnhtbFBLAQIUABQAAAAIAIdO&#10;4kC+KBW17wEAAL8DAAAOAAAAAAAAAAEAIAAAACIBAABkcnMvZTJvRG9jLnhtbFBLBQYAAAAABgAG&#10;AFkBAACDBQAAAAA=&#10;">
                <v:fill on="f" focussize="0,0"/>
                <v:stroke weight="1pt" color="#000000 [3213]" miterlimit="8" joinstyle="miter"/>
                <v:imagedata o:title=""/>
                <o:lock v:ext="edit" aspectratio="f"/>
              </v:line>
            </w:pict>
          </mc:Fallback>
        </mc:AlternateContent>
      </w:r>
      <w:r>
        <w:rPr>
          <w:rFonts w:hint="eastAsia"/>
          <w:b/>
          <w:color w:val="auto"/>
          <w:sz w:val="24"/>
          <w:szCs w:val="24"/>
          <w:highlight w:val="none"/>
        </w:rPr>
        <w:t>条款号：28.5</w:t>
      </w:r>
      <w:r>
        <w:rPr>
          <w:b/>
          <w:color w:val="auto"/>
          <w:sz w:val="24"/>
          <w:szCs w:val="24"/>
          <w:highlight w:val="none"/>
        </w:rPr>
        <w:t xml:space="preserve">             </w:t>
      </w:r>
      <w:r>
        <w:rPr>
          <w:rFonts w:hint="eastAsia"/>
          <w:b/>
          <w:color w:val="auto"/>
          <w:sz w:val="24"/>
          <w:szCs w:val="24"/>
          <w:highlight w:val="none"/>
        </w:rPr>
        <w:t>修改类型：删除</w:t>
      </w:r>
    </w:p>
    <w:p w14:paraId="799B8F4B">
      <w:pPr>
        <w:spacing w:line="360" w:lineRule="auto"/>
        <w:ind w:firstLine="482" w:firstLineChars="200"/>
        <w:rPr>
          <w:rFonts w:hint="eastAsia" w:ascii="宋体" w:hAnsi="宋体"/>
          <w:color w:val="auto"/>
          <w:sz w:val="24"/>
          <w:szCs w:val="24"/>
          <w:highlight w:val="none"/>
        </w:rPr>
      </w:pPr>
      <w:r>
        <w:rPr>
          <w:rFonts w:hint="eastAsia" w:ascii="宋体" w:hAnsi="宋体"/>
          <w:b/>
          <w:bCs/>
          <w:color w:val="auto"/>
          <w:sz w:val="24"/>
          <w:szCs w:val="24"/>
          <w:highlight w:val="none"/>
        </w:rPr>
        <w:t>原文：</w:t>
      </w:r>
      <w:r>
        <w:rPr>
          <w:rFonts w:hint="eastAsia" w:ascii="宋体" w:hAnsi="宋体"/>
          <w:color w:val="auto"/>
          <w:sz w:val="24"/>
          <w:szCs w:val="24"/>
          <w:highlight w:val="none"/>
        </w:rPr>
        <w:t>28.5（适用于轨道交通建设项目）如项目采用整体发包的形式开展施工总承包招标，且后续需分段办理监督手续，确定中标单位后，招标人在向中标单位发出的中标通知书中一并标注施工总承包项目经理和各段项目经理。</w:t>
      </w:r>
    </w:p>
    <w:p w14:paraId="5FD52A9A">
      <w:pPr>
        <w:spacing w:line="360" w:lineRule="auto"/>
        <w:ind w:firstLine="480" w:firstLineChars="200"/>
        <w:rPr>
          <w:b/>
          <w:color w:val="auto"/>
          <w:sz w:val="24"/>
          <w:szCs w:val="24"/>
          <w:highlight w:val="none"/>
        </w:rPr>
      </w:pPr>
      <w:r>
        <w:rPr>
          <w:color w:val="auto"/>
          <w:sz w:val="24"/>
          <w:highlight w:val="none"/>
        </w:rPr>
        <mc:AlternateContent>
          <mc:Choice Requires="wps">
            <w:drawing>
              <wp:anchor distT="0" distB="0" distL="114300" distR="114300" simplePos="0" relativeHeight="251692032" behindDoc="0" locked="0" layoutInCell="1" allowOverlap="1">
                <wp:simplePos x="0" y="0"/>
                <wp:positionH relativeFrom="column">
                  <wp:posOffset>-20955</wp:posOffset>
                </wp:positionH>
                <wp:positionV relativeFrom="paragraph">
                  <wp:posOffset>33020</wp:posOffset>
                </wp:positionV>
                <wp:extent cx="5817235" cy="0"/>
                <wp:effectExtent l="0" t="6350" r="0" b="6350"/>
                <wp:wrapNone/>
                <wp:docPr id="41" name="直接连接符 41"/>
                <wp:cNvGraphicFramePr/>
                <a:graphic xmlns:a="http://schemas.openxmlformats.org/drawingml/2006/main">
                  <a:graphicData uri="http://schemas.microsoft.com/office/word/2010/wordprocessingShape">
                    <wps:wsp>
                      <wps:cNvCnPr/>
                      <wps:spPr>
                        <a:xfrm>
                          <a:off x="879475" y="3427730"/>
                          <a:ext cx="581723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65pt;margin-top:2.6pt;height:0pt;width:458.05pt;z-index:251692032;mso-width-relative:page;mso-height-relative:page;" filled="f" stroked="t" coordsize="21600,21600" o:gfxdata="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faqPnVAAAABgEAAA8AAAAAAAAAAQAgAAAAIgAAAGRycy9kb3ducmV2LnhtbFBLAQIUABQA&#10;AAAIAIdO4kAhphL/8wEAAL8DAAAOAAAAAAAAAAEAIAAAACQBAABkcnMvZTJvRG9jLnhtbFBLBQYA&#10;AAAABgAGAFkBAACJBQAAAAA=&#10;">
                <v:fill on="f" focussize="0,0"/>
                <v:stroke weight="1pt" color="#000000 [3213]" miterlimit="8" joinstyle="miter"/>
                <v:imagedata o:title=""/>
                <o:lock v:ext="edit" aspectratio="f"/>
              </v:line>
            </w:pict>
          </mc:Fallback>
        </mc:AlternateContent>
      </w:r>
      <w:r>
        <w:rPr>
          <w:rFonts w:hint="eastAsia"/>
          <w:b/>
          <w:color w:val="auto"/>
          <w:sz w:val="24"/>
          <w:szCs w:val="24"/>
          <w:highlight w:val="none"/>
        </w:rPr>
        <w:t xml:space="preserve">条款号：29.2 </w:t>
      </w:r>
      <w:r>
        <w:rPr>
          <w:b/>
          <w:color w:val="auto"/>
          <w:sz w:val="24"/>
          <w:szCs w:val="24"/>
          <w:highlight w:val="none"/>
        </w:rPr>
        <w:t xml:space="preserve">             </w:t>
      </w:r>
      <w:r>
        <w:rPr>
          <w:rFonts w:hint="eastAsia"/>
          <w:b/>
          <w:color w:val="auto"/>
          <w:sz w:val="24"/>
          <w:szCs w:val="24"/>
          <w:highlight w:val="none"/>
        </w:rPr>
        <w:t>修改类型：修改</w:t>
      </w:r>
    </w:p>
    <w:p w14:paraId="0FD0479D">
      <w:pPr>
        <w:spacing w:line="360" w:lineRule="auto"/>
        <w:ind w:firstLine="482" w:firstLineChars="200"/>
        <w:rPr>
          <w:rFonts w:ascii="宋体"/>
          <w:color w:val="auto"/>
          <w:sz w:val="24"/>
          <w:szCs w:val="24"/>
          <w:highlight w:val="none"/>
        </w:rPr>
      </w:pPr>
      <w:r>
        <w:rPr>
          <w:rFonts w:hint="eastAsia"/>
          <w:b/>
          <w:color w:val="auto"/>
          <w:sz w:val="24"/>
          <w:szCs w:val="24"/>
          <w:highlight w:val="none"/>
        </w:rPr>
        <w:t>原文：</w:t>
      </w:r>
      <w:r>
        <w:rPr>
          <w:rFonts w:ascii="宋体" w:hAnsi="宋体"/>
          <w:color w:val="auto"/>
          <w:sz w:val="24"/>
          <w:szCs w:val="24"/>
          <w:highlight w:val="none"/>
        </w:rPr>
        <w:t>2</w:t>
      </w:r>
      <w:r>
        <w:rPr>
          <w:rFonts w:hint="eastAsia" w:ascii="宋体" w:hAnsi="宋体"/>
          <w:color w:val="auto"/>
          <w:sz w:val="24"/>
          <w:szCs w:val="24"/>
          <w:highlight w:val="none"/>
        </w:rPr>
        <w:t>9</w:t>
      </w:r>
      <w:r>
        <w:rPr>
          <w:rFonts w:ascii="宋体" w:hAnsi="宋体"/>
          <w:color w:val="auto"/>
          <w:sz w:val="24"/>
          <w:szCs w:val="24"/>
          <w:highlight w:val="none"/>
        </w:rPr>
        <w:t>.2</w:t>
      </w:r>
      <w:r>
        <w:rPr>
          <w:rFonts w:hint="eastAsia" w:ascii="宋体" w:hAnsi="宋体"/>
          <w:color w:val="auto"/>
          <w:sz w:val="24"/>
          <w:szCs w:val="24"/>
          <w:highlight w:val="none"/>
        </w:rPr>
        <w:t>中标通知书发出之日起</w:t>
      </w:r>
      <w:r>
        <w:rPr>
          <w:rFonts w:ascii="宋体" w:hAnsi="宋体"/>
          <w:color w:val="auto"/>
          <w:sz w:val="24"/>
          <w:szCs w:val="24"/>
          <w:highlight w:val="none"/>
        </w:rPr>
        <w:t>30</w:t>
      </w:r>
      <w:r>
        <w:rPr>
          <w:rFonts w:hint="eastAsia" w:ascii="宋体" w:hAnsi="宋体"/>
          <w:color w:val="auto"/>
          <w:sz w:val="24"/>
          <w:szCs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4581A91">
      <w:pPr>
        <w:spacing w:line="360" w:lineRule="auto"/>
        <w:ind w:firstLine="480" w:firstLineChars="200"/>
        <w:rPr>
          <w:rFonts w:ascii="宋体"/>
          <w:color w:val="auto"/>
          <w:sz w:val="24"/>
          <w:szCs w:val="24"/>
          <w:highlight w:val="none"/>
        </w:rPr>
      </w:pPr>
      <w:r>
        <w:rPr>
          <w:color w:val="auto"/>
          <w:sz w:val="24"/>
          <w:highlight w:val="none"/>
        </w:rPr>
        <mc:AlternateContent>
          <mc:Choice Requires="wps">
            <w:drawing>
              <wp:anchor distT="0" distB="0" distL="114300" distR="114300" simplePos="0" relativeHeight="251693056" behindDoc="0" locked="0" layoutInCell="1" allowOverlap="1">
                <wp:simplePos x="0" y="0"/>
                <wp:positionH relativeFrom="column">
                  <wp:posOffset>-27940</wp:posOffset>
                </wp:positionH>
                <wp:positionV relativeFrom="paragraph">
                  <wp:posOffset>1184910</wp:posOffset>
                </wp:positionV>
                <wp:extent cx="5878195" cy="6985"/>
                <wp:effectExtent l="0" t="6350" r="8255" b="15240"/>
                <wp:wrapNone/>
                <wp:docPr id="42" name="直接连接符 42"/>
                <wp:cNvGraphicFramePr/>
                <a:graphic xmlns:a="http://schemas.openxmlformats.org/drawingml/2006/main">
                  <a:graphicData uri="http://schemas.microsoft.com/office/word/2010/wordprocessingShape">
                    <wps:wsp>
                      <wps:cNvCnPr/>
                      <wps:spPr>
                        <a:xfrm flipV="1">
                          <a:off x="872490" y="6065520"/>
                          <a:ext cx="5878195" cy="698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2pt;margin-top:93.3pt;height:0.55pt;width:462.85pt;z-index:251693056;mso-width-relative:page;mso-height-relative:page;" filled="f" stroked="t" coordsize="21600,21600" o:gfxdata="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5fRsm1wAAAAoBAAAPAAAAAAAAAAEAIAAAACIAAABkcnMvZG93bnJldi54&#10;bWxQSwECFAAUAAAACACHTuJAKfLg5fsBAADMAwAADgAAAAAAAAABACAAAAAmAQAAZHJzL2Uyb0Rv&#10;Yy54bWxQSwUGAAAAAAYABgBZAQAAkwUAAAAA&#10;">
                <v:fill on="f" focussize="0,0"/>
                <v:stroke weight="1pt" color="#000000 [3213]" miterlimit="8" joinstyle="miter"/>
                <v:imagedata o:title=""/>
                <o:lock v:ext="edit" aspectratio="f"/>
              </v:line>
            </w:pict>
          </mc:Fallback>
        </mc:AlternateContent>
      </w:r>
      <w:r>
        <w:rPr>
          <w:rFonts w:hint="eastAsia"/>
          <w:b/>
          <w:color w:val="auto"/>
          <w:sz w:val="24"/>
          <w:szCs w:val="24"/>
          <w:highlight w:val="none"/>
        </w:rPr>
        <w:t>现文：</w:t>
      </w:r>
      <w:r>
        <w:rPr>
          <w:rFonts w:ascii="宋体" w:hAnsi="宋体"/>
          <w:color w:val="auto"/>
          <w:sz w:val="24"/>
          <w:szCs w:val="24"/>
          <w:highlight w:val="none"/>
        </w:rPr>
        <w:t>2</w:t>
      </w:r>
      <w:r>
        <w:rPr>
          <w:rFonts w:hint="eastAsia" w:ascii="宋体" w:hAnsi="宋体"/>
          <w:color w:val="auto"/>
          <w:sz w:val="24"/>
          <w:szCs w:val="24"/>
          <w:highlight w:val="none"/>
        </w:rPr>
        <w:t>9</w:t>
      </w:r>
      <w:r>
        <w:rPr>
          <w:rFonts w:ascii="宋体" w:hAnsi="宋体"/>
          <w:color w:val="auto"/>
          <w:sz w:val="24"/>
          <w:szCs w:val="24"/>
          <w:highlight w:val="none"/>
        </w:rPr>
        <w:t>.2</w:t>
      </w:r>
      <w:r>
        <w:rPr>
          <w:rFonts w:hint="eastAsia" w:ascii="宋体" w:hAnsi="宋体"/>
          <w:color w:val="auto"/>
          <w:sz w:val="24"/>
          <w:szCs w:val="24"/>
          <w:highlight w:val="none"/>
        </w:rPr>
        <w:t>中标通知书发出之日起</w:t>
      </w:r>
      <w:r>
        <w:rPr>
          <w:rFonts w:ascii="宋体" w:hAnsi="宋体"/>
          <w:color w:val="auto"/>
          <w:sz w:val="24"/>
          <w:szCs w:val="24"/>
          <w:highlight w:val="none"/>
        </w:rPr>
        <w:t>30</w:t>
      </w:r>
      <w:r>
        <w:rPr>
          <w:rFonts w:hint="eastAsia" w:ascii="宋体" w:hAnsi="宋体"/>
          <w:color w:val="auto"/>
          <w:sz w:val="24"/>
          <w:szCs w:val="24"/>
          <w:highlight w:val="none"/>
        </w:rPr>
        <w:t>日后，中标人未按上款的规定与招标人订立合同，招标人将解除中标通知书</w:t>
      </w:r>
      <w:r>
        <w:rPr>
          <w:rFonts w:hint="eastAsia" w:ascii="宋体" w:hAnsi="宋体"/>
          <w:strike/>
          <w:color w:val="auto"/>
          <w:sz w:val="24"/>
          <w:szCs w:val="24"/>
          <w:highlight w:val="none"/>
        </w:rPr>
        <w:t>，原中标人的投标保证金不予退还</w:t>
      </w:r>
      <w:r>
        <w:rPr>
          <w:rFonts w:hint="eastAsia" w:ascii="宋体" w:hAnsi="宋体"/>
          <w:color w:val="auto"/>
          <w:sz w:val="24"/>
          <w:szCs w:val="24"/>
          <w:highlight w:val="none"/>
        </w:rPr>
        <w:t>，且依法承担相应法律责任。</w:t>
      </w:r>
      <w:r>
        <w:rPr>
          <w:rFonts w:hint="eastAsia" w:ascii="宋体" w:hAnsi="宋体"/>
          <w:strike/>
          <w:color w:val="auto"/>
          <w:sz w:val="24"/>
          <w:szCs w:val="24"/>
          <w:highlight w:val="none"/>
        </w:rPr>
        <w:t>原中标人给招标人造成的损失超过投标保证金数额的，还应当对超过部分予以赔偿。</w:t>
      </w:r>
      <w:r>
        <w:rPr>
          <w:rFonts w:hint="eastAsia" w:ascii="宋体" w:hAnsi="宋体"/>
          <w:color w:val="auto"/>
          <w:sz w:val="24"/>
          <w:szCs w:val="24"/>
          <w:highlight w:val="none"/>
        </w:rPr>
        <w:t>原中标人有异议的，可以向人民法院起诉。</w:t>
      </w:r>
    </w:p>
    <w:p w14:paraId="02FFFFED">
      <w:pPr>
        <w:spacing w:line="360" w:lineRule="auto"/>
        <w:ind w:firstLine="482" w:firstLineChars="200"/>
        <w:rPr>
          <w:b/>
          <w:color w:val="auto"/>
          <w:sz w:val="24"/>
          <w:szCs w:val="24"/>
          <w:highlight w:val="none"/>
        </w:rPr>
      </w:pPr>
      <w:r>
        <w:rPr>
          <w:rFonts w:hint="eastAsia"/>
          <w:b/>
          <w:color w:val="auto"/>
          <w:sz w:val="24"/>
          <w:szCs w:val="24"/>
          <w:highlight w:val="none"/>
        </w:rPr>
        <w:t xml:space="preserve">条款号：30.1 </w:t>
      </w:r>
      <w:r>
        <w:rPr>
          <w:b/>
          <w:color w:val="auto"/>
          <w:sz w:val="24"/>
          <w:szCs w:val="24"/>
          <w:highlight w:val="none"/>
        </w:rPr>
        <w:t xml:space="preserve">             </w:t>
      </w:r>
      <w:r>
        <w:rPr>
          <w:rFonts w:hint="eastAsia"/>
          <w:b/>
          <w:color w:val="auto"/>
          <w:sz w:val="24"/>
          <w:szCs w:val="24"/>
          <w:highlight w:val="none"/>
        </w:rPr>
        <w:t>修改类型：修改</w:t>
      </w:r>
    </w:p>
    <w:p w14:paraId="3209D302">
      <w:pPr>
        <w:snapToGrid w:val="0"/>
        <w:spacing w:line="360" w:lineRule="auto"/>
        <w:ind w:firstLine="482" w:firstLineChars="200"/>
        <w:rPr>
          <w:rFonts w:ascii="宋体"/>
          <w:color w:val="auto"/>
          <w:sz w:val="24"/>
          <w:szCs w:val="24"/>
          <w:highlight w:val="none"/>
        </w:rPr>
      </w:pPr>
      <w:r>
        <w:rPr>
          <w:rFonts w:hint="eastAsia"/>
          <w:b/>
          <w:color w:val="auto"/>
          <w:sz w:val="24"/>
          <w:szCs w:val="24"/>
          <w:highlight w:val="none"/>
        </w:rPr>
        <w:t>原文：</w:t>
      </w:r>
      <w:r>
        <w:rPr>
          <w:rFonts w:hint="eastAsia" w:ascii="宋体" w:hAnsi="宋体"/>
          <w:color w:val="auto"/>
          <w:sz w:val="24"/>
          <w:szCs w:val="24"/>
          <w:highlight w:val="none"/>
        </w:rPr>
        <w:t>30</w:t>
      </w:r>
      <w:r>
        <w:rPr>
          <w:rFonts w:ascii="宋体" w:hAnsi="宋体"/>
          <w:color w:val="auto"/>
          <w:sz w:val="24"/>
          <w:szCs w:val="24"/>
          <w:highlight w:val="none"/>
        </w:rPr>
        <w:t xml:space="preserve">.1 </w:t>
      </w:r>
      <w:r>
        <w:rPr>
          <w:rFonts w:hint="eastAsia" w:ascii="宋体" w:hAnsi="宋体"/>
          <w:color w:val="auto"/>
          <w:sz w:val="24"/>
          <w:szCs w:val="24"/>
          <w:highlight w:val="none"/>
        </w:rPr>
        <w:t>在收到中标通知书后的</w:t>
      </w:r>
      <w:r>
        <w:rPr>
          <w:rFonts w:ascii="宋体" w:hAnsi="宋体"/>
          <w:bCs/>
          <w:color w:val="auto"/>
          <w:sz w:val="24"/>
          <w:szCs w:val="24"/>
          <w:highlight w:val="none"/>
        </w:rPr>
        <w:t>15</w:t>
      </w:r>
      <w:r>
        <w:rPr>
          <w:rFonts w:hint="eastAsia" w:ascii="宋体" w:hAnsi="宋体"/>
          <w:bCs/>
          <w:color w:val="auto"/>
          <w:sz w:val="24"/>
          <w:szCs w:val="24"/>
          <w:highlight w:val="none"/>
        </w:rPr>
        <w:t>日内</w:t>
      </w:r>
      <w:r>
        <w:rPr>
          <w:rFonts w:hint="eastAsia" w:ascii="宋体" w:hAnsi="宋体"/>
          <w:color w:val="auto"/>
          <w:sz w:val="24"/>
          <w:szCs w:val="24"/>
          <w:highlight w:val="none"/>
        </w:rPr>
        <w:t>，中标人应按本须知前附表第</w:t>
      </w:r>
      <w:r>
        <w:rPr>
          <w:rFonts w:ascii="宋体" w:hAnsi="宋体"/>
          <w:color w:val="auto"/>
          <w:sz w:val="24"/>
          <w:szCs w:val="24"/>
          <w:highlight w:val="none"/>
        </w:rPr>
        <w:t>2</w:t>
      </w:r>
      <w:r>
        <w:rPr>
          <w:rFonts w:hint="eastAsia" w:ascii="宋体" w:hAnsi="宋体"/>
          <w:color w:val="auto"/>
          <w:sz w:val="24"/>
          <w:szCs w:val="24"/>
          <w:highlight w:val="none"/>
        </w:rPr>
        <w:t>0项的规定向招标人提交履约担保。</w:t>
      </w:r>
    </w:p>
    <w:p w14:paraId="3DF0B824">
      <w:pPr>
        <w:snapToGrid w:val="0"/>
        <w:spacing w:line="360" w:lineRule="auto"/>
        <w:ind w:firstLine="480" w:firstLineChars="200"/>
        <w:rPr>
          <w:rFonts w:hint="eastAsia" w:ascii="宋体" w:hAnsi="宋体"/>
          <w:color w:val="auto"/>
          <w:sz w:val="24"/>
          <w:szCs w:val="24"/>
          <w:highlight w:val="none"/>
        </w:rPr>
      </w:pPr>
      <w:r>
        <w:rPr>
          <w:color w:val="auto"/>
          <w:sz w:val="24"/>
          <w:highlight w:val="none"/>
        </w:rPr>
        <mc:AlternateContent>
          <mc:Choice Requires="wps">
            <w:drawing>
              <wp:anchor distT="0" distB="0" distL="114300" distR="114300" simplePos="0" relativeHeight="251694080" behindDoc="0" locked="0" layoutInCell="1" allowOverlap="1">
                <wp:simplePos x="0" y="0"/>
                <wp:positionH relativeFrom="column">
                  <wp:posOffset>-48260</wp:posOffset>
                </wp:positionH>
                <wp:positionV relativeFrom="paragraph">
                  <wp:posOffset>562610</wp:posOffset>
                </wp:positionV>
                <wp:extent cx="5905500" cy="6985"/>
                <wp:effectExtent l="0" t="0" r="0" b="0"/>
                <wp:wrapNone/>
                <wp:docPr id="43" name="直接连接符 43"/>
                <wp:cNvGraphicFramePr/>
                <a:graphic xmlns:a="http://schemas.openxmlformats.org/drawingml/2006/main">
                  <a:graphicData uri="http://schemas.microsoft.com/office/word/2010/wordprocessingShape">
                    <wps:wsp>
                      <wps:cNvCnPr/>
                      <wps:spPr>
                        <a:xfrm>
                          <a:off x="852170" y="7521575"/>
                          <a:ext cx="5905500" cy="6985"/>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_x0000_s1026" o:spid="_x0000_s1026" o:spt="20" style="position:absolute;left:0pt;margin-left:-3.8pt;margin-top:44.3pt;height:0.55pt;width:465pt;z-index:251694080;mso-width-relative:page;mso-height-relative:page;" filled="f" stroked="t" coordsize="21600,21600" o:gfxdata="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vcNf2QAAAAgBAAAPAAAAAAAAAAEAIAAAACIAAABkcnMvZG93bnJldi54bWxQSwEC&#10;FAAUAAAACACHTuJA5cLg//MBAADCAwAADgAAAAAAAAABACAAAAAoAQAAZHJzL2Uyb0RvYy54bWxQ&#10;SwUGAAAAAAYABgBZAQAAjQUAAAAA&#10;">
                <v:fill on="f" focussize="0,0"/>
                <v:stroke weight="1pt" color="#000000 [3213]" miterlimit="8" joinstyle="miter"/>
                <v:imagedata o:title=""/>
                <o:lock v:ext="edit" aspectratio="f"/>
              </v:line>
            </w:pict>
          </mc:Fallback>
        </mc:AlternateContent>
      </w:r>
      <w:r>
        <w:rPr>
          <w:rFonts w:hint="eastAsia"/>
          <w:b/>
          <w:color w:val="auto"/>
          <w:sz w:val="24"/>
          <w:szCs w:val="24"/>
          <w:highlight w:val="none"/>
        </w:rPr>
        <w:t>现文：</w:t>
      </w:r>
      <w:r>
        <w:rPr>
          <w:rFonts w:hint="eastAsia" w:ascii="宋体" w:hAnsi="宋体"/>
          <w:color w:val="auto"/>
          <w:sz w:val="24"/>
          <w:szCs w:val="24"/>
          <w:highlight w:val="none"/>
        </w:rPr>
        <w:t>30</w:t>
      </w:r>
      <w:r>
        <w:rPr>
          <w:rFonts w:ascii="宋体" w:hAnsi="宋体"/>
          <w:color w:val="auto"/>
          <w:sz w:val="24"/>
          <w:szCs w:val="24"/>
          <w:highlight w:val="none"/>
        </w:rPr>
        <w:t xml:space="preserve">.1 </w:t>
      </w:r>
      <w:r>
        <w:rPr>
          <w:rFonts w:hint="eastAsia" w:ascii="宋体" w:hAnsi="宋体"/>
          <w:color w:val="auto"/>
          <w:sz w:val="24"/>
          <w:szCs w:val="24"/>
          <w:highlight w:val="none"/>
          <w:u w:val="single"/>
        </w:rPr>
        <w:t xml:space="preserve"> 在申请支付预付款前，</w:t>
      </w:r>
      <w:r>
        <w:rPr>
          <w:rFonts w:hint="eastAsia" w:ascii="宋体" w:hAnsi="宋体"/>
          <w:color w:val="auto"/>
          <w:sz w:val="24"/>
          <w:szCs w:val="24"/>
          <w:highlight w:val="none"/>
        </w:rPr>
        <w:t>中标人应按本须知前附表第21项的规定向招标人提交履约担保。</w:t>
      </w:r>
    </w:p>
    <w:p w14:paraId="56D50156">
      <w:pPr>
        <w:spacing w:line="360" w:lineRule="auto"/>
        <w:ind w:firstLine="482" w:firstLineChars="200"/>
        <w:rPr>
          <w:b/>
          <w:color w:val="auto"/>
          <w:sz w:val="24"/>
          <w:szCs w:val="24"/>
          <w:highlight w:val="none"/>
        </w:rPr>
      </w:pPr>
      <w:r>
        <w:rPr>
          <w:rFonts w:hint="eastAsia"/>
          <w:b/>
          <w:color w:val="auto"/>
          <w:sz w:val="24"/>
          <w:szCs w:val="24"/>
          <w:highlight w:val="none"/>
        </w:rPr>
        <w:t>条款号：30.2</w:t>
      </w:r>
      <w:r>
        <w:rPr>
          <w:b/>
          <w:color w:val="auto"/>
          <w:sz w:val="24"/>
          <w:szCs w:val="24"/>
          <w:highlight w:val="none"/>
        </w:rPr>
        <w:t xml:space="preserve">            </w:t>
      </w:r>
      <w:r>
        <w:rPr>
          <w:rFonts w:hint="eastAsia"/>
          <w:b/>
          <w:color w:val="auto"/>
          <w:sz w:val="24"/>
          <w:szCs w:val="24"/>
          <w:highlight w:val="none"/>
        </w:rPr>
        <w:t>修改类型：修改</w:t>
      </w:r>
    </w:p>
    <w:p w14:paraId="44A12C4A">
      <w:pPr>
        <w:snapToGrid w:val="0"/>
        <w:spacing w:line="360" w:lineRule="auto"/>
        <w:ind w:firstLine="482" w:firstLineChars="200"/>
        <w:rPr>
          <w:rFonts w:hint="eastAsia" w:ascii="宋体" w:hAnsi="宋体"/>
          <w:color w:val="auto"/>
          <w:sz w:val="24"/>
          <w:szCs w:val="24"/>
          <w:highlight w:val="none"/>
        </w:rPr>
      </w:pPr>
      <w:r>
        <w:rPr>
          <w:rFonts w:hint="eastAsia"/>
          <w:b/>
          <w:color w:val="auto"/>
          <w:sz w:val="24"/>
          <w:szCs w:val="24"/>
          <w:highlight w:val="none"/>
        </w:rPr>
        <w:t>原文：</w:t>
      </w:r>
      <w:r>
        <w:rPr>
          <w:rFonts w:hint="eastAsia" w:ascii="宋体" w:hAnsi="宋体"/>
          <w:color w:val="auto"/>
          <w:sz w:val="24"/>
          <w:szCs w:val="24"/>
          <w:highlight w:val="none"/>
        </w:rPr>
        <w:t>30</w:t>
      </w:r>
      <w:r>
        <w:rPr>
          <w:rFonts w:ascii="宋体" w:hAnsi="宋体"/>
          <w:color w:val="auto"/>
          <w:sz w:val="24"/>
          <w:szCs w:val="24"/>
          <w:highlight w:val="none"/>
        </w:rPr>
        <w:t>.2</w:t>
      </w:r>
      <w:r>
        <w:rPr>
          <w:rFonts w:hint="eastAsia" w:ascii="宋体" w:hAnsi="宋体"/>
          <w:color w:val="auto"/>
          <w:sz w:val="24"/>
          <w:szCs w:val="24"/>
          <w:highlight w:val="none"/>
        </w:rPr>
        <w:t>中标通知书发出之日起</w:t>
      </w:r>
      <w:r>
        <w:rPr>
          <w:rFonts w:ascii="宋体" w:hAnsi="宋体"/>
          <w:color w:val="auto"/>
          <w:sz w:val="24"/>
          <w:szCs w:val="24"/>
          <w:highlight w:val="none"/>
        </w:rPr>
        <w:t>15</w:t>
      </w:r>
      <w:r>
        <w:rPr>
          <w:rFonts w:hint="eastAsia" w:ascii="宋体" w:hAnsi="宋体"/>
          <w:color w:val="auto"/>
          <w:sz w:val="24"/>
          <w:szCs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62CE9DF">
      <w:pPr>
        <w:snapToGrid w:val="0"/>
        <w:spacing w:line="360" w:lineRule="auto"/>
        <w:ind w:firstLine="482" w:firstLineChars="200"/>
        <w:rPr>
          <w:rFonts w:hint="eastAsia" w:ascii="宋体" w:hAnsi="宋体"/>
          <w:color w:val="auto"/>
          <w:sz w:val="24"/>
          <w:szCs w:val="24"/>
          <w:highlight w:val="none"/>
        </w:rPr>
      </w:pPr>
      <w:r>
        <w:rPr>
          <w:rFonts w:hint="eastAsia"/>
          <w:b/>
          <w:color w:val="auto"/>
          <w:sz w:val="24"/>
          <w:szCs w:val="24"/>
          <w:highlight w:val="none"/>
        </w:rPr>
        <w:t>现文：</w:t>
      </w:r>
      <w:r>
        <w:rPr>
          <w:rFonts w:hint="eastAsia" w:ascii="宋体" w:hAnsi="宋体"/>
          <w:color w:val="auto"/>
          <w:sz w:val="24"/>
          <w:szCs w:val="24"/>
          <w:highlight w:val="none"/>
        </w:rPr>
        <w:t>30</w:t>
      </w:r>
      <w:r>
        <w:rPr>
          <w:rFonts w:ascii="宋体" w:hAnsi="宋体"/>
          <w:color w:val="auto"/>
          <w:sz w:val="24"/>
          <w:szCs w:val="24"/>
          <w:highlight w:val="none"/>
        </w:rPr>
        <w:t>.2</w:t>
      </w:r>
      <w:r>
        <w:rPr>
          <w:rFonts w:hint="eastAsia" w:ascii="宋体" w:hAnsi="宋体"/>
          <w:color w:val="auto"/>
          <w:sz w:val="24"/>
          <w:highlight w:val="none"/>
        </w:rPr>
        <w:t>在申请支付预付款前</w:t>
      </w:r>
      <w:r>
        <w:rPr>
          <w:rFonts w:hint="eastAsia" w:ascii="宋体" w:hAnsi="宋体"/>
          <w:color w:val="auto"/>
          <w:sz w:val="24"/>
          <w:szCs w:val="24"/>
          <w:highlight w:val="none"/>
        </w:rPr>
        <w:t>，中标人未按上款的规定提交履约担保，招标人将解除中标通知书，</w:t>
      </w:r>
      <w:r>
        <w:rPr>
          <w:rFonts w:hint="eastAsia" w:ascii="宋体" w:hAnsi="宋体"/>
          <w:strike/>
          <w:color w:val="auto"/>
          <w:sz w:val="24"/>
          <w:szCs w:val="24"/>
          <w:highlight w:val="none"/>
        </w:rPr>
        <w:t>原中标人的投标保证金不予退还，</w:t>
      </w:r>
      <w:r>
        <w:rPr>
          <w:rFonts w:hint="eastAsia" w:ascii="宋体" w:hAnsi="宋体"/>
          <w:color w:val="auto"/>
          <w:sz w:val="24"/>
          <w:szCs w:val="24"/>
          <w:highlight w:val="none"/>
        </w:rPr>
        <w:t>且依法承担相应法律责任。原中标</w:t>
      </w:r>
      <w:r>
        <w:rPr>
          <w:color w:val="auto"/>
          <w:sz w:val="24"/>
          <w:highlight w:val="none"/>
        </w:rPr>
        <mc:AlternateContent>
          <mc:Choice Requires="wps">
            <w:drawing>
              <wp:anchor distT="0" distB="0" distL="114300" distR="114300" simplePos="0" relativeHeight="251697152" behindDoc="0" locked="0" layoutInCell="1" allowOverlap="1">
                <wp:simplePos x="0" y="0"/>
                <wp:positionH relativeFrom="column">
                  <wp:posOffset>-72390</wp:posOffset>
                </wp:positionH>
                <wp:positionV relativeFrom="paragraph">
                  <wp:posOffset>570865</wp:posOffset>
                </wp:positionV>
                <wp:extent cx="5826125" cy="0"/>
                <wp:effectExtent l="0" t="6350" r="0" b="6350"/>
                <wp:wrapNone/>
                <wp:docPr id="7" name="直接连接符 7"/>
                <wp:cNvGraphicFramePr/>
                <a:graphic xmlns:a="http://schemas.openxmlformats.org/drawingml/2006/main">
                  <a:graphicData uri="http://schemas.microsoft.com/office/word/2010/wordprocessingShape">
                    <wps:wsp>
                      <wps:cNvCnPr/>
                      <wps:spPr>
                        <a:xfrm>
                          <a:off x="889635" y="9005570"/>
                          <a:ext cx="582612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7pt;margin-top:44.95pt;height:0pt;width:458.75pt;z-index:251697152;mso-width-relative:page;mso-height-relative:page;" filled="f" stroked="t" coordsize="21600,21600" o:gfxdata="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X4t47YAAAACQEAAA8AAAAAAAAAAQAgAAAAIgAAAGRycy9kb3ducmV2LnhtbFBLAQIUABQA&#10;AAAIAIdO4kC0tsxR8AEAAL0DAAAOAAAAAAAAAAEAIAAAACcBAABkcnMvZTJvRG9jLnhtbFBLBQYA&#10;AAAABgAGAFkBAACJBQAAAAA=&#10;">
                <v:fill on="f" focussize="0,0"/>
                <v:stroke weight="1pt" color="#000000 [3213]" miterlimit="8" joinstyle="miter"/>
                <v:imagedata o:title=""/>
                <o:lock v:ext="edit" aspectratio="f"/>
              </v:line>
            </w:pict>
          </mc:Fallback>
        </mc:AlternateContent>
      </w:r>
      <w:r>
        <w:rPr>
          <w:rFonts w:hint="eastAsia" w:ascii="宋体" w:hAnsi="宋体"/>
          <w:color w:val="auto"/>
          <w:sz w:val="24"/>
          <w:szCs w:val="24"/>
          <w:highlight w:val="none"/>
        </w:rPr>
        <w:t>人给招标人造成</w:t>
      </w:r>
      <w:r>
        <w:rPr>
          <w:rFonts w:hint="eastAsia" w:ascii="宋体" w:hAnsi="宋体"/>
          <w:strike/>
          <w:color w:val="auto"/>
          <w:sz w:val="24"/>
          <w:szCs w:val="24"/>
          <w:highlight w:val="none"/>
        </w:rPr>
        <w:t>的</w:t>
      </w:r>
      <w:r>
        <w:rPr>
          <w:rFonts w:hint="eastAsia" w:ascii="宋体" w:hAnsi="宋体"/>
          <w:color w:val="auto"/>
          <w:sz w:val="24"/>
          <w:szCs w:val="24"/>
          <w:highlight w:val="none"/>
        </w:rPr>
        <w:t>损失</w:t>
      </w:r>
      <w:r>
        <w:rPr>
          <w:rFonts w:hint="eastAsia" w:ascii="宋体" w:hAnsi="宋体"/>
          <w:strike/>
          <w:color w:val="auto"/>
          <w:sz w:val="24"/>
          <w:szCs w:val="24"/>
          <w:highlight w:val="none"/>
        </w:rPr>
        <w:t>超过投标保证金数额</w:t>
      </w:r>
      <w:r>
        <w:rPr>
          <w:rFonts w:hint="eastAsia" w:ascii="宋体" w:hAnsi="宋体"/>
          <w:color w:val="auto"/>
          <w:sz w:val="24"/>
          <w:szCs w:val="24"/>
          <w:highlight w:val="none"/>
        </w:rPr>
        <w:t>的，还应当</w:t>
      </w:r>
      <w:r>
        <w:rPr>
          <w:rFonts w:hint="eastAsia" w:ascii="宋体" w:hAnsi="宋体"/>
          <w:strike/>
          <w:color w:val="auto"/>
          <w:sz w:val="24"/>
          <w:szCs w:val="24"/>
          <w:highlight w:val="none"/>
        </w:rPr>
        <w:t>对超过部分</w:t>
      </w:r>
      <w:r>
        <w:rPr>
          <w:rFonts w:hint="eastAsia" w:ascii="宋体" w:hAnsi="宋体"/>
          <w:color w:val="auto"/>
          <w:sz w:val="24"/>
          <w:szCs w:val="24"/>
          <w:highlight w:val="none"/>
        </w:rPr>
        <w:t>予以赔偿。原中标人有异议的，可以向人民法院起诉。</w:t>
      </w:r>
    </w:p>
    <w:p w14:paraId="34150BCB">
      <w:pPr>
        <w:spacing w:line="360" w:lineRule="auto"/>
        <w:ind w:firstLine="482" w:firstLineChars="200"/>
        <w:rPr>
          <w:b/>
          <w:color w:val="auto"/>
          <w:sz w:val="24"/>
          <w:szCs w:val="24"/>
          <w:highlight w:val="none"/>
        </w:rPr>
      </w:pPr>
      <w:r>
        <w:rPr>
          <w:rFonts w:hint="eastAsia"/>
          <w:b/>
          <w:color w:val="auto"/>
          <w:sz w:val="24"/>
          <w:szCs w:val="24"/>
          <w:highlight w:val="none"/>
        </w:rPr>
        <w:t>条款号： 33.3</w:t>
      </w:r>
      <w:r>
        <w:rPr>
          <w:b/>
          <w:color w:val="auto"/>
          <w:sz w:val="24"/>
          <w:szCs w:val="24"/>
          <w:highlight w:val="none"/>
        </w:rPr>
        <w:t xml:space="preserve">             </w:t>
      </w:r>
      <w:r>
        <w:rPr>
          <w:rFonts w:hint="eastAsia"/>
          <w:b/>
          <w:color w:val="auto"/>
          <w:sz w:val="24"/>
          <w:szCs w:val="24"/>
          <w:highlight w:val="none"/>
        </w:rPr>
        <w:t>修改类型：修改</w:t>
      </w:r>
    </w:p>
    <w:p w14:paraId="26724749">
      <w:pPr>
        <w:pStyle w:val="5"/>
        <w:spacing w:after="0" w:line="360" w:lineRule="auto"/>
        <w:ind w:firstLine="482" w:firstLineChars="200"/>
        <w:rPr>
          <w:rFonts w:ascii="宋体"/>
          <w:color w:val="auto"/>
          <w:sz w:val="24"/>
          <w:szCs w:val="24"/>
          <w:highlight w:val="none"/>
        </w:rPr>
      </w:pPr>
      <w:r>
        <w:rPr>
          <w:rFonts w:hint="eastAsia"/>
          <w:b/>
          <w:color w:val="auto"/>
          <w:sz w:val="24"/>
          <w:szCs w:val="24"/>
          <w:highlight w:val="none"/>
        </w:rPr>
        <w:t>原文：</w:t>
      </w:r>
      <w:r>
        <w:rPr>
          <w:rFonts w:hint="eastAsia" w:ascii="宋体"/>
          <w:color w:val="auto"/>
          <w:sz w:val="24"/>
          <w:szCs w:val="24"/>
          <w:highlight w:val="none"/>
        </w:rPr>
        <w:t>33.3投标人如在本项目中存在串通投标、弄虚作假骗取中标、行贿情形的，中标无效，行政监督部门将对其违法行为进行政处罚。</w:t>
      </w:r>
    </w:p>
    <w:p w14:paraId="09257B83">
      <w:pPr>
        <w:pStyle w:val="5"/>
        <w:spacing w:after="0" w:line="360" w:lineRule="auto"/>
        <w:ind w:firstLine="482" w:firstLineChars="200"/>
        <w:rPr>
          <w:rFonts w:ascii="宋体"/>
          <w:color w:val="auto"/>
          <w:sz w:val="24"/>
          <w:szCs w:val="24"/>
          <w:highlight w:val="none"/>
        </w:rPr>
      </w:pPr>
      <w:r>
        <w:rPr>
          <w:rFonts w:hint="eastAsia"/>
          <w:b/>
          <w:color w:val="auto"/>
          <w:sz w:val="24"/>
          <w:szCs w:val="24"/>
          <w:highlight w:val="none"/>
        </w:rPr>
        <w:t>现文：</w:t>
      </w:r>
      <w:r>
        <w:rPr>
          <w:rFonts w:hint="eastAsia" w:ascii="宋体"/>
          <w:color w:val="auto"/>
          <w:sz w:val="24"/>
          <w:szCs w:val="24"/>
          <w:highlight w:val="none"/>
        </w:rPr>
        <w:t>33.3投标人如在本项目中存在串通投标、弄虚作假骗取中标、行贿情形的，中标无效，行政监督部门将对其违法行为进行政处罚。</w:t>
      </w:r>
      <w:r>
        <w:rPr>
          <w:rFonts w:hint="eastAsia" w:ascii="宋体"/>
          <w:color w:val="auto"/>
          <w:sz w:val="24"/>
          <w:szCs w:val="24"/>
          <w:highlight w:val="none"/>
          <w:u w:val="single"/>
        </w:rPr>
        <w:t>该投标人将被招标人列入黑名单并限制其参与招标人后续项目的投标。</w:t>
      </w:r>
    </w:p>
    <w:p w14:paraId="7E0008B5">
      <w:pPr>
        <w:spacing w:line="360" w:lineRule="auto"/>
        <w:ind w:firstLine="537" w:firstLineChars="224"/>
        <w:rPr>
          <w:b/>
          <w:color w:val="auto"/>
          <w:sz w:val="24"/>
          <w:szCs w:val="24"/>
          <w:highlight w:val="none"/>
        </w:rPr>
      </w:pPr>
      <w:r>
        <w:rPr>
          <w:color w:val="auto"/>
          <w:sz w:val="24"/>
          <w:highlight w:val="none"/>
        </w:rPr>
        <mc:AlternateContent>
          <mc:Choice Requires="wps">
            <w:drawing>
              <wp:anchor distT="0" distB="0" distL="114300" distR="114300" simplePos="0" relativeHeight="251695104" behindDoc="0" locked="0" layoutInCell="1" allowOverlap="1">
                <wp:simplePos x="0" y="0"/>
                <wp:positionH relativeFrom="column">
                  <wp:posOffset>-635</wp:posOffset>
                </wp:positionH>
                <wp:positionV relativeFrom="paragraph">
                  <wp:posOffset>24765</wp:posOffset>
                </wp:positionV>
                <wp:extent cx="5803265" cy="0"/>
                <wp:effectExtent l="0" t="6350" r="0" b="6350"/>
                <wp:wrapNone/>
                <wp:docPr id="45" name="直接连接符 45"/>
                <wp:cNvGraphicFramePr/>
                <a:graphic xmlns:a="http://schemas.openxmlformats.org/drawingml/2006/main">
                  <a:graphicData uri="http://schemas.microsoft.com/office/word/2010/wordprocessingShape">
                    <wps:wsp>
                      <wps:cNvCnPr/>
                      <wps:spPr>
                        <a:xfrm>
                          <a:off x="899795" y="2823845"/>
                          <a:ext cx="580326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05pt;margin-top:1.95pt;height:0pt;width:456.95pt;z-index:251695104;mso-width-relative:page;mso-height-relative:page;" filled="f" stroked="t" coordsize="21600,21600" o:gfxdata="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thb09UAAAAFAQAADwAAAAAAAAABACAAAAAiAAAAZHJzL2Rvd25yZXYueG1sUEsBAhQAFAAA&#10;AAgAh07iQDpJwqTyAQAAvwMAAA4AAAAAAAAAAQAgAAAAJAEAAGRycy9lMm9Eb2MueG1sUEsFBgAA&#10;AAAGAAYAWQEAAIgFAAAAAA==&#10;">
                <v:fill on="f" focussize="0,0"/>
                <v:stroke weight="1pt" color="#000000 [3213]" miterlimit="8" joinstyle="miter"/>
                <v:imagedata o:title=""/>
                <o:lock v:ext="edit" aspectratio="f"/>
              </v:line>
            </w:pict>
          </mc:Fallback>
        </mc:AlternateContent>
      </w:r>
      <w:r>
        <w:rPr>
          <w:rFonts w:hint="eastAsia"/>
          <w:b/>
          <w:color w:val="auto"/>
          <w:sz w:val="24"/>
          <w:szCs w:val="24"/>
          <w:highlight w:val="none"/>
        </w:rPr>
        <w:t>条款号：34.1</w:t>
      </w:r>
      <w:r>
        <w:rPr>
          <w:b/>
          <w:color w:val="auto"/>
          <w:sz w:val="24"/>
          <w:szCs w:val="24"/>
          <w:highlight w:val="none"/>
        </w:rPr>
        <w:t xml:space="preserve">             </w:t>
      </w:r>
      <w:r>
        <w:rPr>
          <w:rFonts w:hint="eastAsia"/>
          <w:b/>
          <w:color w:val="auto"/>
          <w:sz w:val="24"/>
          <w:szCs w:val="24"/>
          <w:highlight w:val="none"/>
        </w:rPr>
        <w:t>修改类型：增加</w:t>
      </w:r>
    </w:p>
    <w:p w14:paraId="625B09D4">
      <w:pPr>
        <w:pStyle w:val="2"/>
        <w:spacing w:line="360" w:lineRule="auto"/>
        <w:rPr>
          <w:b/>
          <w:bCs/>
          <w:color w:val="auto"/>
          <w:sz w:val="24"/>
          <w:szCs w:val="24"/>
          <w:highlight w:val="none"/>
        </w:rPr>
      </w:pPr>
      <w:r>
        <w:rPr>
          <w:rFonts w:hint="eastAsia" w:ascii="宋体"/>
          <w:b/>
          <w:bCs/>
          <w:color w:val="auto"/>
          <w:sz w:val="24"/>
          <w:szCs w:val="24"/>
          <w:highlight w:val="none"/>
        </w:rPr>
        <w:t>现文：34.1交易服务费：根据广州市政府相关文件的规定，向广州交易集团有限公司（广州公共资源交易中心）交纳交易服务费。</w:t>
      </w:r>
    </w:p>
    <w:p w14:paraId="5994F071">
      <w:pPr>
        <w:spacing w:line="360" w:lineRule="auto"/>
        <w:ind w:firstLine="480" w:firstLineChars="200"/>
        <w:rPr>
          <w:b/>
          <w:color w:val="auto"/>
          <w:szCs w:val="21"/>
          <w:highlight w:val="none"/>
        </w:rPr>
      </w:pPr>
      <w:r>
        <w:rPr>
          <w:color w:val="auto"/>
          <w:sz w:val="24"/>
          <w:highlight w:val="none"/>
        </w:rPr>
        <mc:AlternateContent>
          <mc:Choice Requires="wps">
            <w:drawing>
              <wp:anchor distT="0" distB="0" distL="114300" distR="114300" simplePos="0" relativeHeight="251696128" behindDoc="0" locked="0" layoutInCell="1" allowOverlap="1">
                <wp:simplePos x="0" y="0"/>
                <wp:positionH relativeFrom="column">
                  <wp:posOffset>-48260</wp:posOffset>
                </wp:positionH>
                <wp:positionV relativeFrom="paragraph">
                  <wp:posOffset>17780</wp:posOffset>
                </wp:positionV>
                <wp:extent cx="5912485" cy="0"/>
                <wp:effectExtent l="0" t="6350" r="0" b="6350"/>
                <wp:wrapNone/>
                <wp:docPr id="46" name="直接连接符 46"/>
                <wp:cNvGraphicFramePr/>
                <a:graphic xmlns:a="http://schemas.openxmlformats.org/drawingml/2006/main">
                  <a:graphicData uri="http://schemas.microsoft.com/office/word/2010/wordprocessingShape">
                    <wps:wsp>
                      <wps:cNvCnPr/>
                      <wps:spPr>
                        <a:xfrm>
                          <a:off x="852170" y="3708400"/>
                          <a:ext cx="591248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8pt;margin-top:1.4pt;height:0pt;width:465.55pt;z-index:251696128;mso-width-relative:page;mso-height-relative:page;" filled="f" stroked="t" coordsize="21600,21600" o:gfxdata="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aNwczWAAAABgEAAA8AAAAAAAAAAQAgAAAAIgAAAGRycy9kb3ducmV2LnhtbFBLAQIUABQA&#10;AAAIAIdO4kBMH66u8gEAAL8DAAAOAAAAAAAAAAEAIAAAACUBAABkcnMvZTJvRG9jLnhtbFBLBQYA&#10;AAAABgAGAFkBAACJBQAAAAA=&#10;">
                <v:fill on="f" focussize="0,0"/>
                <v:stroke weight="1pt" color="#000000 [3213]" miterlimit="8" joinstyle="miter"/>
                <v:imagedata o:title=""/>
                <o:lock v:ext="edit" aspectratio="f"/>
              </v:line>
            </w:pict>
          </mc:Fallback>
        </mc:AlternateContent>
      </w:r>
      <w:r>
        <w:rPr>
          <w:rFonts w:hint="eastAsia"/>
          <w:b/>
          <w:color w:val="auto"/>
          <w:szCs w:val="21"/>
          <w:highlight w:val="none"/>
        </w:rPr>
        <w:t>注：以上修改，仅限于本范本中有可供选择条款的情形。</w:t>
      </w:r>
    </w:p>
    <w:p w14:paraId="41D90481">
      <w:pPr>
        <w:spacing w:line="360" w:lineRule="auto"/>
        <w:rPr>
          <w:color w:val="auto"/>
          <w:highlight w:val="none"/>
        </w:rPr>
      </w:pPr>
      <w:r>
        <w:rPr>
          <w:rFonts w:hint="eastAsia"/>
          <w:b/>
          <w:color w:val="auto"/>
          <w:szCs w:val="21"/>
          <w:highlight w:val="none"/>
        </w:rPr>
        <w:t>（以下无正文）</w:t>
      </w:r>
    </w:p>
    <w:p w14:paraId="3D8EA074">
      <w:pPr>
        <w:pStyle w:val="7"/>
        <w:rPr>
          <w:color w:val="auto"/>
          <w:highlight w:val="none"/>
        </w:rPr>
      </w:pPr>
      <w:r>
        <w:rPr>
          <w:color w:val="auto"/>
          <w:highlight w:val="none"/>
        </w:rPr>
        <w:br w:type="page"/>
      </w:r>
      <w:bookmarkStart w:id="13" w:name="_Toc19765"/>
      <w:bookmarkStart w:id="14" w:name="_Toc12778"/>
      <w:bookmarkStart w:id="15" w:name="_Toc2272548"/>
      <w:bookmarkStart w:id="16" w:name="_Toc21525492"/>
      <w:r>
        <w:rPr>
          <w:rFonts w:hint="eastAsia"/>
          <w:color w:val="auto"/>
          <w:highlight w:val="none"/>
        </w:rPr>
        <w:t>三、投标须知通用条款</w:t>
      </w:r>
      <w:bookmarkEnd w:id="13"/>
      <w:bookmarkEnd w:id="14"/>
      <w:bookmarkEnd w:id="15"/>
      <w:bookmarkEnd w:id="16"/>
    </w:p>
    <w:p w14:paraId="23AE68F2">
      <w:pPr>
        <w:pStyle w:val="8"/>
        <w:rPr>
          <w:rFonts w:hint="eastAsia"/>
          <w:color w:val="auto"/>
          <w:highlight w:val="none"/>
        </w:rPr>
      </w:pPr>
      <w:bookmarkStart w:id="17" w:name="_Toc21525493"/>
      <w:bookmarkStart w:id="18" w:name="_Toc2272549"/>
      <w:bookmarkStart w:id="19" w:name="_Toc752"/>
      <w:bookmarkStart w:id="20" w:name="_Toc821"/>
      <w:r>
        <w:rPr>
          <w:rFonts w:hint="eastAsia"/>
          <w:color w:val="auto"/>
          <w:highlight w:val="none"/>
        </w:rPr>
        <w:t>（一）总则</w:t>
      </w:r>
      <w:bookmarkEnd w:id="17"/>
      <w:bookmarkEnd w:id="18"/>
      <w:bookmarkEnd w:id="19"/>
      <w:bookmarkEnd w:id="20"/>
    </w:p>
    <w:p w14:paraId="74FCC77B">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、定义</w:t>
      </w:r>
    </w:p>
    <w:p w14:paraId="207DA309">
      <w:pPr>
        <w:pStyle w:val="5"/>
        <w:spacing w:after="0" w:line="360" w:lineRule="auto"/>
        <w:ind w:firstLine="480" w:firstLineChars="200"/>
        <w:rPr>
          <w:rFonts w:ascii="宋体"/>
          <w:b/>
          <w:bCs/>
          <w:color w:val="auto"/>
          <w:sz w:val="24"/>
          <w:highlight w:val="none"/>
        </w:rPr>
      </w:pPr>
      <w:r>
        <w:rPr>
          <w:rFonts w:hint="eastAsia" w:ascii="宋体" w:hAnsi="宋体"/>
          <w:color w:val="auto"/>
          <w:sz w:val="24"/>
          <w:highlight w:val="none"/>
        </w:rPr>
        <w:t>本招标文件使用的下列词语具有如下规定的意义：</w:t>
      </w:r>
    </w:p>
    <w:p w14:paraId="0EE452BC">
      <w:pPr>
        <w:pStyle w:val="5"/>
        <w:spacing w:after="0" w:line="360" w:lineRule="auto"/>
        <w:ind w:firstLine="480" w:firstLineChars="200"/>
        <w:rPr>
          <w:rFonts w:ascii="宋体"/>
          <w:b/>
          <w:bCs/>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）“招标人”（即发包人）、“项目建设管理单位</w:t>
      </w:r>
      <w:r>
        <w:rPr>
          <w:rFonts w:hint="eastAsia" w:ascii="宋体"/>
          <w:color w:val="auto"/>
          <w:sz w:val="24"/>
          <w:highlight w:val="none"/>
        </w:rPr>
        <w:t>”</w:t>
      </w:r>
      <w:r>
        <w:rPr>
          <w:rFonts w:hint="eastAsia" w:ascii="宋体" w:hAnsi="宋体"/>
          <w:color w:val="auto"/>
          <w:sz w:val="24"/>
          <w:highlight w:val="none"/>
        </w:rPr>
        <w:t>（或称“项目代建单位”）、“招标代理”、“设计单位”、“监理单位”均已在投标须知前附表中列明。</w:t>
      </w:r>
    </w:p>
    <w:p w14:paraId="6846AE31">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）“投标人”指向招标人提交投标文件的当事人。</w:t>
      </w:r>
      <w:r>
        <w:rPr>
          <w:rFonts w:ascii="宋体" w:hAnsi="宋体"/>
          <w:color w:val="auto"/>
          <w:sz w:val="24"/>
          <w:highlight w:val="none"/>
        </w:rPr>
        <w:t xml:space="preserve">   </w:t>
      </w:r>
    </w:p>
    <w:p w14:paraId="7A957AF8">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）“承包人”指其投标被招标人接受并与其签订承包合同的当事人。</w:t>
      </w:r>
    </w:p>
    <w:p w14:paraId="539B6EE2">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）“招标文件”指由招标代理发出的本文件（包括全部章节、附件）及招标答疑会会议纪要和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14:paraId="0CF9B86F">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）“投标文件”指投标人根据本项目招标文件向招标人提交的全部文件。</w:t>
      </w:r>
    </w:p>
    <w:p w14:paraId="6325361D">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）“书面形式”指打字或印刷的文件和数据电文（包括电报、电传、传真、电子数据交换和电子邮件）。</w:t>
      </w:r>
    </w:p>
    <w:p w14:paraId="2599F4CB">
      <w:pPr>
        <w:spacing w:line="360" w:lineRule="auto"/>
        <w:ind w:firstLine="482" w:firstLineChars="200"/>
        <w:rPr>
          <w:rFonts w:asci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14:paraId="1E50C5B2">
      <w:pPr>
        <w:spacing w:line="360" w:lineRule="auto"/>
        <w:ind w:firstLine="480" w:firstLineChars="200"/>
        <w:rPr>
          <w:rFonts w:asci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14:paraId="1BBD0F1D">
      <w:pPr>
        <w:spacing w:line="360" w:lineRule="auto"/>
        <w:ind w:firstLine="480" w:firstLineChars="200"/>
        <w:rPr>
          <w:rFonts w:asci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工程名称、招标项目名称、建设地点、建设规模、承包方式、质量标准、招标范围、工期要求等均在投标须知前附表中列明。</w:t>
      </w:r>
    </w:p>
    <w:p w14:paraId="3EF99005">
      <w:pPr>
        <w:spacing w:line="360" w:lineRule="auto"/>
        <w:ind w:firstLine="480" w:firstLineChars="200"/>
        <w:rPr>
          <w:rFonts w:asci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14:paraId="0716EA69">
      <w:pPr>
        <w:spacing w:line="360" w:lineRule="auto"/>
        <w:ind w:firstLine="480" w:firstLineChars="200"/>
        <w:rPr>
          <w:rFonts w:hint="eastAsia" w:ascii="宋体" w:hAnsi="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工程施工特点：详见招标图纸。</w:t>
      </w:r>
    </w:p>
    <w:p w14:paraId="152B626A">
      <w:pPr>
        <w:spacing w:line="360" w:lineRule="auto"/>
        <w:ind w:firstLine="480" w:firstLineChars="200"/>
        <w:rPr>
          <w:rFonts w:hint="eastAsia" w:ascii="宋体" w:hAnsi="宋体"/>
          <w:bCs/>
          <w:color w:val="auto"/>
          <w:sz w:val="24"/>
          <w:highlight w:val="none"/>
          <w:u w:val="single"/>
        </w:rPr>
      </w:pPr>
      <w:r>
        <w:rPr>
          <w:rFonts w:hint="eastAsia" w:ascii="宋体" w:hAnsi="宋体"/>
          <w:bCs/>
          <w:color w:val="auto"/>
          <w:sz w:val="24"/>
          <w:highlight w:val="none"/>
          <w:u w:val="single"/>
        </w:rPr>
        <w:t>2.5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3C6B2CB0">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14:paraId="769E2DE8">
      <w:pPr>
        <w:spacing w:line="360" w:lineRule="auto"/>
        <w:ind w:firstLine="480" w:firstLineChars="200"/>
        <w:rPr>
          <w:rFonts w:ascii="宋体"/>
          <w:bCs/>
          <w:color w:val="auto"/>
          <w:sz w:val="24"/>
          <w:highlight w:val="none"/>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p>
    <w:p w14:paraId="2D54128C">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14:paraId="0D5842AE">
      <w:pPr>
        <w:spacing w:line="360" w:lineRule="auto"/>
        <w:ind w:firstLine="480" w:firstLineChars="200"/>
        <w:rPr>
          <w:rFonts w:hint="eastAsia" w:ascii="宋体" w:hAnsi="宋体"/>
          <w:bCs/>
          <w:color w:val="auto"/>
          <w:sz w:val="24"/>
          <w:highlight w:val="none"/>
        </w:rPr>
      </w:pPr>
      <w:r>
        <w:rPr>
          <w:rFonts w:ascii="宋体" w:hAnsi="宋体"/>
          <w:bCs/>
          <w:color w:val="auto"/>
          <w:sz w:val="24"/>
          <w:highlight w:val="none"/>
        </w:rPr>
        <w:t>4.1</w:t>
      </w:r>
      <w:r>
        <w:rPr>
          <w:rFonts w:hint="eastAsia" w:ascii="宋体" w:hAnsi="宋体"/>
          <w:bCs/>
          <w:color w:val="auto"/>
          <w:sz w:val="24"/>
          <w:highlight w:val="none"/>
        </w:rPr>
        <w:t>投标人合格条件详见本项目招标公告。</w:t>
      </w:r>
    </w:p>
    <w:p w14:paraId="0E02BB12">
      <w:pPr>
        <w:pStyle w:val="20"/>
        <w:ind w:firstLine="480" w:firstLineChars="200"/>
        <w:rPr>
          <w:color w:val="auto"/>
          <w:highlight w:val="none"/>
        </w:rPr>
      </w:pPr>
      <w:r>
        <w:rPr>
          <w:rFonts w:hint="eastAsia" w:hAnsi="宋体"/>
          <w:bCs/>
          <w:color w:val="auto"/>
          <w:sz w:val="24"/>
          <w:highlight w:val="none"/>
        </w:rPr>
        <w:t>4.2资格审查方式详见本项目招标公告。</w:t>
      </w:r>
    </w:p>
    <w:p w14:paraId="19CF5B50">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14:paraId="42EEC143">
      <w:pPr>
        <w:spacing w:line="360" w:lineRule="auto"/>
        <w:ind w:firstLine="480" w:firstLineChars="200"/>
        <w:rPr>
          <w:rFonts w:hint="eastAsia" w:ascii="宋体" w:hAnsi="宋体"/>
          <w:color w:val="auto"/>
          <w:sz w:val="24"/>
          <w:highlight w:val="none"/>
          <w:u w:val="single"/>
        </w:rPr>
      </w:pPr>
      <w:r>
        <w:rPr>
          <w:rFonts w:ascii="宋体" w:hAnsi="宋体"/>
          <w:bCs/>
          <w:color w:val="auto"/>
          <w:sz w:val="24"/>
          <w:highlight w:val="none"/>
        </w:rPr>
        <w:t xml:space="preserve">5.1 </w:t>
      </w:r>
      <w:r>
        <w:rPr>
          <w:rFonts w:hint="eastAsia" w:ascii="宋体" w:hAnsi="宋体"/>
          <w:bCs/>
          <w:color w:val="auto"/>
          <w:sz w:val="24"/>
          <w:highlight w:val="none"/>
        </w:rPr>
        <w:t>投标人应按本投标须知前附表第</w:t>
      </w:r>
      <w:r>
        <w:rPr>
          <w:rFonts w:ascii="宋体" w:hAnsi="宋体"/>
          <w:bCs/>
          <w:color w:val="auto"/>
          <w:sz w:val="24"/>
          <w:highlight w:val="none"/>
        </w:rPr>
        <w:t>1</w:t>
      </w:r>
      <w:r>
        <w:rPr>
          <w:rFonts w:hint="eastAsia" w:ascii="宋体" w:hAnsi="宋体"/>
          <w:bCs/>
          <w:color w:val="auto"/>
          <w:sz w:val="24"/>
          <w:highlight w:val="none"/>
        </w:rPr>
        <w:t>2项所述时间和要求自行对工程现场及周围环境进行踏勘，</w:t>
      </w:r>
      <w:r>
        <w:rPr>
          <w:rFonts w:hint="eastAsia" w:ascii="宋体" w:hAnsi="宋体"/>
          <w:color w:val="auto"/>
          <w:sz w:val="24"/>
          <w:highlight w:val="none"/>
        </w:rPr>
        <w:t>投标人应充分重视和仔细地进行这种考察，</w:t>
      </w:r>
      <w:r>
        <w:rPr>
          <w:rFonts w:hint="eastAsia" w:ascii="宋体" w:hAnsi="宋体"/>
          <w:bCs/>
          <w:color w:val="auto"/>
          <w:sz w:val="24"/>
          <w:highlight w:val="none"/>
        </w:rPr>
        <w:t>以便投标人获取</w:t>
      </w:r>
      <w:r>
        <w:rPr>
          <w:rFonts w:hint="eastAsia" w:ascii="宋体" w:hAnsi="宋体"/>
          <w:color w:val="auto"/>
          <w:sz w:val="24"/>
          <w:highlight w:val="none"/>
        </w:rPr>
        <w:t>那些须投标人自己负责的</w:t>
      </w:r>
      <w:r>
        <w:rPr>
          <w:rFonts w:hint="eastAsia" w:ascii="宋体" w:hAnsi="宋体"/>
          <w:bCs/>
          <w:color w:val="auto"/>
          <w:sz w:val="24"/>
          <w:highlight w:val="none"/>
        </w:rPr>
        <w:t>有关编制投标文件和签署合同所涉及现场所有的资料。</w:t>
      </w:r>
      <w:r>
        <w:rPr>
          <w:rFonts w:hint="eastAsia" w:ascii="宋体" w:hAnsi="宋体"/>
          <w:bCs/>
          <w:color w:val="auto"/>
          <w:sz w:val="24"/>
          <w:highlight w:val="none"/>
          <w:u w:val="single"/>
        </w:rPr>
        <w:t>投标人不进行踏勘的，视为已熟知现场条件，自行承担相关风险。</w:t>
      </w:r>
      <w:r>
        <w:rPr>
          <w:rFonts w:hint="eastAsia" w:ascii="宋体" w:hAnsi="宋体"/>
          <w:color w:val="auto"/>
          <w:sz w:val="24"/>
          <w:highlight w:val="none"/>
        </w:rPr>
        <w:t>一旦中标，这种考察即被认为其结果已在中标文件中得到充分反映。</w:t>
      </w:r>
      <w:r>
        <w:rPr>
          <w:rFonts w:hint="eastAsia" w:ascii="宋体" w:hAnsi="宋体"/>
          <w:color w:val="auto"/>
          <w:sz w:val="24"/>
          <w:highlight w:val="none"/>
          <w:u w:val="single"/>
        </w:rPr>
        <w:t>招标人不受理因投标人缺乏对现场条件的了解或掌握而提出的任何索赔。</w:t>
      </w:r>
    </w:p>
    <w:p w14:paraId="5C78FFD4">
      <w:pPr>
        <w:spacing w:line="360" w:lineRule="auto"/>
        <w:ind w:firstLine="480" w:firstLineChars="200"/>
        <w:rPr>
          <w:rFonts w:ascii="宋体"/>
          <w:bCs/>
          <w:color w:val="auto"/>
          <w:sz w:val="24"/>
          <w:highlight w:val="none"/>
          <w:u w:val="single"/>
        </w:rPr>
      </w:pPr>
      <w:r>
        <w:rPr>
          <w:rFonts w:hint="eastAsia" w:ascii="宋体" w:hAnsi="宋体"/>
          <w:color w:val="auto"/>
          <w:sz w:val="24"/>
          <w:highlight w:val="none"/>
        </w:rPr>
        <w:t>5.2投标人</w:t>
      </w:r>
      <w:r>
        <w:rPr>
          <w:rFonts w:hint="eastAsia" w:ascii="宋体" w:hAnsi="宋体"/>
          <w:bCs/>
          <w:color w:val="auto"/>
          <w:sz w:val="24"/>
          <w:highlight w:val="none"/>
        </w:rPr>
        <w:t>踏勘</w:t>
      </w:r>
      <w:r>
        <w:rPr>
          <w:rFonts w:hint="eastAsia" w:ascii="宋体" w:hAnsi="宋体"/>
          <w:color w:val="auto"/>
          <w:sz w:val="24"/>
          <w:highlight w:val="none"/>
        </w:rPr>
        <w:t>现场的费用自理。</w:t>
      </w:r>
    </w:p>
    <w:p w14:paraId="28FB55B6">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5.</w:t>
      </w:r>
      <w:r>
        <w:rPr>
          <w:rFonts w:hint="eastAsia" w:ascii="宋体" w:hAnsi="宋体"/>
          <w:bCs/>
          <w:color w:val="auto"/>
          <w:sz w:val="24"/>
          <w:highlight w:val="none"/>
        </w:rPr>
        <w:t>3</w:t>
      </w:r>
      <w:r>
        <w:rPr>
          <w:rFonts w:ascii="宋体" w:hAnsi="宋体"/>
          <w:bCs/>
          <w:color w:val="auto"/>
          <w:sz w:val="24"/>
          <w:highlight w:val="none"/>
        </w:rPr>
        <w:t xml:space="preserve"> </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14:paraId="4D13FDF5">
      <w:pPr>
        <w:spacing w:line="360" w:lineRule="auto"/>
        <w:ind w:firstLine="480" w:firstLineChars="200"/>
        <w:rPr>
          <w:rFonts w:hint="eastAsia" w:ascii="宋体" w:hAnsi="宋体"/>
          <w:bCs/>
          <w:color w:val="auto"/>
          <w:sz w:val="24"/>
          <w:highlight w:val="none"/>
        </w:rPr>
      </w:pPr>
      <w:r>
        <w:rPr>
          <w:rFonts w:ascii="宋体" w:hAnsi="宋体"/>
          <w:bCs/>
          <w:color w:val="auto"/>
          <w:sz w:val="24"/>
          <w:highlight w:val="none"/>
        </w:rPr>
        <w:t>5.</w:t>
      </w:r>
      <w:r>
        <w:rPr>
          <w:rFonts w:hint="eastAsia" w:ascii="宋体" w:hAnsi="宋体"/>
          <w:bCs/>
          <w:color w:val="auto"/>
          <w:sz w:val="24"/>
          <w:highlight w:val="none"/>
        </w:rPr>
        <w:t>4</w:t>
      </w:r>
      <w:r>
        <w:rPr>
          <w:rFonts w:ascii="宋体" w:hAnsi="宋体"/>
          <w:bCs/>
          <w:color w:val="auto"/>
          <w:sz w:val="24"/>
          <w:highlight w:val="none"/>
        </w:rPr>
        <w:t xml:space="preserve"> </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14:paraId="13028DDA">
      <w:pPr>
        <w:pStyle w:val="20"/>
        <w:spacing w:line="360" w:lineRule="auto"/>
        <w:rPr>
          <w:color w:val="auto"/>
          <w:highlight w:val="none"/>
        </w:rPr>
      </w:pPr>
      <w:r>
        <w:rPr>
          <w:rFonts w:hint="eastAsia" w:hAnsi="宋体"/>
          <w:bCs/>
          <w:color w:val="auto"/>
          <w:sz w:val="24"/>
          <w:highlight w:val="none"/>
        </w:rPr>
        <w:t xml:space="preserve">    5.4由于投标人没有对工程现场及周围环境进行踏勘，造成投标失误的，由投标人自行承担责任和损失。</w:t>
      </w:r>
    </w:p>
    <w:p w14:paraId="6408A29C">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14:paraId="3A532046">
      <w:pPr>
        <w:tabs>
          <w:tab w:val="left" w:pos="105"/>
        </w:tabs>
        <w:spacing w:line="360" w:lineRule="auto"/>
        <w:ind w:firstLine="480" w:firstLineChars="200"/>
        <w:rPr>
          <w:rFonts w:hint="eastAsia" w:ascii="宋体" w:hAnsi="宋体"/>
          <w:bCs/>
          <w:color w:val="auto"/>
          <w:sz w:val="24"/>
          <w:highlight w:val="none"/>
        </w:rPr>
      </w:pPr>
      <w:r>
        <w:rPr>
          <w:rFonts w:ascii="宋体" w:hAnsi="宋体"/>
          <w:bCs/>
          <w:color w:val="auto"/>
          <w:sz w:val="24"/>
          <w:highlight w:val="none"/>
        </w:rPr>
        <w:t>6.1</w:t>
      </w:r>
      <w:r>
        <w:rPr>
          <w:rFonts w:hint="eastAsia" w:ascii="宋体" w:hAnsi="宋体"/>
          <w:bCs/>
          <w:color w:val="auto"/>
          <w:sz w:val="24"/>
          <w:highlight w:val="none"/>
        </w:rPr>
        <w:t>投标人准备和参加投标活动发生的费用自理。</w:t>
      </w:r>
    </w:p>
    <w:p w14:paraId="220A02F6">
      <w:pPr>
        <w:tabs>
          <w:tab w:val="left" w:pos="105"/>
        </w:tabs>
        <w:spacing w:line="360" w:lineRule="auto"/>
        <w:ind w:firstLine="480" w:firstLineChars="200"/>
        <w:rPr>
          <w:rFonts w:ascii="宋体"/>
          <w:bCs/>
          <w:color w:val="auto"/>
          <w:sz w:val="24"/>
          <w:highlight w:val="none"/>
        </w:rPr>
      </w:pPr>
      <w:r>
        <w:rPr>
          <w:rFonts w:hint="eastAsia" w:ascii="宋体" w:hAnsi="宋体"/>
          <w:bCs/>
          <w:color w:val="auto"/>
          <w:sz w:val="24"/>
          <w:highlight w:val="none"/>
        </w:rPr>
        <w:t>6.2</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14:paraId="75204F8F">
      <w:pPr>
        <w:pStyle w:val="8"/>
        <w:rPr>
          <w:rFonts w:hint="eastAsia"/>
          <w:color w:val="auto"/>
          <w:highlight w:val="none"/>
        </w:rPr>
      </w:pPr>
      <w:bookmarkStart w:id="21" w:name="_Toc5661"/>
      <w:bookmarkStart w:id="22" w:name="_Toc21525494"/>
      <w:bookmarkStart w:id="23" w:name="_Toc2272550"/>
      <w:bookmarkStart w:id="24" w:name="_Toc19361"/>
      <w:r>
        <w:rPr>
          <w:rFonts w:hint="eastAsia"/>
          <w:color w:val="auto"/>
          <w:highlight w:val="none"/>
        </w:rPr>
        <w:t>（二）招标文件</w:t>
      </w:r>
      <w:bookmarkEnd w:id="21"/>
      <w:bookmarkEnd w:id="22"/>
      <w:bookmarkEnd w:id="23"/>
      <w:bookmarkEnd w:id="24"/>
    </w:p>
    <w:p w14:paraId="739929FE">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14:paraId="55ECD7A7">
      <w:pPr>
        <w:spacing w:line="360" w:lineRule="auto"/>
        <w:ind w:firstLine="480" w:firstLineChars="200"/>
        <w:rPr>
          <w:rFonts w:ascii="宋体"/>
          <w:color w:val="auto"/>
          <w:sz w:val="24"/>
          <w:highlight w:val="none"/>
          <w:u w:val="single"/>
        </w:rPr>
      </w:pPr>
      <w:r>
        <w:rPr>
          <w:rFonts w:ascii="宋体" w:hAnsi="宋体"/>
          <w:bCs/>
          <w:color w:val="auto"/>
          <w:sz w:val="24"/>
          <w:highlight w:val="none"/>
          <w:u w:val="single"/>
        </w:rPr>
        <w:t>7.1</w:t>
      </w:r>
      <w:r>
        <w:rPr>
          <w:rFonts w:hint="eastAsia" w:ascii="宋体" w:hAnsi="宋体"/>
          <w:color w:val="auto"/>
          <w:sz w:val="24"/>
          <w:highlight w:val="none"/>
          <w:u w:val="single"/>
        </w:rPr>
        <w:t>本招标文件包括下列文件，以及所有按本须知第</w:t>
      </w:r>
      <w:r>
        <w:rPr>
          <w:rFonts w:ascii="宋体" w:hAnsi="宋体"/>
          <w:color w:val="auto"/>
          <w:sz w:val="24"/>
          <w:highlight w:val="none"/>
          <w:u w:val="single"/>
        </w:rPr>
        <w:t>8</w:t>
      </w:r>
      <w:r>
        <w:rPr>
          <w:rFonts w:hint="eastAsia" w:ascii="宋体" w:hAnsi="宋体"/>
          <w:color w:val="auto"/>
          <w:sz w:val="24"/>
          <w:highlight w:val="none"/>
          <w:u w:val="single"/>
        </w:rPr>
        <w:t>条发出的招标答疑会会议纪要和按本须知第</w:t>
      </w:r>
      <w:r>
        <w:rPr>
          <w:rFonts w:ascii="宋体" w:hAnsi="宋体"/>
          <w:color w:val="auto"/>
          <w:sz w:val="24"/>
          <w:highlight w:val="none"/>
          <w:u w:val="single"/>
        </w:rPr>
        <w:t>9</w:t>
      </w:r>
      <w:r>
        <w:rPr>
          <w:rFonts w:hint="eastAsia" w:ascii="宋体" w:hAnsi="宋体"/>
          <w:color w:val="auto"/>
          <w:sz w:val="24"/>
          <w:highlight w:val="none"/>
          <w:u w:val="single"/>
        </w:rPr>
        <w:t>条发出的澄清或修改：</w:t>
      </w:r>
    </w:p>
    <w:p w14:paraId="7A1A0E89">
      <w:pPr>
        <w:pStyle w:val="5"/>
        <w:numPr>
          <w:ilvl w:val="0"/>
          <w:numId w:val="5"/>
        </w:numPr>
        <w:spacing w:after="0" w:line="360" w:lineRule="auto"/>
        <w:ind w:firstLine="480" w:firstLineChars="200"/>
        <w:rPr>
          <w:rFonts w:hint="eastAsia" w:ascii="宋体" w:hAnsi="宋体"/>
          <w:bCs/>
          <w:color w:val="auto"/>
          <w:sz w:val="24"/>
          <w:highlight w:val="none"/>
          <w:u w:val="single"/>
        </w:rPr>
      </w:pPr>
      <w:r>
        <w:rPr>
          <w:rFonts w:hint="eastAsia" w:ascii="宋体" w:hAnsi="宋体"/>
          <w:bCs/>
          <w:color w:val="auto"/>
          <w:sz w:val="24"/>
          <w:highlight w:val="none"/>
          <w:u w:val="single"/>
        </w:rPr>
        <w:t>招标公告</w:t>
      </w:r>
    </w:p>
    <w:p w14:paraId="54AC9B0C">
      <w:pPr>
        <w:pStyle w:val="5"/>
        <w:numPr>
          <w:ilvl w:val="0"/>
          <w:numId w:val="5"/>
        </w:numPr>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u w:val="single"/>
        </w:rPr>
        <w:t>投标须知</w:t>
      </w:r>
    </w:p>
    <w:p w14:paraId="7CC5102B">
      <w:pPr>
        <w:pStyle w:val="5"/>
        <w:numPr>
          <w:ilvl w:val="0"/>
          <w:numId w:val="5"/>
        </w:numPr>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u w:val="single"/>
        </w:rPr>
        <w:t>开标、评标及定标办法</w:t>
      </w:r>
    </w:p>
    <w:p w14:paraId="2F0A48A5">
      <w:pPr>
        <w:pStyle w:val="5"/>
        <w:numPr>
          <w:ilvl w:val="0"/>
          <w:numId w:val="5"/>
        </w:numPr>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u w:val="single"/>
        </w:rPr>
        <w:t>合同条款（另册）</w:t>
      </w:r>
    </w:p>
    <w:p w14:paraId="3891A1B5">
      <w:pPr>
        <w:pStyle w:val="5"/>
        <w:numPr>
          <w:ilvl w:val="0"/>
          <w:numId w:val="5"/>
        </w:numPr>
        <w:spacing w:after="0"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投标文件格式</w:t>
      </w:r>
    </w:p>
    <w:p w14:paraId="45F56655">
      <w:pPr>
        <w:pStyle w:val="5"/>
        <w:numPr>
          <w:ilvl w:val="0"/>
          <w:numId w:val="5"/>
        </w:numPr>
        <w:spacing w:after="0"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技术条件（工程建设标准）</w:t>
      </w:r>
    </w:p>
    <w:p w14:paraId="7263B2F4">
      <w:pPr>
        <w:pStyle w:val="5"/>
        <w:numPr>
          <w:ilvl w:val="0"/>
          <w:numId w:val="5"/>
        </w:numPr>
        <w:spacing w:after="0"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图纸及勘察资料（另册）</w:t>
      </w:r>
    </w:p>
    <w:p w14:paraId="75D51FF1">
      <w:pPr>
        <w:pStyle w:val="5"/>
        <w:numPr>
          <w:ilvl w:val="0"/>
          <w:numId w:val="5"/>
        </w:numPr>
        <w:spacing w:after="0" w:line="360" w:lineRule="auto"/>
        <w:ind w:firstLine="480" w:firstLineChars="200"/>
        <w:rPr>
          <w:rFonts w:hint="eastAsia" w:ascii="宋体" w:hAnsi="宋体"/>
          <w:color w:val="auto"/>
          <w:sz w:val="24"/>
          <w:highlight w:val="none"/>
          <w:u w:val="single"/>
        </w:rPr>
      </w:pPr>
      <w:r>
        <w:rPr>
          <w:rFonts w:hint="eastAsia" w:ascii="宋体" w:hAnsi="宋体"/>
          <w:bCs/>
          <w:color w:val="auto"/>
          <w:sz w:val="24"/>
          <w:highlight w:val="none"/>
          <w:u w:val="single"/>
        </w:rPr>
        <w:t>招标</w:t>
      </w:r>
      <w:r>
        <w:rPr>
          <w:rFonts w:hint="eastAsia" w:ascii="宋体" w:hAnsi="宋体"/>
          <w:color w:val="auto"/>
          <w:sz w:val="24"/>
          <w:highlight w:val="none"/>
          <w:u w:val="single"/>
        </w:rPr>
        <w:t>工程量清单（另册）</w:t>
      </w:r>
    </w:p>
    <w:p w14:paraId="0C375092">
      <w:pPr>
        <w:pStyle w:val="5"/>
        <w:numPr>
          <w:ilvl w:val="0"/>
          <w:numId w:val="5"/>
        </w:numPr>
        <w:spacing w:after="0"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最高投标限价</w:t>
      </w:r>
    </w:p>
    <w:p w14:paraId="411AB9CB">
      <w:pPr>
        <w:pStyle w:val="5"/>
        <w:spacing w:after="0" w:line="360" w:lineRule="auto"/>
        <w:ind w:left="-2" w:firstLine="480" w:firstLineChars="200"/>
        <w:rPr>
          <w:rFonts w:hint="eastAsia" w:ascii="楷体" w:hAnsi="楷体" w:eastAsia="楷体" w:cs="楷体"/>
          <w:color w:val="auto"/>
          <w:kern w:val="0"/>
          <w:sz w:val="24"/>
          <w:szCs w:val="24"/>
          <w:highlight w:val="none"/>
        </w:rPr>
      </w:pPr>
      <w:r>
        <w:rPr>
          <w:rFonts w:hint="eastAsia" w:ascii="楷体" w:hAnsi="楷体" w:eastAsia="楷体" w:cs="楷体"/>
          <w:color w:val="auto"/>
          <w:sz w:val="24"/>
          <w:highlight w:val="none"/>
        </w:rPr>
        <w:t>注：</w:t>
      </w:r>
      <w:r>
        <w:rPr>
          <w:rFonts w:hint="eastAsia" w:ascii="楷体" w:hAnsi="楷体" w:eastAsia="楷体" w:cs="楷体"/>
          <w:color w:val="auto"/>
          <w:kern w:val="0"/>
          <w:sz w:val="24"/>
          <w:szCs w:val="24"/>
          <w:highlight w:val="none"/>
        </w:rPr>
        <w:t>招标人应在技术条件（工程建设标准）中明确如下内容：</w:t>
      </w:r>
    </w:p>
    <w:p w14:paraId="395688E6">
      <w:pPr>
        <w:pStyle w:val="5"/>
        <w:spacing w:after="0" w:line="360" w:lineRule="auto"/>
        <w:ind w:left="420" w:leftChars="200" w:firstLine="0"/>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1.施工现场建筑垃圾源头减量的具体要求和建筑垃圾综合利用产品的使用要求。</w:t>
      </w:r>
    </w:p>
    <w:p w14:paraId="47CEA576">
      <w:pPr>
        <w:pStyle w:val="5"/>
        <w:spacing w:after="0" w:line="360" w:lineRule="auto"/>
        <w:ind w:left="420" w:leftChars="200" w:firstLine="0"/>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2.占道施工相关告知、围蔽、修复等要求。</w:t>
      </w:r>
    </w:p>
    <w:p w14:paraId="5DAE8BC3">
      <w:pPr>
        <w:pStyle w:val="5"/>
        <w:spacing w:after="0" w:line="360" w:lineRule="auto"/>
        <w:ind w:left="420" w:leftChars="200" w:firstLine="0"/>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3.对照《广州市智能建造技术清单（1.0版）》对招标项目智能建造提出要求。</w:t>
      </w:r>
    </w:p>
    <w:p w14:paraId="0C34A743">
      <w:pPr>
        <w:pStyle w:val="5"/>
        <w:spacing w:after="0" w:line="360" w:lineRule="auto"/>
        <w:ind w:left="420" w:leftChars="200" w:firstLine="0"/>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4.招标人对中标人参与“百千万工程”的具体要求。</w:t>
      </w:r>
    </w:p>
    <w:p w14:paraId="5B016CA3">
      <w:pPr>
        <w:pStyle w:val="5"/>
        <w:spacing w:after="0" w:line="360" w:lineRule="auto"/>
        <w:ind w:firstLine="480" w:firstLineChars="200"/>
        <w:rPr>
          <w:rFonts w:hint="eastAsia" w:ascii="楷体" w:hAnsi="楷体" w:eastAsia="楷体" w:cs="楷体"/>
          <w:strike/>
          <w:color w:val="auto"/>
          <w:kern w:val="0"/>
          <w:sz w:val="24"/>
          <w:szCs w:val="24"/>
          <w:highlight w:val="none"/>
        </w:rPr>
      </w:pPr>
      <w:r>
        <w:rPr>
          <w:rFonts w:hint="eastAsia" w:ascii="楷体" w:hAnsi="楷体" w:eastAsia="楷体" w:cs="楷体"/>
          <w:strike/>
          <w:color w:val="auto"/>
          <w:kern w:val="0"/>
          <w:sz w:val="24"/>
          <w:szCs w:val="24"/>
          <w:highlight w:val="none"/>
        </w:rPr>
        <w:t>5.在建筑废弃物运输上落实《关于加快推动氢能产业高质量发展的若干措施》的要求。</w:t>
      </w:r>
    </w:p>
    <w:p w14:paraId="60B18500">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7.2 </w:t>
      </w:r>
      <w:r>
        <w:rPr>
          <w:rFonts w:hint="eastAsia" w:ascii="宋体" w:hAnsi="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15483E66">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7.3 </w:t>
      </w:r>
      <w:r>
        <w:rPr>
          <w:rFonts w:hint="eastAsia" w:ascii="宋体" w:hAnsi="宋体"/>
          <w:color w:val="auto"/>
          <w:sz w:val="24"/>
          <w:highlight w:val="none"/>
        </w:rPr>
        <w:t>投标人一旦中标，招标文件的内容对招标人和中标人双方均有约束力。</w:t>
      </w:r>
    </w:p>
    <w:p w14:paraId="0F8E8A07">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8</w:t>
      </w:r>
      <w:r>
        <w:rPr>
          <w:rFonts w:hint="eastAsia" w:ascii="宋体" w:hAnsi="宋体"/>
          <w:b/>
          <w:bCs/>
          <w:color w:val="auto"/>
          <w:sz w:val="24"/>
          <w:highlight w:val="none"/>
        </w:rPr>
        <w:t>．招标答疑</w:t>
      </w:r>
    </w:p>
    <w:p w14:paraId="6A51E025">
      <w:pPr>
        <w:pStyle w:val="5"/>
        <w:spacing w:after="0" w:line="360" w:lineRule="auto"/>
        <w:ind w:firstLine="480" w:firstLineChars="200"/>
        <w:rPr>
          <w:rFonts w:hint="eastAsia" w:ascii="宋体" w:hAnsi="宋体"/>
          <w:color w:val="auto"/>
          <w:sz w:val="24"/>
          <w:highlight w:val="none"/>
          <w:u w:val="single"/>
        </w:rPr>
      </w:pPr>
      <w:r>
        <w:rPr>
          <w:rFonts w:ascii="宋体" w:hAnsi="宋体"/>
          <w:color w:val="auto"/>
          <w:sz w:val="24"/>
          <w:highlight w:val="none"/>
        </w:rPr>
        <w:t xml:space="preserve">8.1 </w:t>
      </w:r>
      <w:r>
        <w:rPr>
          <w:rFonts w:hint="eastAsia" w:ascii="宋体" w:hAnsi="宋体"/>
          <w:color w:val="auto"/>
          <w:sz w:val="24"/>
          <w:highlight w:val="none"/>
          <w:u w:val="single"/>
        </w:rPr>
        <w:t>招标答疑采用网上答疑方式进行。投标人若对招标文件（包括招标图纸、清单、招标控制价、合同条款）有疑问的，可在规定的时间内通过广州交易集团有限公司（广州公共资源交易中心）网站进入提问区域将问题提交给招标人或招标代理人，提交问题时一律不得署名。网上答疑的操作指南为：投标人登录交易中心数字交易平台，进入“我是投标人（供应商）”-&gt;“我的投标”-&gt;“招标答疑提问”查询项目并提问，具体操作方法详见交易平台关于全流程电子化项目的相关指南。</w:t>
      </w:r>
    </w:p>
    <w:p w14:paraId="6210CEB8">
      <w:pPr>
        <w:pStyle w:val="5"/>
        <w:spacing w:after="0" w:line="360" w:lineRule="auto"/>
        <w:ind w:firstLine="480" w:firstLineChars="200"/>
        <w:rPr>
          <w:rFonts w:ascii="宋体"/>
          <w:color w:val="auto"/>
          <w:sz w:val="24"/>
          <w:highlight w:val="none"/>
        </w:rPr>
      </w:pPr>
      <w:r>
        <w:rPr>
          <w:rFonts w:ascii="宋体" w:hAnsi="宋体"/>
          <w:color w:val="auto"/>
          <w:sz w:val="24"/>
          <w:highlight w:val="none"/>
        </w:rPr>
        <w:t>8.2</w:t>
      </w:r>
      <w:r>
        <w:rPr>
          <w:rFonts w:hint="eastAsia" w:ascii="宋体"/>
          <w:color w:val="auto"/>
          <w:sz w:val="24"/>
          <w:highlight w:val="none"/>
        </w:rPr>
        <w:t>招标答疑会会议纪要将在提交投标文件截止时间15日前在</w:t>
      </w:r>
      <w:r>
        <w:rPr>
          <w:rFonts w:hint="eastAsia" w:ascii="宋体"/>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highlight w:val="none"/>
        </w:rPr>
        <w:t xml:space="preserve"> “项目答疑纪要”专区公开发布。答疑纪要一经在</w:t>
      </w:r>
      <w:r>
        <w:rPr>
          <w:rFonts w:hint="eastAsia" w:ascii="宋体"/>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w:t>
      </w:r>
    </w:p>
    <w:p w14:paraId="39D75C89">
      <w:pPr>
        <w:pStyle w:val="5"/>
        <w:spacing w:after="0" w:line="360" w:lineRule="auto"/>
        <w:ind w:firstLine="480" w:firstLineChars="200"/>
        <w:rPr>
          <w:rFonts w:ascii="宋体"/>
          <w:color w:val="auto"/>
          <w:sz w:val="24"/>
          <w:highlight w:val="none"/>
        </w:rPr>
      </w:pPr>
      <w:r>
        <w:rPr>
          <w:rFonts w:ascii="宋体" w:hAnsi="宋体"/>
          <w:color w:val="auto"/>
          <w:sz w:val="24"/>
          <w:highlight w:val="none"/>
        </w:rPr>
        <w:t>8.3</w:t>
      </w:r>
      <w:r>
        <w:rPr>
          <w:rFonts w:hint="eastAsia" w:ascii="宋体" w:hAnsi="宋体"/>
          <w:color w:val="auto"/>
          <w:sz w:val="24"/>
          <w:highlight w:val="none"/>
        </w:rPr>
        <w:t>答疑会会议纪要为招标文件的一部分。</w:t>
      </w:r>
    </w:p>
    <w:p w14:paraId="1605B8A2">
      <w:pPr>
        <w:pStyle w:val="5"/>
        <w:spacing w:after="0" w:line="360" w:lineRule="auto"/>
        <w:ind w:firstLine="480" w:firstLineChars="200"/>
        <w:rPr>
          <w:rFonts w:ascii="宋体"/>
          <w:color w:val="auto"/>
          <w:sz w:val="24"/>
          <w:highlight w:val="none"/>
        </w:rPr>
      </w:pPr>
      <w:r>
        <w:rPr>
          <w:rFonts w:ascii="宋体" w:hAnsi="宋体"/>
          <w:color w:val="auto"/>
          <w:sz w:val="24"/>
          <w:highlight w:val="none"/>
        </w:rPr>
        <w:t>8.4</w:t>
      </w:r>
      <w:r>
        <w:rPr>
          <w:rFonts w:hint="eastAsia" w:ascii="宋体" w:hAnsi="宋体"/>
          <w:color w:val="auto"/>
          <w:sz w:val="24"/>
          <w:highlight w:val="none"/>
        </w:rPr>
        <w:t>若招标答疑会会议纪要与招标文件有矛盾，以</w:t>
      </w:r>
      <w:r>
        <w:rPr>
          <w:rFonts w:hint="eastAsia" w:ascii="宋体" w:hAnsi="宋体"/>
          <w:color w:val="auto"/>
          <w:sz w:val="24"/>
          <w:highlight w:val="none"/>
          <w:u w:val="single"/>
        </w:rPr>
        <w:t>广州交易集团有限公司（广州公共资源交易中心）</w:t>
      </w:r>
      <w:r>
        <w:rPr>
          <w:rFonts w:hint="eastAsia" w:ascii="宋体" w:hAnsi="宋体"/>
          <w:color w:val="auto"/>
          <w:sz w:val="24"/>
          <w:highlight w:val="none"/>
        </w:rPr>
        <w:t>交易平台最后发出的书面形式的文件为准。</w:t>
      </w:r>
    </w:p>
    <w:p w14:paraId="7488CF8D">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9.</w:t>
      </w:r>
      <w:r>
        <w:rPr>
          <w:rFonts w:hint="eastAsia" w:ascii="宋体" w:hAnsi="宋体"/>
          <w:b/>
          <w:bCs/>
          <w:color w:val="auto"/>
          <w:sz w:val="24"/>
          <w:highlight w:val="none"/>
        </w:rPr>
        <w:t>招标文件的澄清与修改</w:t>
      </w:r>
    </w:p>
    <w:p w14:paraId="3F8F56F9">
      <w:pPr>
        <w:pStyle w:val="5"/>
        <w:spacing w:after="0" w:line="360" w:lineRule="auto"/>
        <w:ind w:firstLine="480" w:firstLineChars="200"/>
        <w:rPr>
          <w:rFonts w:asci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招标文件发出后</w:t>
      </w:r>
      <w:r>
        <w:rPr>
          <w:rFonts w:ascii="宋体"/>
          <w:color w:val="auto"/>
          <w:sz w:val="24"/>
          <w:highlight w:val="none"/>
        </w:rPr>
        <w:t>,</w:t>
      </w:r>
      <w:r>
        <w:rPr>
          <w:rFonts w:hint="eastAsia" w:ascii="宋体" w:hAnsi="宋体"/>
          <w:color w:val="auto"/>
          <w:sz w:val="24"/>
          <w:highlight w:val="none"/>
        </w:rPr>
        <w:t>在提交投标文件截止时间15日前，招标人可对招标文件进行必要的澄清或修改。</w:t>
      </w:r>
    </w:p>
    <w:p w14:paraId="790866F2">
      <w:pPr>
        <w:pStyle w:val="5"/>
        <w:spacing w:after="0" w:line="360" w:lineRule="auto"/>
        <w:ind w:firstLine="480" w:firstLineChars="200"/>
        <w:rPr>
          <w:rFonts w:ascii="宋体"/>
          <w:color w:val="auto"/>
          <w:sz w:val="24"/>
          <w:highlight w:val="none"/>
        </w:rPr>
      </w:pPr>
      <w:r>
        <w:rPr>
          <w:rFonts w:ascii="宋体" w:hAnsi="宋体"/>
          <w:color w:val="auto"/>
          <w:sz w:val="24"/>
          <w:highlight w:val="none"/>
        </w:rPr>
        <w:t>9.2</w:t>
      </w:r>
      <w:r>
        <w:rPr>
          <w:rFonts w:hint="eastAsia" w:ascii="宋体"/>
          <w:color w:val="auto"/>
          <w:sz w:val="24"/>
          <w:highlight w:val="none"/>
        </w:rPr>
        <w:t>招标文件的澄清或修改将在</w:t>
      </w:r>
      <w:r>
        <w:rPr>
          <w:rFonts w:hint="eastAsia" w:ascii="宋体" w:hAnsi="宋体"/>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highlight w:val="none"/>
        </w:rPr>
        <w:t>“项目答疑纪要”专区公开发布。答疑纪要一经在</w:t>
      </w:r>
      <w:r>
        <w:rPr>
          <w:rFonts w:hint="eastAsia" w:ascii="宋体" w:hAnsi="宋体"/>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发布，视作已发放给所有投标人，以</w:t>
      </w:r>
      <w:r>
        <w:rPr>
          <w:rFonts w:hint="eastAsia" w:ascii="宋体" w:hAnsi="宋体"/>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highlight w:val="none"/>
        </w:rPr>
        <w:t>上网发布时间作为送达时间。</w:t>
      </w:r>
    </w:p>
    <w:p w14:paraId="52623F9C">
      <w:pPr>
        <w:pStyle w:val="5"/>
        <w:spacing w:after="0" w:line="360" w:lineRule="auto"/>
        <w:ind w:firstLine="480" w:firstLineChars="200"/>
        <w:rPr>
          <w:rFonts w:hint="eastAsia" w:ascii="宋体" w:hAnsi="宋体"/>
          <w:color w:val="auto"/>
          <w:sz w:val="24"/>
          <w:highlight w:val="none"/>
        </w:rPr>
      </w:pPr>
      <w:r>
        <w:rPr>
          <w:rFonts w:ascii="宋体" w:hAnsi="宋体"/>
          <w:color w:val="auto"/>
          <w:sz w:val="24"/>
          <w:highlight w:val="none"/>
        </w:rPr>
        <w:t>9.3</w:t>
      </w:r>
      <w:r>
        <w:rPr>
          <w:rFonts w:hint="eastAsia" w:ascii="宋体" w:hAnsi="宋体"/>
          <w:color w:val="auto"/>
          <w:sz w:val="24"/>
          <w:highlight w:val="none"/>
        </w:rPr>
        <w:t>招标文件的澄清或修改内容为招标文件的组成部分，对投标人起约束作用。</w:t>
      </w:r>
    </w:p>
    <w:p w14:paraId="1E2F1A84">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9.4招标文件的澄清或修改均以</w:t>
      </w:r>
      <w:r>
        <w:rPr>
          <w:rFonts w:hint="eastAsia" w:ascii="宋体" w:hAnsi="宋体"/>
          <w:color w:val="auto"/>
          <w:sz w:val="24"/>
          <w:highlight w:val="none"/>
          <w:u w:val="single"/>
        </w:rPr>
        <w:t>广州交易集团有限公司（广州公共资源交易中心）网站“项目答疑纪要”专区公开发布</w:t>
      </w:r>
      <w:r>
        <w:rPr>
          <w:rFonts w:hint="eastAsia" w:ascii="宋体" w:hAnsi="宋体"/>
          <w:color w:val="auto"/>
          <w:sz w:val="24"/>
          <w:highlight w:val="none"/>
        </w:rPr>
        <w:t>。当招标文件的澄清、修改、补充等在同一内容的表述不一致时，以最后发出的书面形式的文件为准。</w:t>
      </w:r>
    </w:p>
    <w:p w14:paraId="10190170">
      <w:pPr>
        <w:pStyle w:val="5"/>
        <w:spacing w:after="0" w:line="360" w:lineRule="auto"/>
        <w:ind w:firstLine="480" w:firstLineChars="200"/>
        <w:rPr>
          <w:rFonts w:ascii="宋体"/>
          <w:color w:val="auto"/>
          <w:sz w:val="24"/>
          <w:highlight w:val="none"/>
        </w:rPr>
      </w:pPr>
      <w:r>
        <w:rPr>
          <w:rFonts w:ascii="宋体" w:hAnsi="宋体"/>
          <w:color w:val="auto"/>
          <w:sz w:val="24"/>
          <w:highlight w:val="none"/>
        </w:rPr>
        <w:t>9.5</w:t>
      </w:r>
      <w:r>
        <w:rPr>
          <w:rFonts w:hint="eastAsia" w:ascii="宋体" w:hAnsi="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2A58E41B">
      <w:pPr>
        <w:pStyle w:val="8"/>
        <w:rPr>
          <w:rFonts w:hint="eastAsia"/>
          <w:color w:val="auto"/>
          <w:highlight w:val="none"/>
        </w:rPr>
      </w:pPr>
      <w:bookmarkStart w:id="25" w:name="_Toc19531"/>
      <w:bookmarkStart w:id="26" w:name="_Toc644"/>
      <w:bookmarkStart w:id="27" w:name="_Toc21525495"/>
      <w:bookmarkStart w:id="28" w:name="_Toc2272551"/>
      <w:r>
        <w:rPr>
          <w:rFonts w:hint="eastAsia"/>
          <w:color w:val="auto"/>
          <w:highlight w:val="none"/>
        </w:rPr>
        <w:t>（三）投标文件的编制</w:t>
      </w:r>
      <w:bookmarkEnd w:id="25"/>
      <w:bookmarkEnd w:id="26"/>
      <w:bookmarkEnd w:id="27"/>
      <w:bookmarkEnd w:id="28"/>
    </w:p>
    <w:p w14:paraId="2F339F0D">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10</w:t>
      </w:r>
      <w:r>
        <w:rPr>
          <w:rFonts w:hint="eastAsia" w:ascii="宋体" w:hAnsi="宋体"/>
          <w:b/>
          <w:bCs/>
          <w:color w:val="auto"/>
          <w:sz w:val="24"/>
          <w:highlight w:val="none"/>
        </w:rPr>
        <w:t>．投标文件的语言及度量衡单位</w:t>
      </w:r>
    </w:p>
    <w:p w14:paraId="6A6974E3">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10.1 </w:t>
      </w:r>
      <w:r>
        <w:rPr>
          <w:rFonts w:hint="eastAsia" w:ascii="宋体" w:hAnsi="宋体"/>
          <w:color w:val="auto"/>
          <w:sz w:val="24"/>
          <w:highlight w:val="none"/>
        </w:rPr>
        <w:t>投标文件和与投标有关的所有文件均应使用中文。</w:t>
      </w:r>
    </w:p>
    <w:p w14:paraId="6AB60706">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10.2 </w:t>
      </w:r>
      <w:r>
        <w:rPr>
          <w:rFonts w:hint="eastAsia" w:ascii="宋体" w:hAnsi="宋体"/>
          <w:color w:val="auto"/>
          <w:sz w:val="24"/>
          <w:highlight w:val="none"/>
        </w:rPr>
        <w:t>除工程规范另有规定外，投标文件使用的度量衡单位，均采用中华人民共和国法定计量单位。</w:t>
      </w:r>
    </w:p>
    <w:p w14:paraId="643853DC">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11</w:t>
      </w:r>
      <w:r>
        <w:rPr>
          <w:rFonts w:hint="eastAsia" w:ascii="宋体" w:hAnsi="宋体"/>
          <w:b/>
          <w:bCs/>
          <w:color w:val="auto"/>
          <w:sz w:val="24"/>
          <w:highlight w:val="none"/>
        </w:rPr>
        <w:t>．投标文件的组成</w:t>
      </w:r>
    </w:p>
    <w:p w14:paraId="5FF6013A">
      <w:pPr>
        <w:pStyle w:val="5"/>
        <w:spacing w:after="0"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（由招标人根据招标项目实际情况自行确定）</w:t>
      </w:r>
    </w:p>
    <w:p w14:paraId="7B99F3E5">
      <w:pPr>
        <w:pStyle w:val="5"/>
        <w:spacing w:after="0" w:line="360" w:lineRule="auto"/>
        <w:ind w:firstLine="480" w:firstLineChars="200"/>
        <w:rPr>
          <w:rFonts w:ascii="宋体"/>
          <w:b/>
          <w:color w:val="auto"/>
          <w:sz w:val="24"/>
          <w:highlight w:val="none"/>
          <w:u w:val="single"/>
        </w:rPr>
      </w:pPr>
      <w:r>
        <w:rPr>
          <w:rFonts w:ascii="宋体" w:hAnsi="宋体"/>
          <w:color w:val="auto"/>
          <w:sz w:val="24"/>
          <w:highlight w:val="none"/>
          <w:u w:val="single"/>
        </w:rPr>
        <w:t xml:space="preserve">11.1 </w:t>
      </w:r>
      <w:r>
        <w:rPr>
          <w:rFonts w:hint="eastAsia" w:ascii="宋体" w:hAnsi="宋体"/>
          <w:color w:val="auto"/>
          <w:sz w:val="24"/>
          <w:highlight w:val="none"/>
          <w:u w:val="single"/>
        </w:rPr>
        <w:t>投标文件由技术部分（含资格审查文件）和经济部分二部分投标文件组成</w:t>
      </w:r>
      <w:r>
        <w:rPr>
          <w:rFonts w:hint="eastAsia" w:ascii="宋体" w:hAnsi="宋体"/>
          <w:b/>
          <w:color w:val="auto"/>
          <w:sz w:val="24"/>
          <w:highlight w:val="none"/>
          <w:u w:val="single"/>
        </w:rPr>
        <w:t>。</w:t>
      </w:r>
    </w:p>
    <w:p w14:paraId="5C2E929F">
      <w:pPr>
        <w:spacing w:line="360" w:lineRule="auto"/>
        <w:ind w:firstLine="480" w:firstLineChars="200"/>
        <w:rPr>
          <w:rFonts w:hint="eastAsia" w:ascii="宋体" w:hAnsi="宋体"/>
          <w:bCs/>
          <w:color w:val="auto"/>
          <w:sz w:val="24"/>
          <w:szCs w:val="24"/>
          <w:highlight w:val="none"/>
          <w:u w:val="single"/>
        </w:rPr>
      </w:pPr>
      <w:r>
        <w:rPr>
          <w:rFonts w:ascii="宋体" w:hAnsi="宋体"/>
          <w:bCs/>
          <w:color w:val="auto"/>
          <w:sz w:val="24"/>
          <w:szCs w:val="24"/>
          <w:highlight w:val="none"/>
          <w:u w:val="single"/>
        </w:rPr>
        <w:t>11.2</w:t>
      </w:r>
      <w:r>
        <w:rPr>
          <w:rFonts w:hint="eastAsia" w:ascii="宋体" w:hAnsi="宋体"/>
          <w:bCs/>
          <w:color w:val="auto"/>
          <w:sz w:val="24"/>
          <w:szCs w:val="24"/>
          <w:highlight w:val="none"/>
          <w:u w:val="single"/>
        </w:rPr>
        <w:t>投标文件技术标部分主要包括下列内容</w:t>
      </w:r>
      <w:r>
        <w:rPr>
          <w:rFonts w:ascii="宋体" w:hAnsi="宋体"/>
          <w:bCs/>
          <w:color w:val="auto"/>
          <w:sz w:val="24"/>
          <w:szCs w:val="24"/>
          <w:highlight w:val="none"/>
          <w:u w:val="single"/>
        </w:rPr>
        <w:t>:</w:t>
      </w:r>
    </w:p>
    <w:p w14:paraId="01BBD67A">
      <w:pPr>
        <w:pStyle w:val="20"/>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u w:val="single"/>
        </w:rPr>
        <w:t>11.2.1资格审查文件</w:t>
      </w:r>
    </w:p>
    <w:p w14:paraId="1E1FAB56">
      <w:pPr>
        <w:spacing w:line="360" w:lineRule="auto"/>
        <w:ind w:firstLine="480" w:firstLineChars="200"/>
        <w:rPr>
          <w:rFonts w:ascii="宋体"/>
          <w:bCs/>
          <w:color w:val="auto"/>
          <w:sz w:val="24"/>
          <w:szCs w:val="24"/>
          <w:highlight w:val="none"/>
          <w:u w:val="single"/>
        </w:rPr>
      </w:pPr>
      <w:r>
        <w:rPr>
          <w:rFonts w:ascii="宋体"/>
          <w:bCs/>
          <w:color w:val="auto"/>
          <w:sz w:val="24"/>
          <w:szCs w:val="24"/>
          <w:highlight w:val="none"/>
        </w:rPr>
        <w:t>（</w:t>
      </w:r>
      <w:r>
        <w:rPr>
          <w:rFonts w:hint="eastAsia" w:ascii="宋体"/>
          <w:bCs/>
          <w:color w:val="auto"/>
          <w:sz w:val="24"/>
          <w:szCs w:val="24"/>
          <w:highlight w:val="none"/>
        </w:rPr>
        <w:t>1</w:t>
      </w:r>
      <w:r>
        <w:rPr>
          <w:rFonts w:ascii="宋体"/>
          <w:bCs/>
          <w:color w:val="auto"/>
          <w:sz w:val="24"/>
          <w:szCs w:val="24"/>
          <w:highlight w:val="none"/>
        </w:rPr>
        <w:t>）</w:t>
      </w:r>
      <w:r>
        <w:rPr>
          <w:rFonts w:hint="eastAsia" w:ascii="宋体"/>
          <w:bCs/>
          <w:color w:val="auto"/>
          <w:sz w:val="24"/>
          <w:szCs w:val="24"/>
          <w:highlight w:val="none"/>
          <w:u w:val="single"/>
        </w:rPr>
        <w:t>投标人声明（一）、投标人声明（二）、投标人声明（三）（须按本工程招标公告附件一格式）；</w:t>
      </w:r>
    </w:p>
    <w:p w14:paraId="3FFCD1BE">
      <w:pPr>
        <w:spacing w:line="360" w:lineRule="auto"/>
        <w:ind w:firstLine="480" w:firstLineChars="200"/>
        <w:rPr>
          <w:rFonts w:ascii="宋体"/>
          <w:bCs/>
          <w:color w:val="auto"/>
          <w:sz w:val="24"/>
          <w:szCs w:val="24"/>
          <w:highlight w:val="none"/>
          <w:u w:val="single"/>
        </w:rPr>
      </w:pPr>
      <w:r>
        <w:rPr>
          <w:rFonts w:hint="eastAsia" w:ascii="宋体"/>
          <w:bCs/>
          <w:color w:val="auto"/>
          <w:sz w:val="24"/>
          <w:szCs w:val="24"/>
          <w:highlight w:val="none"/>
          <w:u w:val="single"/>
        </w:rPr>
        <w:t>（2）法定代表人证明书、法定代表人签字或盖章的本投标文件授权委托证明书；</w:t>
      </w:r>
    </w:p>
    <w:p w14:paraId="61074C26">
      <w:pPr>
        <w:spacing w:line="360" w:lineRule="auto"/>
        <w:ind w:firstLine="480" w:firstLineChars="200"/>
        <w:rPr>
          <w:rFonts w:ascii="宋体"/>
          <w:bCs/>
          <w:color w:val="auto"/>
          <w:sz w:val="24"/>
          <w:szCs w:val="24"/>
          <w:highlight w:val="none"/>
          <w:u w:val="single"/>
        </w:rPr>
      </w:pPr>
      <w:r>
        <w:rPr>
          <w:rFonts w:hint="eastAsia" w:ascii="宋体"/>
          <w:bCs/>
          <w:color w:val="auto"/>
          <w:sz w:val="24"/>
          <w:szCs w:val="24"/>
          <w:highlight w:val="none"/>
          <w:u w:val="single"/>
        </w:rPr>
        <w:t>（3）企业营业执照扫描件或电子证照；</w:t>
      </w:r>
    </w:p>
    <w:p w14:paraId="70013DBF">
      <w:pPr>
        <w:spacing w:line="360" w:lineRule="auto"/>
        <w:ind w:firstLine="480" w:firstLineChars="200"/>
        <w:rPr>
          <w:rFonts w:ascii="宋体"/>
          <w:bCs/>
          <w:color w:val="auto"/>
          <w:sz w:val="24"/>
          <w:szCs w:val="24"/>
          <w:highlight w:val="none"/>
          <w:u w:val="single"/>
        </w:rPr>
      </w:pPr>
      <w:r>
        <w:rPr>
          <w:rFonts w:hint="eastAsia" w:ascii="宋体"/>
          <w:bCs/>
          <w:color w:val="auto"/>
          <w:sz w:val="24"/>
          <w:szCs w:val="24"/>
          <w:highlight w:val="none"/>
          <w:u w:val="single"/>
        </w:rPr>
        <w:t>（4）企业资质证书扫描件或电子证照；</w:t>
      </w:r>
    </w:p>
    <w:p w14:paraId="7AAAB075">
      <w:pPr>
        <w:spacing w:line="360" w:lineRule="auto"/>
        <w:ind w:firstLine="480" w:firstLineChars="200"/>
        <w:rPr>
          <w:rFonts w:ascii="宋体"/>
          <w:bCs/>
          <w:color w:val="auto"/>
          <w:sz w:val="24"/>
          <w:szCs w:val="24"/>
          <w:highlight w:val="none"/>
          <w:u w:val="single"/>
        </w:rPr>
      </w:pPr>
      <w:r>
        <w:rPr>
          <w:rFonts w:hint="eastAsia" w:ascii="宋体"/>
          <w:bCs/>
          <w:color w:val="auto"/>
          <w:sz w:val="24"/>
          <w:szCs w:val="24"/>
          <w:highlight w:val="none"/>
          <w:u w:val="single"/>
        </w:rPr>
        <w:t>（5）建筑施工企业安全生产许可证扫描件或电子证照；</w:t>
      </w:r>
    </w:p>
    <w:p w14:paraId="01408440">
      <w:pPr>
        <w:spacing w:line="360" w:lineRule="auto"/>
        <w:ind w:firstLine="480" w:firstLineChars="200"/>
        <w:rPr>
          <w:rFonts w:hint="eastAsia" w:ascii="宋体" w:hAnsi="宋体"/>
          <w:bCs/>
          <w:color w:val="auto"/>
          <w:sz w:val="24"/>
          <w:szCs w:val="24"/>
          <w:highlight w:val="none"/>
          <w:u w:val="single"/>
        </w:rPr>
      </w:pPr>
      <w:r>
        <w:rPr>
          <w:rFonts w:hint="eastAsia" w:ascii="宋体"/>
          <w:bCs/>
          <w:color w:val="auto"/>
          <w:sz w:val="24"/>
          <w:szCs w:val="24"/>
          <w:highlight w:val="none"/>
          <w:u w:val="single"/>
        </w:rPr>
        <w:t>（6）</w:t>
      </w:r>
      <w:r>
        <w:rPr>
          <w:rFonts w:hint="eastAsia" w:ascii="宋体" w:hAnsi="宋体"/>
          <w:bCs/>
          <w:color w:val="auto"/>
          <w:sz w:val="24"/>
          <w:szCs w:val="24"/>
          <w:highlight w:val="none"/>
          <w:u w:val="single"/>
        </w:rPr>
        <w:t>项目负责人（按网上投标登记时选择拟投标的项目负责人）；</w:t>
      </w:r>
    </w:p>
    <w:p w14:paraId="231E3596">
      <w:pPr>
        <w:spacing w:line="360" w:lineRule="auto"/>
        <w:ind w:firstLine="480" w:firstLineChars="200"/>
        <w:rPr>
          <w:rFonts w:hint="eastAsia" w:ascii="宋体" w:hAnsi="宋体"/>
          <w:bCs/>
          <w:color w:val="auto"/>
          <w:sz w:val="24"/>
          <w:szCs w:val="24"/>
          <w:highlight w:val="none"/>
          <w:u w:val="single"/>
        </w:rPr>
      </w:pPr>
      <w:r>
        <w:rPr>
          <w:rFonts w:hint="eastAsia" w:ascii="宋体" w:hAnsi="宋体"/>
          <w:bCs/>
          <w:color w:val="auto"/>
          <w:sz w:val="24"/>
          <w:szCs w:val="24"/>
          <w:highlight w:val="none"/>
          <w:u w:val="single"/>
        </w:rPr>
        <w:t>（7）专职安全员（按网上投标登记时选择拟投标的专职安全员）；</w:t>
      </w:r>
    </w:p>
    <w:p w14:paraId="58FA8705">
      <w:pPr>
        <w:spacing w:line="360" w:lineRule="auto"/>
        <w:ind w:firstLine="480" w:firstLineChars="200"/>
        <w:rPr>
          <w:rFonts w:ascii="宋体"/>
          <w:bCs/>
          <w:color w:val="auto"/>
          <w:sz w:val="24"/>
          <w:szCs w:val="24"/>
          <w:highlight w:val="none"/>
          <w:u w:val="single"/>
        </w:rPr>
      </w:pPr>
      <w:r>
        <w:rPr>
          <w:rFonts w:hint="eastAsia" w:ascii="宋体"/>
          <w:bCs/>
          <w:color w:val="auto"/>
          <w:sz w:val="24"/>
          <w:szCs w:val="24"/>
          <w:highlight w:val="none"/>
          <w:u w:val="single"/>
        </w:rPr>
        <w:t xml:space="preserve">（8）拟委派项目负责人的建造师注册证书扫描件或电子证书 ； </w:t>
      </w:r>
    </w:p>
    <w:p w14:paraId="1E1AB3C2">
      <w:pPr>
        <w:spacing w:line="360" w:lineRule="auto"/>
        <w:ind w:firstLine="480" w:firstLineChars="200"/>
        <w:rPr>
          <w:rFonts w:ascii="宋体"/>
          <w:bCs/>
          <w:color w:val="auto"/>
          <w:sz w:val="24"/>
          <w:szCs w:val="24"/>
          <w:highlight w:val="none"/>
          <w:u w:val="single"/>
        </w:rPr>
      </w:pPr>
      <w:r>
        <w:rPr>
          <w:rFonts w:hint="eastAsia" w:ascii="宋体"/>
          <w:bCs/>
          <w:color w:val="auto"/>
          <w:sz w:val="24"/>
          <w:szCs w:val="24"/>
          <w:highlight w:val="none"/>
          <w:u w:val="single"/>
        </w:rPr>
        <w:t>（9）项目负责人安全生产考核合格证明或在有效期内的安全考核合格证书（B类）或建筑施工企业项目负责人安全生产考核合格证书扫描件或电子证书；</w:t>
      </w:r>
    </w:p>
    <w:p w14:paraId="016EC8AF">
      <w:pPr>
        <w:spacing w:line="360" w:lineRule="auto"/>
        <w:ind w:firstLine="480" w:firstLineChars="200"/>
        <w:rPr>
          <w:rFonts w:ascii="宋体"/>
          <w:bCs/>
          <w:color w:val="auto"/>
          <w:sz w:val="24"/>
          <w:szCs w:val="24"/>
          <w:highlight w:val="none"/>
          <w:u w:val="single"/>
        </w:rPr>
      </w:pPr>
      <w:r>
        <w:rPr>
          <w:rFonts w:hint="eastAsia" w:ascii="宋体"/>
          <w:bCs/>
          <w:color w:val="auto"/>
          <w:sz w:val="24"/>
          <w:szCs w:val="24"/>
          <w:highlight w:val="none"/>
          <w:u w:val="single"/>
        </w:rPr>
        <w:t>（10）专职安全员须具有在有效期内的安全考核合格证书（C类）或建筑施工企业专职安全生产管理人员安全生产考核合格证书（C3）扫描件或电子证书；</w:t>
      </w:r>
    </w:p>
    <w:p w14:paraId="1215A5B0">
      <w:pPr>
        <w:spacing w:line="360" w:lineRule="auto"/>
        <w:ind w:firstLine="480" w:firstLineChars="200"/>
        <w:rPr>
          <w:rFonts w:ascii="宋体"/>
          <w:bCs/>
          <w:color w:val="auto"/>
          <w:sz w:val="24"/>
          <w:szCs w:val="24"/>
          <w:highlight w:val="none"/>
          <w:u w:val="single"/>
        </w:rPr>
      </w:pPr>
      <w:r>
        <w:rPr>
          <w:rFonts w:hint="eastAsia" w:ascii="宋体"/>
          <w:bCs/>
          <w:color w:val="auto"/>
          <w:sz w:val="24"/>
          <w:szCs w:val="24"/>
          <w:highlight w:val="none"/>
          <w:u w:val="single"/>
        </w:rPr>
        <w:t>（11）用于资格审查的业绩（类似工程业绩材料按招标公告第九条第7点要求提供）；</w:t>
      </w:r>
    </w:p>
    <w:p w14:paraId="638208AF">
      <w:pPr>
        <w:widowControl/>
        <w:spacing w:line="360" w:lineRule="auto"/>
        <w:ind w:firstLine="480" w:firstLineChars="200"/>
        <w:rPr>
          <w:rFonts w:ascii="宋体"/>
          <w:bCs/>
          <w:color w:val="auto"/>
          <w:sz w:val="24"/>
          <w:szCs w:val="24"/>
          <w:highlight w:val="none"/>
          <w:u w:val="single"/>
        </w:rPr>
      </w:pPr>
      <w:r>
        <w:rPr>
          <w:rFonts w:hint="eastAsia" w:ascii="宋体"/>
          <w:bCs/>
          <w:color w:val="auto"/>
          <w:sz w:val="24"/>
          <w:szCs w:val="24"/>
          <w:highlight w:val="none"/>
          <w:u w:val="single"/>
        </w:rPr>
        <w:t>（12）资格审查前，投标人须在广州交易集团有限公司（广州公共资源交易中心）建立企业信用信息档案，并对其完整性、真实性、合法性负责。拟担任本工程项目负责人、专职安全员须是本企业信息档案中的在册人员。投标人无需提交相关资料，若招标人延长递交投标文件截止时间的，企业信息的评审时点也相应延长。（企业信息登记办理详见《施工类企业信息登记办事指引》，网址：</w:t>
      </w:r>
      <w:r>
        <w:rPr>
          <w:rFonts w:hint="eastAsia" w:ascii="宋体"/>
          <w:bCs/>
          <w:color w:val="auto"/>
          <w:sz w:val="24"/>
          <w:szCs w:val="24"/>
          <w:highlight w:val="none"/>
          <w:u w:val="single"/>
          <w:lang w:eastAsia="zh-CN"/>
        </w:rPr>
        <w:t>https://www.gzggzy.cn/qyxxd1/1049818.jhtml</w:t>
      </w:r>
      <w:r>
        <w:rPr>
          <w:rFonts w:hint="eastAsia" w:ascii="宋体"/>
          <w:bCs/>
          <w:color w:val="auto"/>
          <w:sz w:val="24"/>
          <w:szCs w:val="24"/>
          <w:highlight w:val="none"/>
          <w:u w:val="single"/>
        </w:rPr>
        <w:t>）。</w:t>
      </w:r>
    </w:p>
    <w:p w14:paraId="0E940C50">
      <w:pPr>
        <w:spacing w:line="360" w:lineRule="auto"/>
        <w:ind w:firstLine="480" w:firstLineChars="200"/>
        <w:rPr>
          <w:rFonts w:ascii="宋体"/>
          <w:bCs/>
          <w:color w:val="auto"/>
          <w:sz w:val="24"/>
          <w:szCs w:val="24"/>
          <w:highlight w:val="none"/>
          <w:u w:val="single"/>
        </w:rPr>
      </w:pPr>
      <w:r>
        <w:rPr>
          <w:rFonts w:hint="eastAsia" w:ascii="宋体"/>
          <w:bCs/>
          <w:color w:val="auto"/>
          <w:sz w:val="24"/>
          <w:szCs w:val="24"/>
          <w:highlight w:val="none"/>
          <w:u w:val="single"/>
        </w:rPr>
        <w:t>注：1.相关电子证书按规定需打印后手写本人签名的，应按照规定手写本人签名后再扫描提交。</w:t>
      </w:r>
    </w:p>
    <w:p w14:paraId="60A9160D">
      <w:pPr>
        <w:spacing w:line="360" w:lineRule="auto"/>
        <w:ind w:firstLine="480" w:firstLineChars="200"/>
        <w:rPr>
          <w:rFonts w:ascii="宋体"/>
          <w:bCs/>
          <w:color w:val="auto"/>
          <w:sz w:val="24"/>
          <w:szCs w:val="24"/>
          <w:highlight w:val="none"/>
          <w:u w:val="single"/>
        </w:rPr>
      </w:pPr>
      <w:r>
        <w:rPr>
          <w:rFonts w:hint="eastAsia" w:ascii="宋体"/>
          <w:bCs/>
          <w:color w:val="auto"/>
          <w:sz w:val="24"/>
          <w:szCs w:val="24"/>
          <w:highlight w:val="none"/>
          <w:u w:val="single"/>
        </w:rPr>
        <w:t>2.投标人在投标登记时选择了拟投入本项目的项目负责人、专职安全员，即已满足“资格审查前，投标人须在广州交易集团有限公司（广州公共资源交易中心）建立企业信用信息档案，拟担任本工程项目负责人、专职安全员须是本企业信用信息档案中的在册人员”的要求，投标人无需提供证明材料。</w:t>
      </w:r>
    </w:p>
    <w:p w14:paraId="51BFEB61">
      <w:pPr>
        <w:spacing w:line="360" w:lineRule="auto"/>
        <w:ind w:firstLine="480" w:firstLineChars="200"/>
        <w:rPr>
          <w:rFonts w:hint="eastAsia" w:ascii="宋体" w:hAnsi="宋体"/>
          <w:bCs/>
          <w:color w:val="auto"/>
          <w:sz w:val="24"/>
          <w:szCs w:val="24"/>
          <w:highlight w:val="none"/>
          <w:u w:val="single"/>
        </w:rPr>
      </w:pPr>
      <w:r>
        <w:rPr>
          <w:rFonts w:hint="eastAsia" w:ascii="宋体" w:hAnsi="宋体"/>
          <w:bCs/>
          <w:color w:val="auto"/>
          <w:sz w:val="24"/>
          <w:szCs w:val="24"/>
          <w:highlight w:val="none"/>
          <w:u w:val="single"/>
        </w:rPr>
        <w:t>（13）投标人认为应提交的其他资料 。</w:t>
      </w:r>
    </w:p>
    <w:p w14:paraId="4AB5CF57">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11.2.2技术投标文件主要包括下列内容：</w:t>
      </w:r>
    </w:p>
    <w:p w14:paraId="3BE0140C">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（1）</w:t>
      </w:r>
      <w:r>
        <w:rPr>
          <w:rFonts w:hint="eastAsia" w:ascii="宋体"/>
          <w:bCs/>
          <w:color w:val="auto"/>
          <w:sz w:val="24"/>
          <w:szCs w:val="24"/>
          <w:highlight w:val="none"/>
          <w:u w:val="single"/>
        </w:rPr>
        <w:t>广州建设工程施工招标投标书（具体格式以招标文件第四章《广州建设工程施工招标投标书》为准；电子投标管理软件编制的“广州建设工程施工招标投标书”不作为否决投标的条件)；</w:t>
      </w:r>
    </w:p>
    <w:p w14:paraId="1E6DE93A">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（2）</w:t>
      </w:r>
      <w:r>
        <w:rPr>
          <w:rFonts w:hint="eastAsia" w:ascii="宋体" w:hAnsi="宋体"/>
          <w:color w:val="auto"/>
          <w:sz w:val="24"/>
          <w:szCs w:val="24"/>
          <w:highlight w:val="none"/>
          <w:u w:val="single"/>
        </w:rPr>
        <w:t>按照招标文件要求填写的《施工项目管理团队人员信息表》提供的证明材料(按本招标文件第四章投标文件格式)：</w:t>
      </w:r>
    </w:p>
    <w:p w14:paraId="799919E1">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①投标人应列出该项目工程的施工组织机构构成和画出机构框架图及其负责人（含姓名）；（无格式要求，格式自拟）</w:t>
      </w:r>
    </w:p>
    <w:p w14:paraId="0182B558">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②投标人应详细列出该施工组织机构中主要成员的名单、简历资料、职务职称和在本项目中拟担任的职务等资料，并附上有关证明材料扫描件；</w:t>
      </w:r>
    </w:p>
    <w:p w14:paraId="0E7393F7">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③其他辅助说明资料。</w:t>
      </w:r>
    </w:p>
    <w:p w14:paraId="0300178B">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（3）</w:t>
      </w:r>
      <w:r>
        <w:rPr>
          <w:rFonts w:hint="eastAsia" w:ascii="宋体" w:hAnsi="宋体"/>
          <w:color w:val="auto"/>
          <w:sz w:val="24"/>
          <w:szCs w:val="24"/>
          <w:highlight w:val="none"/>
          <w:u w:val="single"/>
          <w:lang w:val="zh-CN"/>
        </w:rPr>
        <w:t>响应招标文件所附施工组织设计要点的承诺书（格式见第四章）</w:t>
      </w:r>
      <w:r>
        <w:rPr>
          <w:rFonts w:hint="eastAsia" w:ascii="宋体" w:hAnsi="宋体"/>
          <w:color w:val="auto"/>
          <w:sz w:val="24"/>
          <w:szCs w:val="24"/>
          <w:highlight w:val="none"/>
          <w:u w:val="single"/>
        </w:rPr>
        <w:t>；</w:t>
      </w:r>
    </w:p>
    <w:p w14:paraId="3593DFF0">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（4）</w:t>
      </w:r>
      <w:r>
        <w:rPr>
          <w:rFonts w:hint="eastAsia" w:ascii="宋体" w:hAnsi="宋体"/>
          <w:color w:val="auto"/>
          <w:sz w:val="24"/>
          <w:szCs w:val="24"/>
          <w:highlight w:val="none"/>
          <w:u w:val="single"/>
        </w:rPr>
        <w:t>企业技术标得分证明材料（按《技术标详细审查评分表》要求提交，格式见第四章，无规定格式要求的，格式自拟）。</w:t>
      </w:r>
    </w:p>
    <w:p w14:paraId="0502D15F">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（5）按本招标文件规定提交的其它所有技术资料。</w:t>
      </w:r>
    </w:p>
    <w:p w14:paraId="5826EDC5">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（6）按照招标文件要求填写的《参与编制技术标投标文件人员名单》</w:t>
      </w:r>
      <w:r>
        <w:rPr>
          <w:rFonts w:hint="eastAsia" w:ascii="宋体" w:hAnsi="宋体" w:cs="宋体"/>
          <w:bCs/>
          <w:color w:val="auto"/>
          <w:sz w:val="24"/>
          <w:szCs w:val="24"/>
          <w:highlight w:val="none"/>
          <w:u w:val="single"/>
          <w:lang w:val="zh-CN"/>
        </w:rPr>
        <w:t>（格式见第四章）</w:t>
      </w:r>
      <w:r>
        <w:rPr>
          <w:rFonts w:hint="eastAsia" w:ascii="宋体" w:hAnsi="宋体"/>
          <w:color w:val="auto"/>
          <w:sz w:val="24"/>
          <w:szCs w:val="24"/>
          <w:highlight w:val="none"/>
          <w:u w:val="single"/>
        </w:rPr>
        <w:t>。</w:t>
      </w:r>
    </w:p>
    <w:p w14:paraId="687C8A9C">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（7）危险性较大的分部分项工程清单及超过一定规模的危险性较大的分部分项工程清单（格式见第四章）。</w:t>
      </w:r>
    </w:p>
    <w:p w14:paraId="0CDE8008">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11.3 </w:t>
      </w:r>
      <w:r>
        <w:rPr>
          <w:rFonts w:hint="eastAsia" w:ascii="宋体" w:hAnsi="宋体"/>
          <w:bCs/>
          <w:color w:val="auto"/>
          <w:sz w:val="24"/>
          <w:highlight w:val="none"/>
        </w:rPr>
        <w:t>经济部分投标文件主要包括下列内容：</w:t>
      </w:r>
    </w:p>
    <w:p w14:paraId="4EE261F6">
      <w:pPr>
        <w:spacing w:line="360" w:lineRule="auto"/>
        <w:ind w:firstLine="480" w:firstLineChars="200"/>
        <w:rPr>
          <w:rFonts w:ascii="宋体"/>
          <w:color w:val="auto"/>
          <w:sz w:val="24"/>
          <w:highlight w:val="none"/>
        </w:rPr>
      </w:pPr>
      <w:r>
        <w:rPr>
          <w:rFonts w:ascii="宋体" w:hAnsi="宋体"/>
          <w:color w:val="auto"/>
          <w:sz w:val="24"/>
          <w:highlight w:val="none"/>
        </w:rPr>
        <w:t xml:space="preserve">11.3.1 </w:t>
      </w:r>
      <w:r>
        <w:rPr>
          <w:rFonts w:hint="eastAsia" w:ascii="宋体" w:hAnsi="宋体"/>
          <w:color w:val="auto"/>
          <w:sz w:val="24"/>
          <w:highlight w:val="none"/>
        </w:rPr>
        <w:t>经济投标文件</w:t>
      </w:r>
    </w:p>
    <w:p w14:paraId="5DD4F6E7">
      <w:pPr>
        <w:pStyle w:val="5"/>
        <w:spacing w:after="0" w:line="360" w:lineRule="auto"/>
        <w:ind w:firstLine="480" w:firstLineChars="200"/>
        <w:rPr>
          <w:rFonts w:hint="eastAsia" w:ascii="宋体" w:hAnsi="宋体"/>
          <w:color w:val="auto"/>
          <w:sz w:val="24"/>
          <w:highlight w:val="none"/>
          <w:u w:val="single"/>
        </w:rPr>
      </w:pPr>
      <w:r>
        <w:rPr>
          <w:rFonts w:ascii="宋体" w:hAnsi="宋体"/>
          <w:color w:val="auto"/>
          <w:sz w:val="24"/>
          <w:highlight w:val="none"/>
          <w:u w:val="single"/>
        </w:rPr>
        <w:t>11.3.2</w:t>
      </w:r>
      <w:r>
        <w:rPr>
          <w:rFonts w:hint="eastAsia" w:ascii="宋体" w:hAnsi="宋体"/>
          <w:color w:val="auto"/>
          <w:sz w:val="24"/>
          <w:highlight w:val="none"/>
          <w:u w:val="single"/>
        </w:rPr>
        <w:t xml:space="preserve">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4E10E245">
      <w:pPr>
        <w:pStyle w:val="5"/>
        <w:spacing w:after="0"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（1）投标总价封面、扉页；</w:t>
      </w:r>
    </w:p>
    <w:p w14:paraId="78C54F8C">
      <w:pPr>
        <w:pStyle w:val="5"/>
        <w:spacing w:after="0"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（2）总说明</w:t>
      </w:r>
    </w:p>
    <w:p w14:paraId="4489AFEF">
      <w:pPr>
        <w:pStyle w:val="5"/>
        <w:spacing w:after="0"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（3）工程量清单报价表及综合单价分析表（相关表格的内容及格式要求以招标人发出的最新版电子招标文件中的相应内容及格式为准）。</w:t>
      </w:r>
    </w:p>
    <w:p w14:paraId="712F4A40">
      <w:pPr>
        <w:pStyle w:val="5"/>
        <w:spacing w:after="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11.3.3按照招标文件要求填写的《参与编制经济标投标文件人员名单》。</w:t>
      </w:r>
    </w:p>
    <w:p w14:paraId="3E405EB4">
      <w:pPr>
        <w:pStyle w:val="5"/>
        <w:spacing w:after="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11.3.4若投标人的投标报价低于工程成本警示价的，投标人还须提供详细的施工组织设计、单价、措施性费用、单价分析表、主要材料价格表、投标人成本分析供评标委员会评审。</w:t>
      </w:r>
    </w:p>
    <w:p w14:paraId="467DF722">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12</w:t>
      </w:r>
      <w:r>
        <w:rPr>
          <w:rFonts w:hint="eastAsia" w:ascii="宋体" w:hAnsi="宋体"/>
          <w:b/>
          <w:bCs/>
          <w:color w:val="auto"/>
          <w:sz w:val="24"/>
          <w:highlight w:val="none"/>
        </w:rPr>
        <w:t>．投标文件格式</w:t>
      </w:r>
    </w:p>
    <w:p w14:paraId="697EA1B9">
      <w:pPr>
        <w:pStyle w:val="5"/>
        <w:spacing w:after="0"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12.1 </w:t>
      </w:r>
      <w:r>
        <w:rPr>
          <w:rFonts w:hint="eastAsia" w:ascii="宋体" w:hAnsi="宋体"/>
          <w:color w:val="auto"/>
          <w:sz w:val="24"/>
          <w:highlight w:val="none"/>
        </w:rPr>
        <w:t>投标文件包括本须知第</w:t>
      </w:r>
      <w:r>
        <w:rPr>
          <w:rFonts w:ascii="宋体" w:hAnsi="宋体"/>
          <w:color w:val="auto"/>
          <w:sz w:val="24"/>
          <w:highlight w:val="none"/>
        </w:rPr>
        <w:t>11</w:t>
      </w:r>
      <w:r>
        <w:rPr>
          <w:rFonts w:hint="eastAsia" w:ascii="宋体" w:hAnsi="宋体"/>
          <w:color w:val="auto"/>
          <w:sz w:val="24"/>
          <w:highlight w:val="none"/>
        </w:rPr>
        <w:t>条中规定的内容，投标人提交的投标文件应当使用招标文件所提供的投标文件全部格式（表格可以按同样格式扩展）。</w:t>
      </w:r>
    </w:p>
    <w:p w14:paraId="3A0F3643">
      <w:pPr>
        <w:pStyle w:val="5"/>
        <w:spacing w:after="0"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12.2 投标文件全部采用电子文档，投标文件所附证书证件均为原件扫描件，并采用单位数字证书，</w:t>
      </w:r>
      <w:r>
        <w:rPr>
          <w:rFonts w:hint="eastAsia" w:ascii="宋体" w:hAnsi="宋体"/>
          <w:color w:val="auto"/>
          <w:sz w:val="24"/>
          <w:highlight w:val="none"/>
        </w:rPr>
        <w:t>对投标文件加盖电子印章。</w:t>
      </w:r>
      <w:r>
        <w:rPr>
          <w:rFonts w:hint="eastAsia" w:ascii="宋体" w:hAnsi="宋体"/>
          <w:color w:val="auto"/>
          <w:sz w:val="24"/>
          <w:highlight w:val="none"/>
        </w:rPr>
        <w:t>投标文件中需个人签字或盖章的，应加盖个人电子印章或在线下完成后扫描上传。按照交易平台关于</w:t>
      </w:r>
      <w:r>
        <w:rPr>
          <w:rFonts w:hint="eastAsia"/>
          <w:color w:val="auto"/>
          <w:sz w:val="24"/>
          <w:szCs w:val="24"/>
          <w:highlight w:val="none"/>
        </w:rPr>
        <w:t>全流程电子化项目的相关指南进行操作。详见：</w:t>
      </w:r>
      <w:r>
        <w:rPr>
          <w:rFonts w:hint="eastAsia"/>
          <w:color w:val="auto"/>
          <w:sz w:val="24"/>
          <w:szCs w:val="24"/>
          <w:highlight w:val="none"/>
          <w:u w:val="single"/>
        </w:rPr>
        <w:t>广州交易集团有限公司（广州公共资源交易中心）网站。</w:t>
      </w:r>
    </w:p>
    <w:p w14:paraId="74A16C12">
      <w:pPr>
        <w:pStyle w:val="5"/>
        <w:spacing w:after="0"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 xml:space="preserve">12.3 </w:t>
      </w:r>
      <w:r>
        <w:rPr>
          <w:rFonts w:hint="eastAsia" w:ascii="宋体" w:hAnsi="宋体"/>
          <w:bCs/>
          <w:color w:val="auto"/>
          <w:sz w:val="24"/>
          <w:szCs w:val="24"/>
          <w:highlight w:val="none"/>
        </w:rPr>
        <w:t>投标文件应按</w:t>
      </w:r>
      <w:r>
        <w:rPr>
          <w:rFonts w:hint="eastAsia" w:ascii="宋体" w:hAnsi="宋体"/>
          <w:color w:val="auto"/>
          <w:sz w:val="24"/>
          <w:highlight w:val="none"/>
        </w:rPr>
        <w:t>照交易平台关于全流程电子化项目的相关指南进行编制，详见：</w:t>
      </w:r>
      <w:r>
        <w:rPr>
          <w:rFonts w:hint="eastAsia" w:ascii="宋体" w:hAnsi="宋体"/>
          <w:color w:val="auto"/>
          <w:sz w:val="24"/>
          <w:highlight w:val="none"/>
          <w:u w:val="single"/>
        </w:rPr>
        <w:t>广州交易集团有限公司（广州公共资源交易中心）网站。</w:t>
      </w:r>
    </w:p>
    <w:p w14:paraId="6FBBF688">
      <w:pPr>
        <w:pStyle w:val="5"/>
        <w:spacing w:after="0" w:line="360" w:lineRule="auto"/>
        <w:ind w:firstLine="480" w:firstLineChars="200"/>
        <w:rPr>
          <w:rFonts w:hint="eastAsia" w:ascii="宋体" w:hAnsi="宋体"/>
          <w:color w:val="auto"/>
          <w:sz w:val="24"/>
          <w:highlight w:val="none"/>
        </w:rPr>
      </w:pPr>
      <w:r>
        <w:rPr>
          <w:rFonts w:hint="eastAsia" w:ascii="宋体" w:hAnsi="宋体"/>
          <w:bCs/>
          <w:color w:val="auto"/>
          <w:sz w:val="24"/>
          <w:szCs w:val="24"/>
          <w:highlight w:val="none"/>
        </w:rPr>
        <w:t>如不按上述要求编制引起系统无法检索、读取相关信息的，其后果由投标人承担。</w:t>
      </w:r>
    </w:p>
    <w:p w14:paraId="18EDB353">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13</w:t>
      </w:r>
      <w:r>
        <w:rPr>
          <w:rFonts w:hint="eastAsia" w:ascii="宋体" w:hAnsi="宋体"/>
          <w:b/>
          <w:bCs/>
          <w:color w:val="auto"/>
          <w:sz w:val="24"/>
          <w:highlight w:val="none"/>
        </w:rPr>
        <w:t>．投标报价及造价承包和变更结算方式</w:t>
      </w:r>
    </w:p>
    <w:p w14:paraId="72052AA0">
      <w:pPr>
        <w:pStyle w:val="5"/>
        <w:spacing w:after="0" w:line="360" w:lineRule="auto"/>
        <w:ind w:firstLine="480" w:firstLineChars="200"/>
        <w:rPr>
          <w:rFonts w:ascii="宋体"/>
          <w:color w:val="auto"/>
          <w:sz w:val="24"/>
          <w:highlight w:val="none"/>
          <w:u w:val="single"/>
        </w:rPr>
      </w:pPr>
      <w:r>
        <w:rPr>
          <w:rFonts w:ascii="宋体" w:hAnsi="宋体"/>
          <w:color w:val="auto"/>
          <w:sz w:val="24"/>
          <w:highlight w:val="none"/>
        </w:rPr>
        <w:t xml:space="preserve">13.1 </w:t>
      </w:r>
      <w:r>
        <w:rPr>
          <w:rFonts w:hint="eastAsia" w:ascii="宋体" w:hAnsi="宋体"/>
          <w:color w:val="auto"/>
          <w:sz w:val="24"/>
          <w:highlight w:val="none"/>
        </w:rPr>
        <w:t>本工程的投标报价采用投标须知前附表第</w:t>
      </w:r>
      <w:r>
        <w:rPr>
          <w:rFonts w:ascii="宋体" w:hAnsi="宋体"/>
          <w:color w:val="auto"/>
          <w:sz w:val="24"/>
          <w:highlight w:val="none"/>
        </w:rPr>
        <w:t>1</w:t>
      </w:r>
      <w:r>
        <w:rPr>
          <w:rFonts w:hint="eastAsia" w:ascii="宋体" w:hAnsi="宋体"/>
          <w:color w:val="auto"/>
          <w:sz w:val="24"/>
          <w:highlight w:val="none"/>
        </w:rPr>
        <w:t>4项所规定的方式。投标报价（含单价及总价）精确到“分”。</w:t>
      </w:r>
      <w:r>
        <w:rPr>
          <w:rFonts w:hint="eastAsia" w:ascii="宋体" w:hAnsi="宋体"/>
          <w:color w:val="auto"/>
          <w:sz w:val="24"/>
          <w:highlight w:val="none"/>
          <w:u w:val="single"/>
        </w:rPr>
        <w:t>投标文件中的大写金额和小写金额不一致的，以大写金额为准。</w:t>
      </w:r>
    </w:p>
    <w:p w14:paraId="4B413429">
      <w:pPr>
        <w:pStyle w:val="5"/>
        <w:spacing w:after="0" w:line="360" w:lineRule="auto"/>
        <w:ind w:firstLine="480" w:firstLineChars="200"/>
        <w:rPr>
          <w:rFonts w:ascii="宋体"/>
          <w:color w:val="auto"/>
          <w:sz w:val="24"/>
          <w:highlight w:val="none"/>
        </w:rPr>
      </w:pPr>
      <w:r>
        <w:rPr>
          <w:rFonts w:ascii="宋体" w:hAnsi="宋体"/>
          <w:color w:val="auto"/>
          <w:sz w:val="24"/>
          <w:highlight w:val="none"/>
        </w:rPr>
        <w:t>13.2</w:t>
      </w:r>
      <w:r>
        <w:rPr>
          <w:rFonts w:hint="eastAsia" w:ascii="宋体" w:hAnsi="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1F7AE270">
      <w:pPr>
        <w:pStyle w:val="5"/>
        <w:spacing w:after="0" w:line="360" w:lineRule="auto"/>
        <w:ind w:firstLine="480" w:firstLineChars="200"/>
        <w:rPr>
          <w:rFonts w:ascii="宋体"/>
          <w:color w:val="auto"/>
          <w:sz w:val="24"/>
          <w:highlight w:val="none"/>
        </w:rPr>
      </w:pPr>
      <w:r>
        <w:rPr>
          <w:rFonts w:ascii="宋体" w:hAnsi="宋体"/>
          <w:color w:val="auto"/>
          <w:sz w:val="24"/>
          <w:highlight w:val="none"/>
        </w:rPr>
        <w:t>13.3</w:t>
      </w:r>
      <w:r>
        <w:rPr>
          <w:rFonts w:hint="eastAsia" w:ascii="宋体" w:hAnsi="宋体"/>
          <w:color w:val="auto"/>
          <w:sz w:val="24"/>
          <w:highlight w:val="none"/>
        </w:rPr>
        <w:t>投标人的投标报价，应是按照投标须知前附表第</w:t>
      </w:r>
      <w:r>
        <w:rPr>
          <w:rFonts w:ascii="宋体" w:hAnsi="宋体"/>
          <w:color w:val="auto"/>
          <w:sz w:val="24"/>
          <w:highlight w:val="none"/>
        </w:rPr>
        <w:t>8</w:t>
      </w:r>
      <w:r>
        <w:rPr>
          <w:rFonts w:hint="eastAsia" w:ascii="宋体" w:hAnsi="宋体"/>
          <w:color w:val="auto"/>
          <w:sz w:val="24"/>
          <w:highlight w:val="none"/>
        </w:rPr>
        <w:t>项的工期要求，在投标须知前附表第</w:t>
      </w:r>
      <w:r>
        <w:rPr>
          <w:rFonts w:ascii="宋体" w:hAnsi="宋体"/>
          <w:color w:val="auto"/>
          <w:sz w:val="24"/>
          <w:highlight w:val="none"/>
        </w:rPr>
        <w:t>3</w:t>
      </w:r>
      <w:r>
        <w:rPr>
          <w:rFonts w:hint="eastAsia" w:ascii="宋体" w:hAnsi="宋体"/>
          <w:color w:val="auto"/>
          <w:sz w:val="24"/>
          <w:highlight w:val="none"/>
        </w:rPr>
        <w:t>项的建设地点，完成投标须知前附表第</w:t>
      </w:r>
      <w:r>
        <w:rPr>
          <w:rFonts w:ascii="宋体" w:hAnsi="宋体"/>
          <w:color w:val="auto"/>
          <w:sz w:val="24"/>
          <w:highlight w:val="none"/>
        </w:rPr>
        <w:t>7</w:t>
      </w:r>
      <w:r>
        <w:rPr>
          <w:rFonts w:hint="eastAsia" w:ascii="宋体" w:hAnsi="宋体"/>
          <w:color w:val="auto"/>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484D987C">
      <w:pPr>
        <w:pStyle w:val="5"/>
        <w:spacing w:after="0" w:line="360" w:lineRule="auto"/>
        <w:ind w:firstLine="480" w:firstLineChars="200"/>
        <w:rPr>
          <w:rFonts w:hint="eastAsia" w:ascii="宋体" w:hAnsi="宋体"/>
          <w:color w:val="auto"/>
          <w:sz w:val="24"/>
          <w:szCs w:val="24"/>
          <w:highlight w:val="none"/>
          <w:u w:val="single"/>
        </w:rPr>
      </w:pPr>
      <w:r>
        <w:rPr>
          <w:rFonts w:ascii="宋体" w:hAnsi="宋体"/>
          <w:color w:val="auto"/>
          <w:sz w:val="24"/>
          <w:szCs w:val="24"/>
          <w:highlight w:val="none"/>
        </w:rPr>
        <w:t>13.4</w:t>
      </w:r>
      <w:r>
        <w:rPr>
          <w:rFonts w:hint="eastAsia" w:ascii="宋体" w:hAnsi="宋体"/>
          <w:color w:val="auto"/>
          <w:sz w:val="24"/>
          <w:szCs w:val="24"/>
          <w:highlight w:val="none"/>
        </w:rPr>
        <w:t>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价格风险幅度为±5%、机械台班价格风险幅度为±10%，波动涨跌幅度超过合同基准期（指递交投标文件截止日期前28天）价格和人工涨跌变化影响合同价款时，应根据合同约定，按《建设工程工程量清单计价规范》（GB5500-2013）调整合同价款，以广州市造价管理站同期《广州地区建设工程材料综合价格》、工程造价管理机构同期发布的工程造价信息,当工程造价信息没有发布时，以承包人、监理单位、发包人确认的与广州周边城市市场价的询价材料单价计算，则超过部分的价格予以足额调整。</w:t>
      </w:r>
    </w:p>
    <w:p w14:paraId="63DFB6EB">
      <w:pPr>
        <w:pStyle w:val="5"/>
        <w:spacing w:after="0" w:line="360" w:lineRule="auto"/>
        <w:ind w:firstLine="480" w:firstLineChars="200"/>
        <w:rPr>
          <w:rFonts w:ascii="宋体"/>
          <w:color w:val="auto"/>
          <w:sz w:val="24"/>
          <w:highlight w:val="none"/>
        </w:rPr>
      </w:pPr>
      <w:r>
        <w:rPr>
          <w:rFonts w:ascii="宋体" w:hAnsi="宋体"/>
          <w:color w:val="auto"/>
          <w:sz w:val="24"/>
          <w:highlight w:val="none"/>
        </w:rPr>
        <w:t>13.5</w:t>
      </w:r>
      <w:r>
        <w:rPr>
          <w:rFonts w:hint="eastAsia" w:ascii="宋体" w:hAnsi="宋体"/>
          <w:color w:val="auto"/>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14:paraId="18794877">
      <w:pPr>
        <w:pStyle w:val="5"/>
        <w:spacing w:after="0" w:line="360" w:lineRule="auto"/>
        <w:ind w:firstLine="480" w:firstLineChars="200"/>
        <w:rPr>
          <w:rFonts w:hint="eastAsia" w:ascii="宋体" w:hAnsi="宋体"/>
          <w:color w:val="auto"/>
          <w:sz w:val="24"/>
          <w:highlight w:val="none"/>
          <w:u w:val="single"/>
        </w:rPr>
      </w:pPr>
      <w:r>
        <w:rPr>
          <w:rFonts w:ascii="宋体" w:hAnsi="宋体"/>
          <w:color w:val="auto"/>
          <w:sz w:val="24"/>
          <w:highlight w:val="none"/>
        </w:rPr>
        <w:t>13.5.1</w:t>
      </w:r>
      <w:r>
        <w:rPr>
          <w:rFonts w:hint="eastAsia" w:ascii="宋体" w:hAnsi="宋体"/>
          <w:color w:val="auto"/>
          <w:sz w:val="24"/>
          <w:highlight w:val="none"/>
        </w:rPr>
        <w:t>中标的投标文件工程量清单中已有相同项目的,</w:t>
      </w:r>
      <w:r>
        <w:rPr>
          <w:rFonts w:hint="eastAsia" w:ascii="宋体" w:hAnsi="宋体"/>
          <w:color w:val="auto"/>
          <w:sz w:val="24"/>
          <w:highlight w:val="none"/>
          <w:u w:val="single"/>
        </w:rPr>
        <w:t>该项目的综合单价若低于招标控制价相应项目综合单价,则沿用;若高于招标控制价相应项目综合单价,则按招标控制价相应项目的综合单价。</w:t>
      </w:r>
    </w:p>
    <w:p w14:paraId="7FDDB0B4">
      <w:pPr>
        <w:pStyle w:val="5"/>
        <w:spacing w:after="0" w:line="360" w:lineRule="auto"/>
        <w:ind w:firstLine="480" w:firstLineChars="200"/>
        <w:rPr>
          <w:rFonts w:hint="eastAsia" w:ascii="宋体" w:hAnsi="宋体"/>
          <w:color w:val="auto"/>
          <w:sz w:val="24"/>
          <w:highlight w:val="none"/>
        </w:rPr>
      </w:pPr>
      <w:r>
        <w:rPr>
          <w:rFonts w:ascii="宋体" w:hAnsi="宋体"/>
          <w:color w:val="auto"/>
          <w:sz w:val="24"/>
          <w:highlight w:val="none"/>
        </w:rPr>
        <w:t>13.5.2</w:t>
      </w:r>
      <w:r>
        <w:rPr>
          <w:rFonts w:hint="eastAsia" w:ascii="宋体" w:hAnsi="宋体"/>
          <w:color w:val="auto"/>
          <w:sz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增城区住房和城乡建设局同期《建设工程地方材料指导价格》计算；若增城区住房和城乡建设局同期《建设工程地方材料指导价格》没有的材料单价按广州市造价管理站同期《广州地区建设工程材料综合价格》计算；若上述两地区的建设工程材料指导价均没有的材料单价，凭监理单位及甲方确认的与市场价相符的</w:t>
      </w:r>
      <w:r>
        <w:rPr>
          <w:rFonts w:hint="eastAsia" w:ascii="宋体" w:hAnsi="宋体"/>
          <w:color w:val="auto"/>
          <w:sz w:val="24"/>
          <w:szCs w:val="24"/>
          <w:highlight w:val="none"/>
          <w:u w:val="single"/>
        </w:rPr>
        <w:t>询价</w:t>
      </w:r>
      <w:r>
        <w:rPr>
          <w:rFonts w:hint="eastAsia" w:ascii="宋体" w:hAnsi="宋体"/>
          <w:color w:val="auto"/>
          <w:sz w:val="24"/>
          <w:highlight w:val="none"/>
        </w:rPr>
        <w:t>材料单价计算，并按中标浮动率下浮后作结算。</w:t>
      </w:r>
    </w:p>
    <w:p w14:paraId="76D0E16C">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13.5.3 </w:t>
      </w:r>
      <w:r>
        <w:rPr>
          <w:rFonts w:hint="eastAsia" w:ascii="宋体" w:hAnsi="宋体"/>
          <w:color w:val="auto"/>
          <w:sz w:val="24"/>
          <w:highlight w:val="none"/>
        </w:rPr>
        <w:t>中标的投标文件工程量清单中没有相同项目或类似项目的，如可套取相关定额，则以相关定额为基数下浮计算单价</w:t>
      </w:r>
      <w:r>
        <w:rPr>
          <w:rFonts w:ascii="宋体"/>
          <w:color w:val="auto"/>
          <w:sz w:val="24"/>
          <w:highlight w:val="none"/>
        </w:rPr>
        <w:t>,</w:t>
      </w:r>
      <w:r>
        <w:rPr>
          <w:rFonts w:hint="eastAsia" w:ascii="宋体" w:hAnsi="宋体"/>
          <w:color w:val="auto"/>
          <w:sz w:val="24"/>
          <w:highlight w:val="none"/>
        </w:rPr>
        <w:t>下浮率为中标价</w:t>
      </w:r>
      <w:r>
        <w:rPr>
          <w:rFonts w:hint="eastAsia" w:ascii="宋体" w:hAnsi="宋体"/>
          <w:color w:val="auto"/>
          <w:sz w:val="24"/>
          <w:szCs w:val="24"/>
          <w:highlight w:val="none"/>
        </w:rPr>
        <w:t>相对于最高投标限价的下</w:t>
      </w:r>
      <w:r>
        <w:rPr>
          <w:rFonts w:hint="eastAsia" w:ascii="宋体" w:hAnsi="宋体"/>
          <w:color w:val="auto"/>
          <w:sz w:val="24"/>
          <w:highlight w:val="none"/>
        </w:rPr>
        <w:t>浮率（下浮率</w:t>
      </w:r>
      <w:r>
        <w:rPr>
          <w:rFonts w:ascii="宋体" w:hAnsi="宋体"/>
          <w:color w:val="auto"/>
          <w:sz w:val="24"/>
          <w:highlight w:val="none"/>
        </w:rPr>
        <w:t>=(</w:t>
      </w:r>
      <w:r>
        <w:rPr>
          <w:rFonts w:hint="eastAsia" w:ascii="宋体" w:hAnsi="宋体"/>
          <w:color w:val="auto"/>
          <w:sz w:val="24"/>
          <w:szCs w:val="24"/>
          <w:highlight w:val="none"/>
        </w:rPr>
        <w:t>最高投标限价</w:t>
      </w:r>
      <w:r>
        <w:rPr>
          <w:rFonts w:ascii="宋体"/>
          <w:color w:val="auto"/>
          <w:sz w:val="24"/>
          <w:highlight w:val="none"/>
        </w:rPr>
        <w:t>-</w:t>
      </w:r>
      <w:r>
        <w:rPr>
          <w:rFonts w:hint="eastAsia" w:ascii="宋体" w:hAnsi="宋体"/>
          <w:color w:val="auto"/>
          <w:sz w:val="24"/>
          <w:highlight w:val="none"/>
        </w:rPr>
        <w:t>中标价</w:t>
      </w:r>
      <w:r>
        <w:rPr>
          <w:rFonts w:ascii="宋体" w:hAnsi="宋体"/>
          <w:color w:val="auto"/>
          <w:sz w:val="24"/>
          <w:highlight w:val="none"/>
        </w:rPr>
        <w:t>)/</w:t>
      </w:r>
      <w:r>
        <w:rPr>
          <w:rFonts w:ascii="宋体" w:hAnsi="宋体"/>
          <w:color w:val="auto"/>
          <w:sz w:val="24"/>
          <w:szCs w:val="24"/>
          <w:highlight w:val="none"/>
        </w:rPr>
        <w:t xml:space="preserve"> </w:t>
      </w:r>
      <w:r>
        <w:rPr>
          <w:rFonts w:hint="eastAsia" w:ascii="宋体" w:hAnsi="宋体"/>
          <w:color w:val="auto"/>
          <w:sz w:val="24"/>
          <w:szCs w:val="24"/>
          <w:highlight w:val="none"/>
        </w:rPr>
        <w:t>最高投标限价</w:t>
      </w:r>
      <w:r>
        <w:rPr>
          <w:rFonts w:hint="eastAsia" w:ascii="宋体" w:hAnsi="宋体"/>
          <w:color w:val="auto"/>
          <w:sz w:val="24"/>
          <w:highlight w:val="none"/>
        </w:rPr>
        <w:t>）。</w:t>
      </w:r>
    </w:p>
    <w:p w14:paraId="4664EC23">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13.5.4 </w:t>
      </w:r>
      <w:r>
        <w:rPr>
          <w:rFonts w:hint="eastAsia" w:ascii="宋体" w:hAnsi="宋体"/>
          <w:color w:val="auto"/>
          <w:sz w:val="24"/>
          <w:highlight w:val="none"/>
        </w:rPr>
        <w:t>如相关定额没有相应子目的，其计价方式由招标人在本招标文件第三章中另行规定。未规定的，中标后双方协商约定。</w:t>
      </w:r>
    </w:p>
    <w:p w14:paraId="28C3D6F4">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w:t>
      </w:r>
      <w:r>
        <w:rPr>
          <w:rFonts w:hint="eastAsia" w:ascii="宋体" w:hAnsi="宋体"/>
          <w:color w:val="auto"/>
          <w:sz w:val="24"/>
          <w:highlight w:val="none"/>
        </w:rPr>
        <w:t>暂列金额、暂估价</w:t>
      </w:r>
    </w:p>
    <w:p w14:paraId="7C1A191E">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13.6.1</w:t>
      </w:r>
      <w:r>
        <w:rPr>
          <w:rFonts w:hint="eastAsia" w:ascii="宋体" w:hAnsi="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104282DF">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暂估价是指招标人在工程量清单中提供的用于支付必然发生但暂时不能确定价格的材料的单价以及专业工程的金额。</w:t>
      </w:r>
    </w:p>
    <w:p w14:paraId="62A358EF">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13.6.2</w:t>
      </w:r>
      <w:r>
        <w:rPr>
          <w:rFonts w:hint="eastAsia" w:ascii="宋体" w:hAnsi="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2F97C44F">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13.6.3</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6C52CB5C">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13.6.4</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highlight w:val="none"/>
        </w:rPr>
        <w:t>13.5</w:t>
      </w:r>
      <w:r>
        <w:rPr>
          <w:rFonts w:hint="eastAsia" w:ascii="宋体" w:hAnsi="宋体"/>
          <w:color w:val="auto"/>
          <w:sz w:val="24"/>
          <w:highlight w:val="none"/>
        </w:rPr>
        <w:t>款规定确定。</w:t>
      </w:r>
    </w:p>
    <w:p w14:paraId="3F507F42">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13.6.5</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0E2EE41E">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13.6.6 </w:t>
      </w:r>
      <w:r>
        <w:rPr>
          <w:rFonts w:hint="eastAsia" w:ascii="宋体" w:hAnsi="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37F1FDE8">
      <w:pPr>
        <w:pStyle w:val="5"/>
        <w:spacing w:after="0" w:line="360" w:lineRule="auto"/>
        <w:ind w:firstLine="480" w:firstLineChars="200"/>
        <w:rPr>
          <w:rFonts w:ascii="宋体"/>
          <w:color w:val="auto"/>
          <w:sz w:val="24"/>
          <w:highlight w:val="none"/>
        </w:rPr>
      </w:pPr>
      <w:r>
        <w:rPr>
          <w:rFonts w:ascii="宋体" w:hAnsi="宋体"/>
          <w:color w:val="auto"/>
          <w:sz w:val="24"/>
          <w:highlight w:val="none"/>
        </w:rPr>
        <w:t>13.7</w:t>
      </w:r>
      <w:r>
        <w:rPr>
          <w:rFonts w:hint="eastAsia" w:ascii="宋体" w:hAnsi="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14:paraId="59A69129">
      <w:pPr>
        <w:pStyle w:val="5"/>
        <w:spacing w:after="0" w:line="360" w:lineRule="auto"/>
        <w:ind w:firstLine="480" w:firstLineChars="200"/>
        <w:rPr>
          <w:rFonts w:ascii="宋体"/>
          <w:color w:val="auto"/>
          <w:sz w:val="24"/>
          <w:highlight w:val="none"/>
        </w:rPr>
      </w:pPr>
      <w:r>
        <w:rPr>
          <w:rFonts w:ascii="宋体" w:hAnsi="宋体"/>
          <w:color w:val="auto"/>
          <w:sz w:val="24"/>
          <w:highlight w:val="none"/>
        </w:rPr>
        <w:t>13.8</w:t>
      </w:r>
      <w:r>
        <w:rPr>
          <w:rFonts w:hint="eastAsia" w:ascii="宋体" w:hAnsi="宋体"/>
          <w:color w:val="auto"/>
          <w:sz w:val="24"/>
          <w:highlight w:val="none"/>
        </w:rPr>
        <w:t>属于承包人自行采购的主要材料、设备，招标人应当在招标文件中提出材料、设备的技术标准或者质量要求，或者提出不少于</w:t>
      </w:r>
      <w:r>
        <w:rPr>
          <w:rFonts w:ascii="宋体" w:hAnsi="宋体"/>
          <w:color w:val="auto"/>
          <w:sz w:val="24"/>
          <w:highlight w:val="none"/>
        </w:rPr>
        <w:t>3</w:t>
      </w:r>
      <w:r>
        <w:rPr>
          <w:rFonts w:hint="eastAsia" w:ascii="宋体" w:hAnsi="宋体"/>
          <w:color w:val="auto"/>
          <w:sz w:val="24"/>
          <w:highlight w:val="none"/>
        </w:rPr>
        <w:t>个同等档次品牌或分包商供投标人报价时选择</w:t>
      </w:r>
      <w:r>
        <w:rPr>
          <w:rFonts w:ascii="宋体"/>
          <w:color w:val="auto"/>
          <w:sz w:val="24"/>
          <w:highlight w:val="none"/>
        </w:rPr>
        <w:t>,</w:t>
      </w:r>
      <w:r>
        <w:rPr>
          <w:rFonts w:hint="eastAsia" w:ascii="宋体" w:hAnsi="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14:paraId="661BB09A">
      <w:pPr>
        <w:pStyle w:val="5"/>
        <w:spacing w:after="0" w:line="360" w:lineRule="auto"/>
        <w:ind w:firstLine="480" w:firstLineChars="200"/>
        <w:rPr>
          <w:rFonts w:ascii="宋体"/>
          <w:color w:val="auto"/>
          <w:sz w:val="24"/>
          <w:szCs w:val="24"/>
          <w:highlight w:val="none"/>
        </w:rPr>
      </w:pPr>
      <w:r>
        <w:rPr>
          <w:rFonts w:ascii="宋体" w:hAnsi="宋体"/>
          <w:color w:val="auto"/>
          <w:sz w:val="24"/>
          <w:highlight w:val="none"/>
        </w:rPr>
        <w:t>13.9</w:t>
      </w:r>
      <w:r>
        <w:rPr>
          <w:rFonts w:hint="eastAsia" w:asci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4F52F490">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14</w:t>
      </w:r>
      <w:r>
        <w:rPr>
          <w:rFonts w:hint="eastAsia" w:ascii="宋体" w:hAnsi="宋体"/>
          <w:b/>
          <w:bCs/>
          <w:color w:val="auto"/>
          <w:sz w:val="24"/>
          <w:highlight w:val="none"/>
        </w:rPr>
        <w:t>．投标货币</w:t>
      </w:r>
    </w:p>
    <w:p w14:paraId="3C7D1260">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14.1 </w:t>
      </w:r>
      <w:r>
        <w:rPr>
          <w:rFonts w:hint="eastAsia" w:ascii="宋体" w:hAnsi="宋体"/>
          <w:color w:val="auto"/>
          <w:sz w:val="24"/>
          <w:highlight w:val="none"/>
        </w:rPr>
        <w:t>本工程投标报价采用的币种为人民币。</w:t>
      </w:r>
    </w:p>
    <w:p w14:paraId="2536D374">
      <w:pPr>
        <w:pStyle w:val="5"/>
        <w:spacing w:after="0" w:line="360" w:lineRule="auto"/>
        <w:ind w:firstLine="482" w:firstLineChars="200"/>
        <w:rPr>
          <w:rFonts w:ascii="宋体"/>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．投标有效期</w:t>
      </w:r>
    </w:p>
    <w:p w14:paraId="435AD62B">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15.1 </w:t>
      </w:r>
      <w:r>
        <w:rPr>
          <w:rFonts w:hint="eastAsia" w:ascii="宋体" w:hAnsi="宋体"/>
          <w:color w:val="auto"/>
          <w:sz w:val="24"/>
          <w:highlight w:val="none"/>
        </w:rPr>
        <w:t>投标有效期见投标须知前附表第15项所规定的期限，在此期限内，凡符合本招标文件要求的投标文件均保持有效。</w:t>
      </w:r>
    </w:p>
    <w:p w14:paraId="0ED6FEF9">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sz w:val="24"/>
          <w:highlight w:val="none"/>
        </w:rPr>
        <w:t>16</w:t>
      </w:r>
      <w:r>
        <w:rPr>
          <w:rFonts w:hint="eastAsia" w:ascii="宋体" w:hAnsi="宋体"/>
          <w:color w:val="auto"/>
          <w:sz w:val="24"/>
          <w:highlight w:val="none"/>
        </w:rPr>
        <w:t>条关于投标保证金的退还与不予退还的规定仍然适用。</w:t>
      </w:r>
    </w:p>
    <w:p w14:paraId="690057A4">
      <w:pPr>
        <w:pStyle w:val="5"/>
        <w:spacing w:after="0" w:line="360" w:lineRule="auto"/>
        <w:ind w:firstLine="482" w:firstLineChars="200"/>
        <w:rPr>
          <w:rFonts w:ascii="宋体"/>
          <w:b/>
          <w:bCs/>
          <w:strike/>
          <w:color w:val="auto"/>
          <w:sz w:val="24"/>
          <w:highlight w:val="none"/>
        </w:rPr>
      </w:pPr>
      <w:r>
        <w:rPr>
          <w:rFonts w:ascii="宋体" w:hAnsi="宋体"/>
          <w:b/>
          <w:bCs/>
          <w:strike/>
          <w:color w:val="auto"/>
          <w:sz w:val="24"/>
          <w:highlight w:val="none"/>
        </w:rPr>
        <w:t>16</w:t>
      </w:r>
      <w:r>
        <w:rPr>
          <w:rFonts w:hint="eastAsia" w:ascii="宋体" w:hAnsi="宋体"/>
          <w:b/>
          <w:bCs/>
          <w:strike/>
          <w:color w:val="auto"/>
          <w:sz w:val="24"/>
          <w:highlight w:val="none"/>
        </w:rPr>
        <w:t>．投标保证金</w:t>
      </w:r>
    </w:p>
    <w:p w14:paraId="4D2F2FD4">
      <w:pPr>
        <w:spacing w:line="360" w:lineRule="auto"/>
        <w:ind w:firstLine="480" w:firstLineChars="200"/>
        <w:rPr>
          <w:rFonts w:hint="eastAsia" w:ascii="宋体" w:hAnsi="宋体"/>
          <w:strike/>
          <w:color w:val="auto"/>
          <w:sz w:val="24"/>
          <w:highlight w:val="none"/>
        </w:rPr>
      </w:pPr>
      <w:r>
        <w:rPr>
          <w:rFonts w:ascii="宋体" w:hAnsi="宋体"/>
          <w:strike/>
          <w:color w:val="auto"/>
          <w:sz w:val="24"/>
          <w:highlight w:val="none"/>
        </w:rPr>
        <w:t>16.1</w:t>
      </w:r>
      <w:r>
        <w:rPr>
          <w:rFonts w:hint="eastAsia" w:ascii="宋体" w:hAnsi="宋体"/>
          <w:strike/>
          <w:color w:val="auto"/>
          <w:sz w:val="24"/>
          <w:highlight w:val="none"/>
        </w:rPr>
        <w:t>投标人应按国家、省、市有关规定和投标须知前附表第16项所述金额和时间递交</w:t>
      </w:r>
      <w:r>
        <w:rPr>
          <w:rFonts w:hint="eastAsia" w:ascii="宋体" w:hAnsi="宋体"/>
          <w:bCs/>
          <w:strike/>
          <w:color w:val="auto"/>
          <w:sz w:val="24"/>
          <w:highlight w:val="none"/>
        </w:rPr>
        <w:t>投标保证金</w:t>
      </w:r>
      <w:r>
        <w:rPr>
          <w:rFonts w:hint="eastAsia" w:ascii="宋体" w:hAnsi="宋体"/>
          <w:strike/>
          <w:color w:val="auto"/>
          <w:sz w:val="24"/>
          <w:highlight w:val="none"/>
        </w:rPr>
        <w:t>。招标人应当允许投标人自主选择现金、银行保函、保证保险、专业工程担保公司担保等方式缴纳投标保证金。</w:t>
      </w:r>
    </w:p>
    <w:p w14:paraId="264ABE85">
      <w:pPr>
        <w:spacing w:line="360" w:lineRule="auto"/>
        <w:ind w:firstLine="480" w:firstLineChars="200"/>
        <w:rPr>
          <w:rFonts w:hint="eastAsia" w:ascii="宋体" w:hAnsi="宋体"/>
          <w:strike/>
          <w:color w:val="auto"/>
          <w:sz w:val="24"/>
          <w:highlight w:val="none"/>
        </w:rPr>
      </w:pPr>
      <w:r>
        <w:rPr>
          <w:rFonts w:hint="eastAsia" w:ascii="宋体" w:hAnsi="宋体"/>
          <w:strike/>
          <w:color w:val="auto"/>
          <w:sz w:val="24"/>
          <w:highlight w:val="none"/>
        </w:rPr>
        <w:t>16.1.1 采用现金或者支票形式提交的，投标保证金须从投标人的银行基本账户转出。</w:t>
      </w:r>
    </w:p>
    <w:p w14:paraId="1C7BBA60">
      <w:pPr>
        <w:spacing w:line="360" w:lineRule="auto"/>
        <w:ind w:firstLine="480" w:firstLineChars="200"/>
        <w:rPr>
          <w:rFonts w:hint="eastAsia" w:ascii="宋体" w:hAnsi="宋体"/>
          <w:strike/>
          <w:color w:val="auto"/>
          <w:sz w:val="24"/>
          <w:highlight w:val="none"/>
        </w:rPr>
      </w:pPr>
      <w:r>
        <w:rPr>
          <w:rFonts w:hint="eastAsia" w:ascii="宋体" w:hAnsi="宋体"/>
          <w:strike/>
          <w:color w:val="auto"/>
          <w:sz w:val="24"/>
          <w:highlight w:val="none"/>
        </w:rPr>
        <w:t>16.1.2 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51A9C858">
      <w:pPr>
        <w:spacing w:line="360" w:lineRule="auto"/>
        <w:ind w:firstLine="480" w:firstLineChars="200"/>
        <w:rPr>
          <w:rFonts w:hint="eastAsia" w:ascii="宋体" w:hAnsi="宋体"/>
          <w:strike/>
          <w:color w:val="auto"/>
          <w:sz w:val="24"/>
          <w:highlight w:val="none"/>
        </w:rPr>
      </w:pPr>
      <w:r>
        <w:rPr>
          <w:rFonts w:hint="eastAsia" w:ascii="宋体" w:hAnsi="宋体"/>
          <w:strike/>
          <w:color w:val="auto"/>
          <w:sz w:val="24"/>
          <w:highlight w:val="none"/>
        </w:rPr>
        <w:t>16.1.3 采用电子形式的保函、担保或保证保险提交投标保证金的，应在招标文件中明确电子递交途径。</w:t>
      </w:r>
    </w:p>
    <w:p w14:paraId="7977BF24">
      <w:pPr>
        <w:spacing w:line="360" w:lineRule="auto"/>
        <w:ind w:firstLine="480" w:firstLineChars="200"/>
        <w:rPr>
          <w:rFonts w:hint="eastAsia" w:ascii="宋体" w:hAnsi="宋体"/>
          <w:strike/>
          <w:color w:val="auto"/>
          <w:sz w:val="24"/>
          <w:highlight w:val="none"/>
        </w:rPr>
      </w:pPr>
      <w:r>
        <w:rPr>
          <w:rFonts w:hint="eastAsia" w:ascii="宋体" w:hAnsi="宋体"/>
          <w:strike/>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01ECCCDB">
      <w:pPr>
        <w:spacing w:line="360" w:lineRule="auto"/>
        <w:ind w:firstLine="480" w:firstLineChars="200"/>
        <w:rPr>
          <w:rFonts w:hint="eastAsia" w:ascii="宋体" w:hAnsi="宋体"/>
          <w:strike/>
          <w:color w:val="auto"/>
          <w:sz w:val="24"/>
          <w:highlight w:val="none"/>
        </w:rPr>
      </w:pPr>
      <w:r>
        <w:rPr>
          <w:rFonts w:hint="eastAsia" w:ascii="宋体" w:hAnsi="宋体"/>
          <w:strike/>
          <w:color w:val="auto"/>
          <w:sz w:val="24"/>
          <w:highlight w:val="none"/>
        </w:rPr>
        <w:t>16.3投标保证金应依据法律法规的相关规定退还。</w:t>
      </w:r>
    </w:p>
    <w:p w14:paraId="747B9BF0">
      <w:pPr>
        <w:spacing w:line="360" w:lineRule="auto"/>
        <w:ind w:firstLine="480" w:firstLineChars="200"/>
        <w:rPr>
          <w:rFonts w:hint="eastAsia" w:ascii="宋体" w:hAnsi="宋体"/>
          <w:strike/>
          <w:color w:val="auto"/>
          <w:sz w:val="24"/>
          <w:highlight w:val="none"/>
        </w:rPr>
      </w:pPr>
      <w:r>
        <w:rPr>
          <w:rFonts w:hint="eastAsia" w:ascii="宋体" w:hAnsi="宋体"/>
          <w:strike/>
          <w:color w:val="auto"/>
          <w:sz w:val="24"/>
          <w:highlight w:val="none"/>
        </w:rPr>
        <w:t>16.4如有下列情况之一的，招标人可以不予退还投标保证金（是否退还投标保证金由招标人依法依规在招标文件中规定）：</w:t>
      </w:r>
    </w:p>
    <w:p w14:paraId="451A30BD">
      <w:pPr>
        <w:spacing w:line="360" w:lineRule="auto"/>
        <w:ind w:firstLine="480" w:firstLineChars="200"/>
        <w:rPr>
          <w:rFonts w:hint="eastAsia" w:ascii="宋体" w:hAnsi="宋体"/>
          <w:color w:val="auto"/>
          <w:sz w:val="24"/>
          <w:highlight w:val="none"/>
        </w:rPr>
      </w:pPr>
      <w:r>
        <w:rPr>
          <w:rFonts w:hint="eastAsia" w:ascii="宋体" w:hAnsi="宋体"/>
          <w:strike/>
          <w:color w:val="auto"/>
          <w:sz w:val="24"/>
          <w:highlight w:val="none"/>
        </w:rPr>
        <w:t>16.5投标人如存在下列情况之一的，将被拒绝在一定时期内参与招标人后续工程投标（由招标人依法依规在招标文件中明确）：</w:t>
      </w:r>
    </w:p>
    <w:p w14:paraId="18CC9875">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17</w:t>
      </w:r>
      <w:r>
        <w:rPr>
          <w:rFonts w:hint="eastAsia" w:ascii="宋体" w:hAnsi="宋体"/>
          <w:b/>
          <w:bCs/>
          <w:color w:val="auto"/>
          <w:sz w:val="24"/>
          <w:highlight w:val="none"/>
        </w:rPr>
        <w:t>．投标文件的签署</w:t>
      </w:r>
    </w:p>
    <w:p w14:paraId="7C017327">
      <w:pPr>
        <w:spacing w:line="360" w:lineRule="auto"/>
        <w:ind w:firstLine="480" w:firstLineChars="200"/>
        <w:rPr>
          <w:rFonts w:hint="eastAsia" w:ascii="宋体" w:hAnsi="宋体"/>
          <w:color w:val="auto"/>
          <w:sz w:val="24"/>
          <w:highlight w:val="none"/>
          <w:u w:val="single"/>
        </w:rPr>
      </w:pPr>
      <w:r>
        <w:rPr>
          <w:rFonts w:ascii="宋体" w:hAnsi="宋体"/>
          <w:color w:val="auto"/>
          <w:sz w:val="24"/>
          <w:highlight w:val="none"/>
        </w:rPr>
        <w:t>17.1</w:t>
      </w:r>
      <w:r>
        <w:rPr>
          <w:rFonts w:hint="eastAsia" w:ascii="宋体" w:hAnsi="宋体"/>
          <w:color w:val="auto"/>
          <w:sz w:val="24"/>
          <w:highlight w:val="none"/>
        </w:rPr>
        <w:t>投标人应采用单位数字证书，</w:t>
      </w:r>
      <w:r>
        <w:rPr>
          <w:rFonts w:hint="eastAsia" w:ascii="宋体" w:hAnsi="宋体"/>
          <w:color w:val="auto"/>
          <w:sz w:val="24"/>
          <w:highlight w:val="none"/>
        </w:rPr>
        <w:t>对投标文件加盖电子印章。</w:t>
      </w:r>
      <w:r>
        <w:rPr>
          <w:rFonts w:hint="eastAsia" w:ascii="宋体" w:hAnsi="宋体"/>
          <w:color w:val="auto"/>
          <w:sz w:val="24"/>
          <w:highlight w:val="none"/>
        </w:rPr>
        <w:t>投标文件中需个人签字或盖章的，应加盖个人电子印章或在线下完成后扫描上传。按照交易平台关于全流程电子化项目的相关指南进行操作。详见：</w:t>
      </w:r>
      <w:r>
        <w:rPr>
          <w:rFonts w:hint="eastAsia" w:ascii="宋体" w:hAnsi="宋体"/>
          <w:color w:val="auto"/>
          <w:sz w:val="24"/>
          <w:highlight w:val="none"/>
          <w:u w:val="single"/>
        </w:rPr>
        <w:t>广州交易集团有限公司（广州公共资源交易中心）网站。</w:t>
      </w:r>
    </w:p>
    <w:p w14:paraId="5EAB9747">
      <w:pPr>
        <w:pStyle w:val="8"/>
        <w:rPr>
          <w:rFonts w:hint="eastAsia"/>
          <w:color w:val="auto"/>
          <w:highlight w:val="none"/>
        </w:rPr>
      </w:pPr>
      <w:bookmarkStart w:id="29" w:name="_Toc32530"/>
      <w:bookmarkStart w:id="30" w:name="_Toc2272552"/>
      <w:bookmarkStart w:id="31" w:name="_Toc21525496"/>
      <w:bookmarkStart w:id="32" w:name="_Toc4944"/>
      <w:r>
        <w:rPr>
          <w:rFonts w:hint="eastAsia"/>
          <w:color w:val="auto"/>
          <w:highlight w:val="none"/>
        </w:rPr>
        <w:t>（四）投标文件的提交</w:t>
      </w:r>
      <w:bookmarkEnd w:id="29"/>
      <w:bookmarkEnd w:id="30"/>
      <w:bookmarkEnd w:id="31"/>
      <w:bookmarkEnd w:id="32"/>
    </w:p>
    <w:p w14:paraId="77D75F39">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18</w:t>
      </w:r>
      <w:r>
        <w:rPr>
          <w:rFonts w:hint="eastAsia" w:ascii="宋体" w:hAnsi="宋体"/>
          <w:b/>
          <w:bCs/>
          <w:color w:val="auto"/>
          <w:sz w:val="24"/>
          <w:highlight w:val="none"/>
        </w:rPr>
        <w:t>．</w:t>
      </w:r>
      <w:r>
        <w:rPr>
          <w:rFonts w:hint="eastAsia"/>
          <w:b/>
          <w:color w:val="auto"/>
          <w:sz w:val="24"/>
          <w:szCs w:val="24"/>
          <w:highlight w:val="none"/>
        </w:rPr>
        <w:t>投标文件的密封和标记</w:t>
      </w:r>
    </w:p>
    <w:p w14:paraId="1C6D0525">
      <w:pPr>
        <w:spacing w:line="360" w:lineRule="auto"/>
        <w:ind w:firstLine="480" w:firstLineChars="200"/>
        <w:rPr>
          <w:rFonts w:ascii="宋体"/>
          <w:bCs/>
          <w:color w:val="auto"/>
          <w:sz w:val="24"/>
          <w:highlight w:val="none"/>
          <w:u w:val="singl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.1</w:t>
      </w:r>
      <w:r>
        <w:rPr>
          <w:rFonts w:hint="eastAsia" w:ascii="宋体" w:hAnsi="宋体"/>
          <w:bCs/>
          <w:color w:val="auto"/>
          <w:sz w:val="24"/>
          <w:highlight w:val="none"/>
        </w:rPr>
        <w:t>递交的电子投标文件（不含备用光盘）必须进行加密。按照交易平台关于</w:t>
      </w:r>
      <w:r>
        <w:rPr>
          <w:rFonts w:hint="eastAsia"/>
          <w:color w:val="auto"/>
          <w:sz w:val="24"/>
          <w:szCs w:val="24"/>
          <w:highlight w:val="none"/>
        </w:rPr>
        <w:t>全流程电子化项目的相关指南进行操作。详见：</w:t>
      </w:r>
      <w:r>
        <w:rPr>
          <w:rFonts w:hint="eastAsia"/>
          <w:color w:val="auto"/>
          <w:sz w:val="24"/>
          <w:szCs w:val="24"/>
          <w:highlight w:val="none"/>
          <w:u w:val="single"/>
        </w:rPr>
        <w:t>广州交易集团有限公司（广州公共资源交易中心）网站。</w:t>
      </w:r>
    </w:p>
    <w:p w14:paraId="1D6B249A">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.2</w:t>
      </w:r>
      <w:r>
        <w:rPr>
          <w:rFonts w:ascii="宋体"/>
          <w:bCs/>
          <w:color w:val="auto"/>
          <w:sz w:val="24"/>
          <w:highlight w:val="none"/>
        </w:rPr>
        <w:t xml:space="preserve"> </w:t>
      </w:r>
      <w:r>
        <w:rPr>
          <w:rFonts w:hint="eastAsia" w:ascii="宋体"/>
          <w:bCs/>
          <w:color w:val="auto"/>
          <w:sz w:val="24"/>
          <w:highlight w:val="none"/>
        </w:rPr>
        <w:t>未按要求加密的投标文件，</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bCs/>
          <w:color w:val="auto"/>
          <w:sz w:val="24"/>
          <w:highlight w:val="none"/>
        </w:rPr>
        <w:t>将予以拒收。</w:t>
      </w:r>
    </w:p>
    <w:p w14:paraId="3267D85A">
      <w:pPr>
        <w:spacing w:line="360" w:lineRule="auto"/>
        <w:ind w:firstLine="482" w:firstLineChars="200"/>
        <w:rPr>
          <w:rFonts w:ascii="宋体"/>
          <w:b/>
          <w:bCs/>
          <w:color w:val="auto"/>
          <w:sz w:val="24"/>
          <w:highlight w:val="none"/>
        </w:rPr>
      </w:pPr>
      <w:r>
        <w:rPr>
          <w:rFonts w:ascii="宋体" w:hAnsi="宋体"/>
          <w:b/>
          <w:bCs/>
          <w:color w:val="auto"/>
          <w:sz w:val="24"/>
          <w:highlight w:val="none"/>
        </w:rPr>
        <w:t>19</w:t>
      </w:r>
      <w:r>
        <w:rPr>
          <w:rFonts w:hint="eastAsia" w:ascii="宋体" w:hAnsi="宋体"/>
          <w:b/>
          <w:bCs/>
          <w:color w:val="auto"/>
          <w:sz w:val="24"/>
          <w:highlight w:val="none"/>
        </w:rPr>
        <w:t>．投标文件的递交和接收</w:t>
      </w:r>
    </w:p>
    <w:p w14:paraId="54E3B535">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1投标人通过</w:t>
      </w:r>
      <w:r>
        <w:rPr>
          <w:rFonts w:hint="eastAsia"/>
          <w:color w:val="auto"/>
          <w:sz w:val="24"/>
          <w:szCs w:val="24"/>
          <w:highlight w:val="none"/>
          <w:u w:val="single"/>
        </w:rPr>
        <w:t>广州交易集团有限公司（广州公共资源交易中心</w:t>
      </w:r>
      <w:r>
        <w:rPr>
          <w:rFonts w:hint="eastAsia"/>
          <w:color w:val="auto"/>
          <w:sz w:val="24"/>
          <w:szCs w:val="24"/>
          <w:highlight w:val="none"/>
        </w:rPr>
        <w:t>）</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p>
    <w:p w14:paraId="3EAB9B27">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2投标人完成电子</w:t>
      </w:r>
      <w:r>
        <w:rPr>
          <w:rFonts w:hint="eastAsia" w:ascii="宋体" w:hAnsi="宋体"/>
          <w:color w:val="auto"/>
          <w:sz w:val="24"/>
          <w:highlight w:val="none"/>
        </w:rPr>
        <w:t>投标文件</w:t>
      </w:r>
      <w:r>
        <w:rPr>
          <w:rFonts w:hint="eastAsia" w:ascii="宋体" w:hAnsi="宋体"/>
          <w:bCs/>
          <w:color w:val="auto"/>
          <w:sz w:val="24"/>
          <w:highlight w:val="none"/>
        </w:rPr>
        <w:t>上传后，</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即时向投标人发出递交回执通知。递交时间以递交回执通知载明的传输完成时间为准。</w:t>
      </w:r>
    </w:p>
    <w:p w14:paraId="586C0C65">
      <w:pPr>
        <w:spacing w:line="360" w:lineRule="auto"/>
        <w:ind w:firstLine="480" w:firstLineChars="200"/>
        <w:rPr>
          <w:rFonts w:hint="eastAsia" w:ascii="宋体" w:hAnsi="宋体"/>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3</w:t>
      </w:r>
      <w:r>
        <w:rPr>
          <w:rFonts w:hint="eastAsia"/>
          <w:bCs/>
          <w:color w:val="auto"/>
          <w:sz w:val="24"/>
          <w:szCs w:val="24"/>
          <w:highlight w:val="none"/>
        </w:rPr>
        <w:t>逾期送达的</w:t>
      </w:r>
      <w:r>
        <w:rPr>
          <w:rFonts w:hint="eastAsia" w:ascii="宋体" w:hAnsi="宋体"/>
          <w:bCs/>
          <w:color w:val="auto"/>
          <w:sz w:val="24"/>
          <w:highlight w:val="none"/>
        </w:rPr>
        <w:t>电子投标文件，</w:t>
      </w:r>
      <w:r>
        <w:rPr>
          <w:rFonts w:hint="eastAsia" w:ascii="宋体" w:hAnsi="宋体"/>
          <w:bCs/>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14:paraId="442467BE">
      <w:pPr>
        <w:spacing w:line="360" w:lineRule="auto"/>
        <w:ind w:firstLine="480" w:firstLineChars="200"/>
        <w:rPr>
          <w:rFonts w:ascii="宋体"/>
          <w:color w:val="auto"/>
          <w:sz w:val="24"/>
          <w:highlight w:val="none"/>
        </w:rPr>
      </w:pPr>
      <w:r>
        <w:rPr>
          <w:rFonts w:ascii="宋体" w:hAnsi="宋体"/>
          <w:color w:val="auto"/>
          <w:sz w:val="24"/>
          <w:highlight w:val="none"/>
        </w:rPr>
        <w:t>19.</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szCs w:val="24"/>
          <w:highlight w:val="none"/>
        </w:rPr>
        <w:t>投标截止前，</w:t>
      </w:r>
      <w:r>
        <w:rPr>
          <w:rFonts w:hint="eastAsia"/>
          <w:color w:val="auto"/>
          <w:sz w:val="24"/>
          <w:szCs w:val="24"/>
          <w:highlight w:val="none"/>
        </w:rPr>
        <w:t>招标人拒绝接收符合条件的投标文件，投标人可向招标投标监督机构投诉。</w:t>
      </w:r>
    </w:p>
    <w:p w14:paraId="43ACB0D3">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19.</w:t>
      </w:r>
      <w:r>
        <w:rPr>
          <w:rFonts w:hint="eastAsia" w:ascii="宋体" w:hAnsi="宋体"/>
          <w:color w:val="auto"/>
          <w:sz w:val="24"/>
          <w:highlight w:val="none"/>
        </w:rPr>
        <w:t>5如技术标和经济标先后分别开启，</w:t>
      </w:r>
      <w:r>
        <w:rPr>
          <w:rFonts w:hint="eastAsia" w:ascii="宋体" w:hAnsi="宋体"/>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将按招标文件规定的时间分别开启技术标和经济标。</w:t>
      </w:r>
    </w:p>
    <w:p w14:paraId="53086F75">
      <w:pPr>
        <w:spacing w:line="360" w:lineRule="auto"/>
        <w:ind w:firstLine="482" w:firstLineChars="200"/>
        <w:rPr>
          <w:rFonts w:asci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14:paraId="05A8CF6C">
      <w:pPr>
        <w:spacing w:line="360" w:lineRule="auto"/>
        <w:ind w:firstLine="480" w:firstLineChars="200"/>
        <w:rPr>
          <w:rFonts w:asci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投标人应在投标须知前附表第17项所述的时间前提交投标文件。</w:t>
      </w:r>
    </w:p>
    <w:p w14:paraId="382A15A3">
      <w:pPr>
        <w:spacing w:line="360" w:lineRule="auto"/>
        <w:ind w:firstLine="480" w:firstLineChars="200"/>
        <w:rPr>
          <w:rFonts w:asci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14:paraId="418CD8EB">
      <w:pPr>
        <w:spacing w:line="360" w:lineRule="auto"/>
        <w:ind w:firstLine="480" w:firstLineChars="200"/>
        <w:rPr>
          <w:rFonts w:ascii="宋体"/>
          <w:color w:val="auto"/>
          <w:sz w:val="24"/>
          <w:highlight w:val="none"/>
        </w:rPr>
      </w:pPr>
      <w:r>
        <w:rPr>
          <w:rFonts w:ascii="宋体" w:hAnsi="宋体"/>
          <w:color w:val="auto"/>
          <w:sz w:val="24"/>
          <w:highlight w:val="none"/>
        </w:rPr>
        <w:t xml:space="preserve">20.3 </w:t>
      </w:r>
      <w:r>
        <w:rPr>
          <w:rFonts w:hint="eastAsia" w:ascii="宋体" w:hAnsi="宋体"/>
          <w:color w:val="auto"/>
          <w:sz w:val="24"/>
          <w:highlight w:val="none"/>
        </w:rPr>
        <w:t>到投标截止时间止，招标人收到的投标文件少于3家的，招标人将重新组织招标</w:t>
      </w:r>
      <w:r>
        <w:rPr>
          <w:rFonts w:hint="eastAsia" w:ascii="宋体" w:hAnsi="宋体"/>
          <w:color w:val="auto"/>
          <w:sz w:val="24"/>
          <w:szCs w:val="24"/>
          <w:highlight w:val="none"/>
        </w:rPr>
        <w:t>（当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r>
        <w:rPr>
          <w:rFonts w:hint="eastAsia" w:ascii="宋体" w:hAnsi="宋体"/>
          <w:color w:val="auto"/>
          <w:sz w:val="24"/>
          <w:highlight w:val="none"/>
        </w:rPr>
        <w:t>。</w:t>
      </w:r>
    </w:p>
    <w:p w14:paraId="536A8CE1">
      <w:pPr>
        <w:spacing w:line="360" w:lineRule="auto"/>
        <w:ind w:firstLine="482" w:firstLineChars="200"/>
        <w:rPr>
          <w:rFonts w:asci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14:paraId="39AB87F4">
      <w:pPr>
        <w:spacing w:line="360" w:lineRule="auto"/>
        <w:ind w:firstLine="480" w:firstLineChars="200"/>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本须知前附表第17项规定的投标截止时间</w:t>
      </w:r>
      <w:r>
        <w:rPr>
          <w:rFonts w:hint="eastAsia"/>
          <w:bCs/>
          <w:color w:val="auto"/>
          <w:sz w:val="24"/>
          <w:szCs w:val="24"/>
          <w:highlight w:val="none"/>
        </w:rPr>
        <w:t>后送达的</w:t>
      </w:r>
      <w:r>
        <w:rPr>
          <w:rFonts w:hint="eastAsia" w:ascii="宋体" w:hAnsi="宋体"/>
          <w:bCs/>
          <w:color w:val="auto"/>
          <w:sz w:val="24"/>
          <w:highlight w:val="none"/>
        </w:rPr>
        <w:t>电子投标文件，</w:t>
      </w:r>
      <w:r>
        <w:rPr>
          <w:rFonts w:hint="eastAsia" w:ascii="宋体" w:hAnsi="宋体"/>
          <w:bCs/>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14:paraId="048B6AEB">
      <w:pPr>
        <w:spacing w:line="360" w:lineRule="auto"/>
        <w:ind w:firstLine="482" w:firstLineChars="200"/>
        <w:rPr>
          <w:rFonts w:asci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14:paraId="73917396">
      <w:pPr>
        <w:spacing w:line="360" w:lineRule="auto"/>
        <w:ind w:firstLine="480" w:firstLineChars="200"/>
        <w:rPr>
          <w:rFonts w:asci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14:paraId="2E0C46DE">
      <w:pPr>
        <w:spacing w:line="360" w:lineRule="auto"/>
        <w:ind w:firstLine="480" w:firstLineChars="200"/>
        <w:rPr>
          <w:color w:val="auto"/>
          <w:sz w:val="24"/>
          <w:szCs w:val="24"/>
          <w:highlight w:val="none"/>
        </w:rPr>
      </w:pPr>
      <w:r>
        <w:rPr>
          <w:rFonts w:ascii="宋体" w:hAnsi="宋体"/>
          <w:color w:val="auto"/>
          <w:sz w:val="24"/>
          <w:szCs w:val="24"/>
          <w:highlight w:val="none"/>
        </w:rPr>
        <w:t>22.2</w:t>
      </w:r>
      <w:r>
        <w:rPr>
          <w:color w:val="auto"/>
          <w:sz w:val="24"/>
          <w:szCs w:val="24"/>
          <w:highlight w:val="none"/>
        </w:rPr>
        <w:t>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ascii="宋体" w:hAnsi="宋体"/>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14:paraId="2807726A">
      <w:pPr>
        <w:spacing w:line="360" w:lineRule="auto"/>
        <w:ind w:firstLine="480" w:firstLineChars="200"/>
        <w:rPr>
          <w:color w:val="auto"/>
          <w:sz w:val="24"/>
          <w:szCs w:val="24"/>
          <w:highlight w:val="none"/>
        </w:rPr>
      </w:pPr>
      <w:r>
        <w:rPr>
          <w:rFonts w:hint="eastAsia" w:ascii="宋体" w:hAnsi="宋体"/>
          <w:color w:val="auto"/>
          <w:sz w:val="24"/>
          <w:szCs w:val="24"/>
          <w:highlight w:val="none"/>
        </w:rPr>
        <w:t>22.3</w:t>
      </w:r>
      <w:r>
        <w:rPr>
          <w:rFonts w:hint="eastAsia"/>
          <w:color w:val="auto"/>
          <w:sz w:val="24"/>
          <w:szCs w:val="24"/>
          <w:highlight w:val="none"/>
        </w:rPr>
        <w:t>修改后再次递交的</w:t>
      </w:r>
      <w:r>
        <w:rPr>
          <w:rFonts w:hint="eastAsia"/>
          <w:bCs/>
          <w:iCs/>
          <w:color w:val="auto"/>
          <w:sz w:val="24"/>
          <w:szCs w:val="24"/>
          <w:highlight w:val="none"/>
        </w:rPr>
        <w:t>，按19点的规</w:t>
      </w:r>
      <w:r>
        <w:rPr>
          <w:rFonts w:hint="eastAsia"/>
          <w:color w:val="auto"/>
          <w:sz w:val="24"/>
          <w:szCs w:val="24"/>
          <w:highlight w:val="none"/>
        </w:rPr>
        <w:t>定执行。</w:t>
      </w:r>
    </w:p>
    <w:p w14:paraId="40BD1616">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在投标截止时间之后，投标人不得补充、修改和更换投标文件。</w:t>
      </w:r>
    </w:p>
    <w:p w14:paraId="31053212">
      <w:pPr>
        <w:pStyle w:val="8"/>
        <w:spacing w:before="156" w:after="156"/>
        <w:rPr>
          <w:rFonts w:hint="eastAsia"/>
          <w:color w:val="auto"/>
          <w:highlight w:val="none"/>
        </w:rPr>
      </w:pPr>
      <w:bookmarkStart w:id="33" w:name="_Toc6026"/>
      <w:bookmarkStart w:id="34" w:name="_Toc2272553"/>
      <w:bookmarkStart w:id="35" w:name="_Toc21525497"/>
      <w:bookmarkStart w:id="36" w:name="_Toc28853"/>
      <w:r>
        <w:rPr>
          <w:rFonts w:hint="eastAsia"/>
          <w:color w:val="auto"/>
          <w:highlight w:val="none"/>
        </w:rPr>
        <w:t>（五）开标、评标、定标及合同签定</w:t>
      </w:r>
      <w:bookmarkEnd w:id="33"/>
      <w:bookmarkEnd w:id="34"/>
      <w:bookmarkEnd w:id="35"/>
      <w:bookmarkEnd w:id="36"/>
    </w:p>
    <w:p w14:paraId="2F5E9B7B">
      <w:pPr>
        <w:spacing w:line="360" w:lineRule="auto"/>
        <w:ind w:firstLine="482" w:firstLineChars="200"/>
        <w:rPr>
          <w:rFonts w:asci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14:paraId="5B7F8756">
      <w:pPr>
        <w:spacing w:line="360" w:lineRule="auto"/>
        <w:ind w:firstLine="480" w:firstLineChars="200"/>
        <w:rPr>
          <w:rFonts w:ascii="宋体"/>
          <w:color w:val="auto"/>
          <w:sz w:val="24"/>
          <w:highlight w:val="none"/>
        </w:rPr>
      </w:pPr>
      <w:r>
        <w:rPr>
          <w:rFonts w:hint="eastAsia" w:ascii="宋体" w:hAnsi="宋体"/>
          <w:color w:val="auto"/>
          <w:sz w:val="24"/>
          <w:highlight w:val="none"/>
        </w:rPr>
        <w:t>详见第二章开标、评标及定标办法</w:t>
      </w:r>
    </w:p>
    <w:p w14:paraId="4677DD49">
      <w:pPr>
        <w:spacing w:line="360" w:lineRule="auto"/>
        <w:ind w:firstLine="482" w:firstLineChars="200"/>
        <w:rPr>
          <w:rFonts w:asci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14:paraId="7F711AB3">
      <w:pPr>
        <w:spacing w:line="360" w:lineRule="auto"/>
        <w:ind w:firstLine="480" w:firstLineChars="200"/>
        <w:rPr>
          <w:rFonts w:ascii="宋体"/>
          <w:color w:val="auto"/>
          <w:sz w:val="24"/>
          <w:highlight w:val="none"/>
        </w:rPr>
      </w:pPr>
      <w:r>
        <w:rPr>
          <w:rFonts w:ascii="宋体" w:hAnsi="宋体"/>
          <w:color w:val="auto"/>
          <w:sz w:val="24"/>
          <w:highlight w:val="none"/>
        </w:rPr>
        <w:t xml:space="preserve">24.1 </w:t>
      </w:r>
      <w:r>
        <w:rPr>
          <w:rFonts w:hint="eastAsia" w:ascii="宋体" w:hAnsi="宋体"/>
          <w:color w:val="auto"/>
          <w:sz w:val="24"/>
          <w:highlight w:val="none"/>
        </w:rPr>
        <w:t>开标后，直至中标公示为止，凡属于对投标文件的审查、澄清、评价和比较有关的资料以及中标候选人的推荐情况，与评标有关的其他任何情况均严格保密。</w:t>
      </w:r>
    </w:p>
    <w:p w14:paraId="311A356C">
      <w:pPr>
        <w:spacing w:line="360" w:lineRule="auto"/>
        <w:ind w:firstLine="480" w:firstLineChars="200"/>
        <w:rPr>
          <w:rFonts w:asci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在投标文件的评审和比较、中标候选人推荐以及授予合同的过程中，投标人向招标人和评标委员会施加不公正影响的任何行为，都将会导致其投标被拒绝。</w:t>
      </w:r>
    </w:p>
    <w:p w14:paraId="55803564">
      <w:pPr>
        <w:spacing w:line="360" w:lineRule="auto"/>
        <w:ind w:firstLine="482" w:firstLineChars="200"/>
        <w:rPr>
          <w:rFonts w:asci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14:paraId="328D3045">
      <w:pPr>
        <w:spacing w:line="360" w:lineRule="auto"/>
        <w:ind w:firstLine="480" w:firstLineChars="200"/>
        <w:rPr>
          <w:rFonts w:ascii="宋体"/>
          <w:color w:val="auto"/>
          <w:sz w:val="24"/>
          <w:highlight w:val="none"/>
        </w:rPr>
      </w:pPr>
      <w:r>
        <w:rPr>
          <w:rFonts w:hint="eastAsia" w:ascii="宋体" w:hAnsi="宋体"/>
          <w:color w:val="auto"/>
          <w:sz w:val="24"/>
          <w:highlight w:val="none"/>
        </w:rPr>
        <w:t>详见招标文件第二章开标、评标及定标办法</w:t>
      </w:r>
    </w:p>
    <w:p w14:paraId="6D8192F7">
      <w:pPr>
        <w:spacing w:line="360" w:lineRule="auto"/>
        <w:ind w:firstLine="482" w:firstLineChars="200"/>
        <w:rPr>
          <w:rFonts w:asci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14:paraId="1EF00E03">
      <w:pPr>
        <w:spacing w:line="360" w:lineRule="auto"/>
        <w:ind w:firstLine="480" w:firstLineChars="200"/>
        <w:rPr>
          <w:rFonts w:ascii="宋体"/>
          <w:bCs/>
          <w:color w:val="auto"/>
          <w:sz w:val="24"/>
          <w:szCs w:val="24"/>
          <w:highlight w:val="none"/>
        </w:rPr>
      </w:pPr>
      <w:r>
        <w:rPr>
          <w:rFonts w:hint="eastAsia" w:ascii="宋体" w:hAnsi="宋体"/>
          <w:color w:val="auto"/>
          <w:sz w:val="24"/>
          <w:highlight w:val="none"/>
        </w:rPr>
        <w:t>详见招标文件第二章开标、评标及定标办法。</w:t>
      </w:r>
    </w:p>
    <w:p w14:paraId="7A563B5D">
      <w:pPr>
        <w:numPr>
          <w:ilvl w:val="0"/>
          <w:numId w:val="8"/>
        </w:num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定标</w:t>
      </w:r>
    </w:p>
    <w:p w14:paraId="59305A6A">
      <w:pPr>
        <w:pStyle w:val="20"/>
        <w:ind w:firstLine="480" w:firstLineChars="200"/>
        <w:rPr>
          <w:rFonts w:hint="eastAsia" w:hAnsi="宋体"/>
          <w:color w:val="auto"/>
          <w:sz w:val="24"/>
          <w:szCs w:val="22"/>
          <w:highlight w:val="none"/>
        </w:rPr>
      </w:pPr>
      <w:r>
        <w:rPr>
          <w:rFonts w:hint="eastAsia" w:hAnsi="宋体"/>
          <w:color w:val="auto"/>
          <w:sz w:val="24"/>
          <w:szCs w:val="22"/>
          <w:highlight w:val="none"/>
        </w:rPr>
        <w:t>27.1按照投标人须知前附表第20项的规定，由招标人</w:t>
      </w:r>
      <w:r>
        <w:rPr>
          <w:rFonts w:hint="eastAsia" w:hAnsi="宋体"/>
          <w:strike/>
          <w:color w:val="auto"/>
          <w:sz w:val="24"/>
          <w:szCs w:val="22"/>
          <w:highlight w:val="none"/>
        </w:rPr>
        <w:t>或招标人授权的评标委员会</w:t>
      </w:r>
      <w:r>
        <w:rPr>
          <w:rFonts w:hint="eastAsia" w:hAnsi="宋体"/>
          <w:color w:val="auto"/>
          <w:sz w:val="24"/>
          <w:szCs w:val="22"/>
          <w:highlight w:val="none"/>
        </w:rPr>
        <w:t>依法确定中标人。</w:t>
      </w:r>
    </w:p>
    <w:p w14:paraId="2F09899F">
      <w:pPr>
        <w:pStyle w:val="20"/>
        <w:ind w:firstLine="480" w:firstLineChars="200"/>
        <w:rPr>
          <w:rFonts w:hint="eastAsia" w:hAnsi="宋体"/>
          <w:strike/>
          <w:color w:val="auto"/>
          <w:sz w:val="24"/>
          <w:szCs w:val="22"/>
          <w:highlight w:val="none"/>
        </w:rPr>
      </w:pPr>
      <w:r>
        <w:rPr>
          <w:rFonts w:hint="eastAsia" w:hAnsi="宋体"/>
          <w:strike/>
          <w:color w:val="auto"/>
          <w:sz w:val="24"/>
          <w:szCs w:val="22"/>
          <w:highlight w:val="none"/>
        </w:rPr>
        <w:t>27.2采用评定分离方式确定中标人的，从其规定。</w:t>
      </w:r>
    </w:p>
    <w:p w14:paraId="1BF16EEF">
      <w:pPr>
        <w:numPr>
          <w:ilvl w:val="0"/>
          <w:numId w:val="8"/>
        </w:numPr>
        <w:spacing w:line="360" w:lineRule="auto"/>
        <w:ind w:firstLine="482" w:firstLineChars="200"/>
        <w:rPr>
          <w:rFonts w:ascii="宋体"/>
          <w:b/>
          <w:bCs/>
          <w:color w:val="auto"/>
          <w:sz w:val="24"/>
          <w:highlight w:val="none"/>
        </w:rPr>
      </w:pPr>
      <w:r>
        <w:rPr>
          <w:rFonts w:hint="eastAsia" w:ascii="宋体" w:hAnsi="宋体"/>
          <w:b/>
          <w:bCs/>
          <w:color w:val="auto"/>
          <w:sz w:val="24"/>
          <w:highlight w:val="none"/>
        </w:rPr>
        <w:t>中标通知书</w:t>
      </w:r>
    </w:p>
    <w:p w14:paraId="183975F5">
      <w:pPr>
        <w:spacing w:line="360" w:lineRule="auto"/>
        <w:ind w:firstLine="480" w:firstLineChars="200"/>
        <w:rPr>
          <w:color w:val="auto"/>
          <w:highlight w:val="none"/>
        </w:rPr>
      </w:pPr>
      <w:r>
        <w:rPr>
          <w:rFonts w:hint="eastAsia" w:ascii="宋体" w:hAnsi="宋体"/>
          <w:color w:val="auto"/>
          <w:sz w:val="24"/>
          <w:highlight w:val="none"/>
        </w:rPr>
        <w:t>28.1招标人将在</w:t>
      </w:r>
      <w:r>
        <w:rPr>
          <w:rFonts w:hint="eastAsia" w:ascii="宋体" w:hAnsi="宋体"/>
          <w:color w:val="auto"/>
          <w:sz w:val="24"/>
          <w:highlight w:val="none"/>
          <w:u w:val="single"/>
        </w:rPr>
        <w:t>广州交易集团有限公司（广州公共资源交易中心）交易平台、广东省招标投标监管网、广州市增城区人民政府门户网站（http://www.zc.gov.cn/）的“首页&gt;公开&gt;公共资源配置领域&gt;工程建设项目招投标”栏目等法定媒体网站</w:t>
      </w:r>
      <w:r>
        <w:rPr>
          <w:rFonts w:hint="eastAsia" w:ascii="宋体" w:hAnsi="宋体"/>
          <w:color w:val="auto"/>
          <w:sz w:val="24"/>
          <w:highlight w:val="none"/>
        </w:rPr>
        <w:t>发布公示中标候选人，公示期为三天（最后一天应为工作日）。投标人或其他利害关系人对评标结果有异议的，应当在中标候选人公示期间提出，通过电子交易系统向招标人提出异议，招标人也应通过交易平台答复线上提交的异议，具体按照电子招标投标交易平台相关指南进行操作。作出答复前，应当暂停招标投标活动。</w:t>
      </w:r>
      <w:r>
        <w:rPr>
          <w:rFonts w:hint="eastAsia" w:ascii="宋体" w:hAnsi="宋体"/>
          <w:color w:val="auto"/>
          <w:sz w:val="24"/>
          <w:highlight w:val="none"/>
          <w:u w:val="single"/>
        </w:rPr>
        <w:t>投标人提出异议时需在线提交书面的异议书（异议书应清晰表述异议事项、依据、线索、请求或主张、有效的联系方式等）并附法定代表人证明书、有效的授权委托书、被授权人的有效身份证明。具体操作详见“广州交易集团有限公司《广州公共资源交易中心)门户网站首页-&gt;服务指南-&gt;系统帮助-操作手册-&gt;发起及受理异议操作指引”。</w:t>
      </w:r>
    </w:p>
    <w:p w14:paraId="6F6EF525">
      <w:pPr>
        <w:spacing w:line="360" w:lineRule="auto"/>
        <w:ind w:firstLine="480" w:firstLineChars="200"/>
        <w:rPr>
          <w:rFonts w:hint="eastAsia" w:ascii="仿宋_GB2312" w:hAnsi="宋体" w:eastAsia="仿宋_GB2312"/>
          <w:color w:val="auto"/>
          <w:sz w:val="24"/>
          <w:highlight w:val="none"/>
        </w:rPr>
      </w:pPr>
      <w:r>
        <w:rPr>
          <w:rFonts w:hint="eastAsia" w:ascii="宋体" w:hAnsi="宋体"/>
          <w:color w:val="auto"/>
          <w:sz w:val="24"/>
          <w:highlight w:val="none"/>
        </w:rPr>
        <w:t>28</w:t>
      </w:r>
      <w:r>
        <w:rPr>
          <w:rFonts w:ascii="宋体" w:hAnsi="宋体"/>
          <w:color w:val="auto"/>
          <w:sz w:val="24"/>
          <w:highlight w:val="none"/>
        </w:rPr>
        <w:t>.2</w:t>
      </w:r>
      <w:r>
        <w:rPr>
          <w:rFonts w:hint="eastAsia" w:ascii="宋体" w:hAnsi="宋体"/>
          <w:color w:val="auto"/>
          <w:sz w:val="24"/>
          <w:highlight w:val="none"/>
        </w:rPr>
        <w:t>招标人应当自确定中标人后，向招标投标监管机构提交招标投标情况的书面报告。</w:t>
      </w:r>
    </w:p>
    <w:p w14:paraId="0EBF6EA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28</w:t>
      </w:r>
      <w:r>
        <w:rPr>
          <w:rFonts w:ascii="宋体" w:hAnsi="宋体"/>
          <w:color w:val="auto"/>
          <w:sz w:val="24"/>
          <w:highlight w:val="none"/>
        </w:rPr>
        <w:t>.3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14:paraId="61059B6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28.4在产生中标候选人后，招标人将中标候选人的投标文件商务部分文件的所有内容（包括人员、业绩、奖项等资料）在</w:t>
      </w:r>
      <w:r>
        <w:rPr>
          <w:rFonts w:hint="eastAsia"/>
          <w:color w:val="auto"/>
          <w:sz w:val="24"/>
          <w:szCs w:val="24"/>
          <w:highlight w:val="none"/>
          <w:u w:val="single"/>
        </w:rPr>
        <w:t>广州交易集团有限公司（广州公共资源交易中心）</w:t>
      </w:r>
      <w:r>
        <w:rPr>
          <w:rFonts w:hint="eastAsia" w:ascii="宋体" w:hAnsi="宋体"/>
          <w:color w:val="auto"/>
          <w:sz w:val="24"/>
          <w:highlight w:val="none"/>
        </w:rPr>
        <w:t>交易平台和广东省招标投标监管网公开。</w:t>
      </w:r>
    </w:p>
    <w:p w14:paraId="2F283708">
      <w:pPr>
        <w:spacing w:line="360" w:lineRule="auto"/>
        <w:ind w:firstLine="480" w:firstLineChars="200"/>
        <w:rPr>
          <w:rFonts w:hint="eastAsia" w:ascii="宋体" w:hAnsi="宋体"/>
          <w:strike/>
          <w:color w:val="auto"/>
          <w:sz w:val="24"/>
          <w:highlight w:val="none"/>
        </w:rPr>
      </w:pPr>
      <w:r>
        <w:rPr>
          <w:rFonts w:hint="eastAsia" w:ascii="宋体" w:hAnsi="宋体"/>
          <w:strike/>
          <w:color w:val="auto"/>
          <w:sz w:val="24"/>
          <w:highlight w:val="none"/>
        </w:rPr>
        <w:t>28.5（适用于轨道交通建设项目）如项目采用整体发包的形式开展施工总承包招标，且后续需分段办理监督手续，确定中标单位后，招标人在向中标单位发出的中标通知书中一并标注施工总承包项目经理和各段项目经理。</w:t>
      </w:r>
    </w:p>
    <w:p w14:paraId="34D3FB9C">
      <w:pPr>
        <w:spacing w:line="360" w:lineRule="auto"/>
        <w:ind w:firstLine="482" w:firstLineChars="200"/>
        <w:rPr>
          <w:rFonts w:ascii="宋体"/>
          <w:b/>
          <w:bCs/>
          <w:color w:val="auto"/>
          <w:sz w:val="24"/>
          <w:highlight w:val="none"/>
        </w:rPr>
      </w:pPr>
      <w:r>
        <w:rPr>
          <w:rFonts w:hint="eastAsia" w:ascii="宋体" w:hAnsi="宋体"/>
          <w:b/>
          <w:bCs/>
          <w:color w:val="auto"/>
          <w:sz w:val="24"/>
          <w:highlight w:val="none"/>
        </w:rPr>
        <w:t>29．合同协议书的签订</w:t>
      </w:r>
    </w:p>
    <w:p w14:paraId="43685102">
      <w:pPr>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9</w:t>
      </w:r>
      <w:r>
        <w:rPr>
          <w:rFonts w:ascii="宋体" w:hAnsi="宋体"/>
          <w:color w:val="auto"/>
          <w:sz w:val="24"/>
          <w:highlight w:val="none"/>
        </w:rPr>
        <w:t xml:space="preserve">.1 </w:t>
      </w:r>
      <w:r>
        <w:rPr>
          <w:rFonts w:hint="eastAsia" w:ascii="宋体" w:hAnsi="宋体"/>
          <w:color w:val="auto"/>
          <w:sz w:val="24"/>
          <w:highlight w:val="none"/>
        </w:rPr>
        <w:t>招标人与中标人将于中标通知书发出之日起</w:t>
      </w:r>
      <w:r>
        <w:rPr>
          <w:rFonts w:ascii="宋体" w:hAnsi="宋体"/>
          <w:color w:val="auto"/>
          <w:sz w:val="24"/>
          <w:highlight w:val="none"/>
        </w:rPr>
        <w:t>30</w:t>
      </w:r>
      <w:r>
        <w:rPr>
          <w:rFonts w:hint="eastAsia" w:ascii="宋体" w:hAnsi="宋体"/>
          <w:color w:val="auto"/>
          <w:sz w:val="24"/>
          <w:highlight w:val="none"/>
        </w:rPr>
        <w:t>日内，按照招标文件和中标人的投标文件商定和签订合同，招标人和中标人不得再行订立背离合同实质性内容的其他协议。</w:t>
      </w:r>
    </w:p>
    <w:p w14:paraId="13F8A28E">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9</w:t>
      </w:r>
      <w:r>
        <w:rPr>
          <w:rFonts w:ascii="宋体" w:hAnsi="宋体"/>
          <w:color w:val="auto"/>
          <w:sz w:val="24"/>
          <w:highlight w:val="none"/>
        </w:rPr>
        <w:t>.2</w:t>
      </w:r>
      <w:r>
        <w:rPr>
          <w:rFonts w:hint="eastAsia" w:ascii="宋体" w:hAnsi="宋体"/>
          <w:color w:val="auto"/>
          <w:sz w:val="24"/>
          <w:szCs w:val="24"/>
          <w:highlight w:val="none"/>
        </w:rPr>
        <w:t>中标通知书发出之日起</w:t>
      </w:r>
      <w:r>
        <w:rPr>
          <w:rFonts w:ascii="宋体" w:hAnsi="宋体"/>
          <w:color w:val="auto"/>
          <w:sz w:val="24"/>
          <w:szCs w:val="24"/>
          <w:highlight w:val="none"/>
        </w:rPr>
        <w:t>30</w:t>
      </w:r>
      <w:r>
        <w:rPr>
          <w:rFonts w:hint="eastAsia" w:ascii="宋体" w:hAnsi="宋体"/>
          <w:color w:val="auto"/>
          <w:sz w:val="24"/>
          <w:szCs w:val="24"/>
          <w:highlight w:val="none"/>
        </w:rPr>
        <w:t>日后，中标人未按上款的规定与招标人订立合同，招标人将解除中标通知书</w:t>
      </w:r>
      <w:r>
        <w:rPr>
          <w:rFonts w:hint="eastAsia" w:ascii="宋体" w:hAnsi="宋体"/>
          <w:strike/>
          <w:color w:val="auto"/>
          <w:sz w:val="24"/>
          <w:szCs w:val="24"/>
          <w:highlight w:val="none"/>
        </w:rPr>
        <w:t>，原中标人的投标保证金不予退还</w:t>
      </w:r>
      <w:r>
        <w:rPr>
          <w:rFonts w:hint="eastAsia" w:ascii="宋体" w:hAnsi="宋体"/>
          <w:color w:val="auto"/>
          <w:sz w:val="24"/>
          <w:szCs w:val="24"/>
          <w:highlight w:val="none"/>
        </w:rPr>
        <w:t>，且依法承担相应法律责任。</w:t>
      </w:r>
      <w:r>
        <w:rPr>
          <w:rFonts w:hint="eastAsia" w:ascii="宋体" w:hAnsi="宋体"/>
          <w:strike/>
          <w:color w:val="auto"/>
          <w:sz w:val="24"/>
          <w:szCs w:val="24"/>
          <w:highlight w:val="none"/>
        </w:rPr>
        <w:t>原中标人给招标人造成的损失超过投标保证金数额的，还应当对超过部分予以赔偿。</w:t>
      </w:r>
      <w:r>
        <w:rPr>
          <w:rFonts w:hint="eastAsia" w:ascii="宋体" w:hAnsi="宋体"/>
          <w:color w:val="auto"/>
          <w:sz w:val="24"/>
          <w:szCs w:val="24"/>
          <w:highlight w:val="none"/>
        </w:rPr>
        <w:t>原中标人有异议的，可以向人民法院起诉。</w:t>
      </w:r>
    </w:p>
    <w:p w14:paraId="4480D97C">
      <w:pPr>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9</w:t>
      </w:r>
      <w:r>
        <w:rPr>
          <w:rFonts w:ascii="宋体" w:hAnsi="宋体"/>
          <w:color w:val="auto"/>
          <w:sz w:val="24"/>
          <w:highlight w:val="none"/>
        </w:rPr>
        <w:t>.3</w:t>
      </w:r>
      <w:r>
        <w:rPr>
          <w:rFonts w:hint="eastAsia" w:ascii="宋体" w:hAnsi="宋体"/>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14:paraId="1E2430DB">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9</w:t>
      </w:r>
      <w:r>
        <w:rPr>
          <w:rFonts w:ascii="宋体" w:hAnsi="宋体"/>
          <w:color w:val="auto"/>
          <w:sz w:val="24"/>
          <w:highlight w:val="none"/>
        </w:rPr>
        <w:t>.4</w:t>
      </w:r>
      <w:r>
        <w:rPr>
          <w:rFonts w:hint="eastAsia" w:ascii="宋体" w:hAnsi="宋体"/>
          <w:color w:val="auto"/>
          <w:sz w:val="24"/>
          <w:highlight w:val="none"/>
        </w:rPr>
        <w:t>工程进度款支付应不低于已完成工程价款的80%，招标人支付工程款时，中标人应按规定开具发票。质量保证金不超过工程价款总额3%。当年开工、当年不能竣工的新开工项目可以采用过程结算。</w:t>
      </w:r>
    </w:p>
    <w:p w14:paraId="6D730DFC">
      <w:pPr>
        <w:spacing w:line="360" w:lineRule="auto"/>
        <w:ind w:firstLine="482" w:firstLineChars="200"/>
        <w:rPr>
          <w:rFonts w:ascii="宋体"/>
          <w:b/>
          <w:bCs/>
          <w:color w:val="auto"/>
          <w:sz w:val="24"/>
          <w:highlight w:val="none"/>
        </w:rPr>
      </w:pPr>
      <w:r>
        <w:rPr>
          <w:rFonts w:hint="eastAsia" w:ascii="宋体" w:hAnsi="宋体"/>
          <w:b/>
          <w:bCs/>
          <w:color w:val="auto"/>
          <w:sz w:val="24"/>
          <w:highlight w:val="none"/>
        </w:rPr>
        <w:t>30．履约担保</w:t>
      </w:r>
    </w:p>
    <w:p w14:paraId="71EC60E0">
      <w:pPr>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30</w:t>
      </w:r>
      <w:r>
        <w:rPr>
          <w:rFonts w:ascii="宋体" w:hAnsi="宋体"/>
          <w:color w:val="auto"/>
          <w:sz w:val="24"/>
          <w:highlight w:val="none"/>
        </w:rPr>
        <w:t xml:space="preserve">.1 </w:t>
      </w:r>
      <w:r>
        <w:rPr>
          <w:rFonts w:hint="eastAsia" w:ascii="宋体" w:hAnsi="宋体"/>
          <w:color w:val="auto"/>
          <w:sz w:val="24"/>
          <w:highlight w:val="none"/>
        </w:rPr>
        <w:t xml:space="preserve"> 在申请支付预付款前，中标人应按本须知前附表第21项的规定向招标人提交履约担保。</w:t>
      </w:r>
    </w:p>
    <w:p w14:paraId="144D539C">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30</w:t>
      </w:r>
      <w:r>
        <w:rPr>
          <w:rFonts w:ascii="宋体" w:hAnsi="宋体"/>
          <w:color w:val="auto"/>
          <w:sz w:val="24"/>
          <w:highlight w:val="none"/>
        </w:rPr>
        <w:t>.2</w:t>
      </w:r>
      <w:r>
        <w:rPr>
          <w:rFonts w:hint="eastAsia" w:ascii="宋体" w:hAnsi="宋体"/>
          <w:color w:val="auto"/>
          <w:sz w:val="24"/>
          <w:highlight w:val="none"/>
        </w:rPr>
        <w:t>在申请支付预付款前，中标人未按上款的规定提交履约担保，招标人将解除中标通知书，</w:t>
      </w:r>
      <w:r>
        <w:rPr>
          <w:rFonts w:hint="eastAsia" w:ascii="宋体" w:hAnsi="宋体"/>
          <w:strike/>
          <w:color w:val="auto"/>
          <w:sz w:val="24"/>
          <w:highlight w:val="none"/>
        </w:rPr>
        <w:t>原中标人的投标保证金不予退还，</w:t>
      </w:r>
      <w:r>
        <w:rPr>
          <w:rFonts w:hint="eastAsia" w:ascii="宋体" w:hAnsi="宋体"/>
          <w:color w:val="auto"/>
          <w:sz w:val="24"/>
          <w:highlight w:val="none"/>
        </w:rPr>
        <w:t>且依法承担相应法律责任。原中标人给招标人造成</w:t>
      </w:r>
      <w:r>
        <w:rPr>
          <w:rFonts w:hint="eastAsia" w:ascii="宋体" w:hAnsi="宋体"/>
          <w:strike/>
          <w:color w:val="auto"/>
          <w:sz w:val="24"/>
          <w:highlight w:val="none"/>
        </w:rPr>
        <w:t>的</w:t>
      </w:r>
      <w:r>
        <w:rPr>
          <w:rFonts w:hint="eastAsia" w:ascii="宋体" w:hAnsi="宋体"/>
          <w:color w:val="auto"/>
          <w:sz w:val="24"/>
          <w:highlight w:val="none"/>
        </w:rPr>
        <w:t>损失</w:t>
      </w:r>
      <w:r>
        <w:rPr>
          <w:rFonts w:hint="eastAsia" w:ascii="宋体" w:hAnsi="宋体"/>
          <w:strike/>
          <w:color w:val="auto"/>
          <w:sz w:val="24"/>
          <w:highlight w:val="none"/>
        </w:rPr>
        <w:t>超过投标保证金数额</w:t>
      </w:r>
      <w:r>
        <w:rPr>
          <w:rFonts w:hint="eastAsia" w:ascii="宋体" w:hAnsi="宋体"/>
          <w:color w:val="auto"/>
          <w:sz w:val="24"/>
          <w:highlight w:val="none"/>
        </w:rPr>
        <w:t>的，还应当</w:t>
      </w:r>
      <w:r>
        <w:rPr>
          <w:rFonts w:hint="eastAsia" w:ascii="宋体" w:hAnsi="宋体"/>
          <w:strike/>
          <w:color w:val="auto"/>
          <w:sz w:val="24"/>
          <w:highlight w:val="none"/>
        </w:rPr>
        <w:t>对超过部分</w:t>
      </w:r>
      <w:r>
        <w:rPr>
          <w:rFonts w:hint="eastAsia" w:ascii="宋体" w:hAnsi="宋体"/>
          <w:color w:val="auto"/>
          <w:sz w:val="24"/>
          <w:highlight w:val="none"/>
        </w:rPr>
        <w:t>予以赔偿。原中标人有异议的，可以向人民法院起诉。</w:t>
      </w:r>
    </w:p>
    <w:p w14:paraId="758D403D">
      <w:pPr>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30.3中标候选人的经营、财务状况发生较大变化或存在违法行为，招标人认为可能影响其履约能力的，将在发出中标通知书前提请原评标委员会按照招标文件规定的标准和方法进行审查确认。</w:t>
      </w:r>
    </w:p>
    <w:p w14:paraId="46E669AF">
      <w:pPr>
        <w:spacing w:line="360" w:lineRule="auto"/>
        <w:ind w:firstLine="482" w:firstLineChars="200"/>
        <w:rPr>
          <w:rFonts w:ascii="宋体"/>
          <w:b/>
          <w:bCs/>
          <w:color w:val="auto"/>
          <w:sz w:val="24"/>
          <w:highlight w:val="none"/>
        </w:rPr>
      </w:pPr>
      <w:r>
        <w:rPr>
          <w:rFonts w:ascii="宋体" w:hAnsi="宋体"/>
          <w:b/>
          <w:bCs/>
          <w:color w:val="auto"/>
          <w:sz w:val="24"/>
          <w:highlight w:val="none"/>
        </w:rPr>
        <w:t>3</w:t>
      </w:r>
      <w:r>
        <w:rPr>
          <w:rFonts w:hint="eastAsia" w:ascii="宋体" w:hAnsi="宋体"/>
          <w:b/>
          <w:bCs/>
          <w:color w:val="auto"/>
          <w:sz w:val="24"/>
          <w:highlight w:val="none"/>
        </w:rPr>
        <w:t>1．合同生效</w:t>
      </w:r>
    </w:p>
    <w:p w14:paraId="10712C6E">
      <w:pPr>
        <w:spacing w:line="360" w:lineRule="auto"/>
        <w:ind w:firstLine="480" w:firstLineChars="2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1</w:t>
      </w:r>
      <w:r>
        <w:rPr>
          <w:rFonts w:ascii="宋体" w:hAnsi="宋体"/>
          <w:color w:val="auto"/>
          <w:sz w:val="24"/>
          <w:highlight w:val="none"/>
        </w:rPr>
        <w:t>.1</w:t>
      </w:r>
      <w:r>
        <w:rPr>
          <w:rFonts w:hint="eastAsia" w:ascii="宋体" w:hAnsi="宋体"/>
          <w:color w:val="auto"/>
          <w:sz w:val="24"/>
          <w:highlight w:val="none"/>
        </w:rPr>
        <w:t>在合同双方全权代表在合同协议书上签字，并分别加盖双方单位的公章后，合同正式生效。</w:t>
      </w:r>
    </w:p>
    <w:p w14:paraId="60C220DF">
      <w:pPr>
        <w:numPr>
          <w:ilvl w:val="0"/>
          <w:numId w:val="9"/>
        </w:num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专业分包</w:t>
      </w:r>
    </w:p>
    <w:p w14:paraId="1273EB99">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32.1投标人拟在中标后将中标项目的非主体、非关键性施工工作进行分包的，应符合投标须知前附表规定的分包内容、分包金额和资质要求等限制性条件，除投标人须知前附表规定的非主体、非关键性施工工作分包外，其他工作不得分包。</w:t>
      </w:r>
    </w:p>
    <w:p w14:paraId="0422053B">
      <w:pPr>
        <w:pStyle w:val="20"/>
        <w:spacing w:line="360" w:lineRule="auto"/>
        <w:rPr>
          <w:color w:val="auto"/>
          <w:highlight w:val="none"/>
        </w:rPr>
      </w:pPr>
      <w:r>
        <w:rPr>
          <w:rFonts w:hint="eastAsia" w:hAnsi="宋体"/>
          <w:color w:val="auto"/>
          <w:sz w:val="24"/>
          <w:highlight w:val="none"/>
        </w:rPr>
        <w:t xml:space="preserve">    32.2中标人不得向他人转让中标项目，接受分包的人不得再次分包。中标人应当就分包项目向招标人负责，接受分包的人就分包项目承担连带责任。</w:t>
      </w:r>
    </w:p>
    <w:p w14:paraId="282F6833">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3</w:t>
      </w:r>
      <w:r>
        <w:rPr>
          <w:rFonts w:hint="eastAsia" w:ascii="宋体" w:hAnsi="宋体"/>
          <w:b/>
          <w:bCs/>
          <w:color w:val="auto"/>
          <w:sz w:val="24"/>
          <w:highlight w:val="none"/>
        </w:rPr>
        <w:t>3．腐败与欺诈行为</w:t>
      </w:r>
    </w:p>
    <w:p w14:paraId="3DBD361B">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在招标和合同实施期间，招标人要求投标人和承包人遵守最高的道德标准。</w:t>
      </w:r>
    </w:p>
    <w:p w14:paraId="1ED191E3">
      <w:pPr>
        <w:pStyle w:val="5"/>
        <w:spacing w:after="0" w:line="360" w:lineRule="auto"/>
        <w:ind w:firstLine="480" w:firstLineChars="2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3.</w:t>
      </w:r>
      <w:r>
        <w:rPr>
          <w:rFonts w:ascii="宋体" w:hAnsi="宋体"/>
          <w:color w:val="auto"/>
          <w:sz w:val="24"/>
          <w:highlight w:val="none"/>
        </w:rPr>
        <w:t>1</w:t>
      </w:r>
      <w:r>
        <w:rPr>
          <w:rFonts w:hint="eastAsia" w:ascii="宋体" w:hAnsi="宋体"/>
          <w:color w:val="auto"/>
          <w:sz w:val="24"/>
          <w:highlight w:val="none"/>
        </w:rPr>
        <w:t>对本条款的规定，特定义如下词汇：</w:t>
      </w:r>
    </w:p>
    <w:p w14:paraId="68D67067">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“腐败行为”是指在招标或合同执行期间，通过提供、给予、接受或索要任何有价值的东西，从而影响招标人有关人员工作的行为；</w:t>
      </w:r>
    </w:p>
    <w:p w14:paraId="05A30F71">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5B94045E">
      <w:pPr>
        <w:pStyle w:val="5"/>
        <w:spacing w:after="0" w:line="360" w:lineRule="auto"/>
        <w:ind w:firstLine="480" w:firstLineChars="200"/>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3.</w:t>
      </w:r>
      <w:r>
        <w:rPr>
          <w:rFonts w:ascii="宋体" w:hAnsi="宋体"/>
          <w:color w:val="auto"/>
          <w:sz w:val="24"/>
          <w:highlight w:val="none"/>
        </w:rPr>
        <w:t>2</w:t>
      </w:r>
      <w:r>
        <w:rPr>
          <w:rFonts w:hint="eastAsia" w:ascii="宋体" w:hAnsi="宋体"/>
          <w:color w:val="auto"/>
          <w:sz w:val="24"/>
          <w:highlight w:val="none"/>
        </w:rPr>
        <w:t>如果投标人被认定在本招标竞争中有腐败或欺诈行为，则会被取消投标资格。</w:t>
      </w:r>
    </w:p>
    <w:p w14:paraId="58786B54">
      <w:pPr>
        <w:pStyle w:val="5"/>
        <w:spacing w:after="0" w:line="360" w:lineRule="auto"/>
        <w:ind w:firstLine="480" w:firstLineChars="200"/>
        <w:rPr>
          <w:rFonts w:ascii="宋体"/>
          <w:color w:val="auto"/>
          <w:sz w:val="24"/>
          <w:highlight w:val="none"/>
        </w:rPr>
      </w:pPr>
      <w:r>
        <w:rPr>
          <w:rFonts w:hint="eastAsia" w:ascii="宋体"/>
          <w:color w:val="auto"/>
          <w:sz w:val="24"/>
          <w:highlight w:val="none"/>
        </w:rPr>
        <w:t>33.3投标人如在本项目中存在串通投标、弄虚作假骗取中标、行贿情形的，中标无效，行政监督部门将对其违法行为进行政处罚。</w:t>
      </w:r>
      <w:r>
        <w:rPr>
          <w:rFonts w:hint="eastAsia" w:ascii="宋体"/>
          <w:color w:val="auto"/>
          <w:sz w:val="24"/>
          <w:highlight w:val="none"/>
          <w:u w:val="single"/>
        </w:rPr>
        <w:t>该投标人将被招标人列入黑名单并限制其参与招标人后续项目的投标。</w:t>
      </w:r>
    </w:p>
    <w:p w14:paraId="1EBA65E9">
      <w:pPr>
        <w:spacing w:line="360" w:lineRule="auto"/>
        <w:ind w:firstLine="482" w:firstLineChars="200"/>
        <w:rPr>
          <w:rFonts w:ascii="宋体"/>
          <w:color w:val="auto"/>
          <w:sz w:val="24"/>
          <w:highlight w:val="none"/>
        </w:rPr>
      </w:pPr>
      <w:r>
        <w:rPr>
          <w:rFonts w:hint="eastAsia" w:ascii="宋体" w:hAnsi="宋体"/>
          <w:b/>
          <w:bCs/>
          <w:color w:val="auto"/>
          <w:sz w:val="24"/>
          <w:highlight w:val="none"/>
        </w:rPr>
        <w:t>34.其它费用</w:t>
      </w:r>
    </w:p>
    <w:p w14:paraId="6FE460CD">
      <w:pPr>
        <w:pStyle w:val="5"/>
        <w:spacing w:line="360" w:lineRule="auto"/>
        <w:ind w:firstLine="480" w:firstLineChars="200"/>
        <w:rPr>
          <w:color w:val="auto"/>
          <w:highlight w:val="none"/>
        </w:rPr>
      </w:pPr>
      <w:bookmarkStart w:id="37" w:name="_Toc2272554"/>
      <w:bookmarkStart w:id="38" w:name="_Toc21525498"/>
      <w:bookmarkStart w:id="39" w:name="_Toc32047"/>
      <w:bookmarkStart w:id="40" w:name="_Toc17683"/>
      <w:r>
        <w:rPr>
          <w:rFonts w:hint="eastAsia" w:ascii="宋体"/>
          <w:color w:val="auto"/>
          <w:sz w:val="24"/>
          <w:highlight w:val="none"/>
        </w:rPr>
        <w:t>34.1</w:t>
      </w:r>
      <w:r>
        <w:rPr>
          <w:rFonts w:hint="eastAsia" w:ascii="宋体"/>
          <w:color w:val="auto"/>
          <w:sz w:val="24"/>
          <w:highlight w:val="none"/>
          <w:u w:val="single"/>
        </w:rPr>
        <w:t>交易服务费：根据广州市政府相关文件的规定，向广州交易集团有限公司（广州公共资源交易中心）交纳交易服务费。</w:t>
      </w:r>
      <w:r>
        <w:rPr>
          <w:rFonts w:hint="eastAsia"/>
          <w:color w:val="auto"/>
          <w:highlight w:val="none"/>
        </w:rPr>
        <w:br w:type="page"/>
      </w:r>
    </w:p>
    <w:p w14:paraId="27628B6A">
      <w:pPr>
        <w:pStyle w:val="3"/>
        <w:rPr>
          <w:color w:val="auto"/>
          <w:highlight w:val="none"/>
        </w:rPr>
      </w:pPr>
      <w:r>
        <w:rPr>
          <w:rFonts w:hint="eastAsia"/>
          <w:color w:val="auto"/>
          <w:highlight w:val="none"/>
        </w:rPr>
        <w:t>第二章</w:t>
      </w:r>
      <w:r>
        <w:rPr>
          <w:color w:val="auto"/>
          <w:highlight w:val="none"/>
        </w:rPr>
        <w:t xml:space="preserve">  </w:t>
      </w:r>
      <w:r>
        <w:rPr>
          <w:rFonts w:hint="eastAsia"/>
          <w:color w:val="auto"/>
          <w:highlight w:val="none"/>
        </w:rPr>
        <w:t>开标、评标及定标办法</w:t>
      </w:r>
      <w:bookmarkEnd w:id="37"/>
      <w:bookmarkEnd w:id="38"/>
      <w:bookmarkEnd w:id="39"/>
      <w:bookmarkEnd w:id="40"/>
    </w:p>
    <w:p w14:paraId="0A8B2D90">
      <w:pPr>
        <w:pStyle w:val="7"/>
        <w:rPr>
          <w:color w:val="auto"/>
          <w:highlight w:val="none"/>
        </w:rPr>
      </w:pPr>
      <w:bookmarkStart w:id="41" w:name="_Toc21525499"/>
      <w:bookmarkStart w:id="42" w:name="_Toc2272555"/>
      <w:bookmarkStart w:id="43" w:name="_Toc28311"/>
      <w:bookmarkStart w:id="44" w:name="_Toc15032"/>
      <w:r>
        <w:rPr>
          <w:rFonts w:hint="eastAsia"/>
          <w:color w:val="auto"/>
          <w:highlight w:val="none"/>
        </w:rPr>
        <w:t>一、开标、评标及定标办法修改表</w:t>
      </w:r>
      <w:bookmarkEnd w:id="41"/>
      <w:bookmarkEnd w:id="42"/>
      <w:bookmarkEnd w:id="43"/>
      <w:bookmarkEnd w:id="44"/>
    </w:p>
    <w:p w14:paraId="185FAECD">
      <w:pPr>
        <w:pStyle w:val="5"/>
        <w:spacing w:after="0" w:line="360" w:lineRule="auto"/>
        <w:rPr>
          <w:b/>
          <w:color w:val="auto"/>
          <w:szCs w:val="21"/>
          <w:highlight w:val="none"/>
        </w:rPr>
      </w:pPr>
      <w:r>
        <w:rPr>
          <w:rFonts w:hint="eastAsia"/>
          <w:b/>
          <w:color w:val="auto"/>
          <w:szCs w:val="21"/>
          <w:highlight w:val="none"/>
        </w:rPr>
        <w:t>声明：本</w:t>
      </w:r>
      <w:r>
        <w:rPr>
          <w:rFonts w:hint="eastAsia"/>
          <w:b/>
          <w:color w:val="auto"/>
          <w:highlight w:val="none"/>
        </w:rPr>
        <w:t>开标、评标及定标办法使用GZJTZB2025-3招标文件范本的开标、评标及定标办法通用条款，与该通用条款不同之处，均在本表中列明，并以现文为准，原</w:t>
      </w:r>
      <w:r>
        <w:rPr>
          <w:rFonts w:hint="eastAsia"/>
          <w:b/>
          <w:color w:val="auto"/>
          <w:szCs w:val="21"/>
          <w:highlight w:val="none"/>
        </w:rPr>
        <w:t>文不再有效。</w:t>
      </w:r>
      <w:r>
        <w:rPr>
          <w:rFonts w:hint="eastAsia" w:ascii="宋体" w:hAnsi="宋体"/>
          <w:bCs/>
          <w:color w:val="auto"/>
          <w:szCs w:val="21"/>
          <w:highlight w:val="none"/>
        </w:rPr>
        <w:t>（注：招标人按《开标、评标及定标办法修改表》修改的内容对应修改通用条款，属于删除的采用“</w:t>
      </w:r>
      <w:r>
        <w:rPr>
          <w:rFonts w:hint="eastAsia" w:ascii="宋体" w:hAnsi="宋体"/>
          <w:bCs/>
          <w:strike/>
          <w:color w:val="auto"/>
          <w:szCs w:val="21"/>
          <w:highlight w:val="none"/>
        </w:rPr>
        <w:t xml:space="preserve">   </w:t>
      </w:r>
      <w:r>
        <w:rPr>
          <w:rFonts w:hint="eastAsia" w:ascii="宋体" w:hAnsi="宋体"/>
          <w:bCs/>
          <w:color w:val="auto"/>
          <w:szCs w:val="21"/>
          <w:highlight w:val="none"/>
        </w:rPr>
        <w:t>”表示，如“</w:t>
      </w:r>
      <w:r>
        <w:rPr>
          <w:rFonts w:hint="eastAsia" w:ascii="宋体" w:hAnsi="宋体"/>
          <w:bCs/>
          <w:strike/>
          <w:color w:val="auto"/>
          <w:szCs w:val="21"/>
          <w:highlight w:val="none"/>
        </w:rPr>
        <w:t>删除</w:t>
      </w:r>
      <w:r>
        <w:rPr>
          <w:rFonts w:hint="eastAsia" w:ascii="宋体" w:hAnsi="宋体"/>
          <w:bCs/>
          <w:color w:val="auto"/>
          <w:szCs w:val="21"/>
          <w:highlight w:val="none"/>
        </w:rPr>
        <w:t>”；属于新增、修改的内容，用</w:t>
      </w:r>
      <w:r>
        <w:rPr>
          <w:rFonts w:hint="eastAsia" w:ascii="宋体" w:hAnsi="宋体"/>
          <w:b/>
          <w:color w:val="auto"/>
          <w:szCs w:val="21"/>
          <w:highlight w:val="none"/>
        </w:rPr>
        <w:t>黑色加粗</w:t>
      </w:r>
      <w:r>
        <w:rPr>
          <w:rFonts w:hint="eastAsia" w:ascii="宋体" w:hAnsi="宋体"/>
          <w:bCs/>
          <w:color w:val="auto"/>
          <w:szCs w:val="21"/>
          <w:highlight w:val="none"/>
        </w:rPr>
        <w:t>字体显示,并加注下划线，如“</w:t>
      </w:r>
      <w:r>
        <w:rPr>
          <w:rFonts w:hint="eastAsia" w:ascii="宋体" w:hAnsi="宋体"/>
          <w:b/>
          <w:color w:val="auto"/>
          <w:szCs w:val="21"/>
          <w:highlight w:val="none"/>
          <w:u w:val="single"/>
        </w:rPr>
        <w:t>新增修改</w:t>
      </w:r>
      <w:r>
        <w:rPr>
          <w:rFonts w:hint="eastAsia" w:ascii="宋体" w:hAnsi="宋体"/>
          <w:bCs/>
          <w:color w:val="auto"/>
          <w:szCs w:val="21"/>
          <w:highlight w:val="none"/>
        </w:rPr>
        <w:t>”。）</w:t>
      </w:r>
    </w:p>
    <w:p w14:paraId="29C1BEDF">
      <w:pPr>
        <w:spacing w:line="360" w:lineRule="auto"/>
        <w:ind w:firstLine="540" w:firstLineChars="224"/>
        <w:rPr>
          <w:b/>
          <w:color w:val="auto"/>
          <w:sz w:val="24"/>
          <w:szCs w:val="24"/>
          <w:highlight w:val="none"/>
        </w:rPr>
      </w:pPr>
      <w:r>
        <w:rPr>
          <w:rFonts w:hint="eastAsia"/>
          <w:b/>
          <w:color w:val="auto"/>
          <w:sz w:val="24"/>
          <w:szCs w:val="24"/>
          <w:highlight w:val="none"/>
        </w:rPr>
        <w:t>条款号：</w:t>
      </w:r>
      <w:r>
        <w:rPr>
          <w:b/>
          <w:color w:val="auto"/>
          <w:sz w:val="24"/>
          <w:szCs w:val="24"/>
          <w:highlight w:val="none"/>
        </w:rPr>
        <w:t xml:space="preserve"> </w:t>
      </w:r>
      <w:r>
        <w:rPr>
          <w:rFonts w:hint="eastAsia"/>
          <w:b/>
          <w:color w:val="auto"/>
          <w:sz w:val="24"/>
          <w:szCs w:val="24"/>
          <w:highlight w:val="none"/>
        </w:rPr>
        <w:t>36.3</w:t>
      </w:r>
      <w:r>
        <w:rPr>
          <w:b/>
          <w:color w:val="auto"/>
          <w:sz w:val="24"/>
          <w:szCs w:val="24"/>
          <w:highlight w:val="none"/>
        </w:rPr>
        <w:t xml:space="preserve">            </w:t>
      </w:r>
      <w:r>
        <w:rPr>
          <w:rFonts w:hint="eastAsia"/>
          <w:b/>
          <w:color w:val="auto"/>
          <w:sz w:val="24"/>
          <w:szCs w:val="24"/>
          <w:highlight w:val="none"/>
        </w:rPr>
        <w:t>修改类型：删除</w:t>
      </w:r>
    </w:p>
    <w:p w14:paraId="08C44708">
      <w:pPr>
        <w:pBdr>
          <w:bottom w:val="single" w:color="auto" w:sz="6" w:space="1"/>
        </w:pBdr>
        <w:spacing w:line="360" w:lineRule="auto"/>
        <w:ind w:firstLine="540" w:firstLineChars="224"/>
        <w:rPr>
          <w:b/>
          <w:color w:val="auto"/>
          <w:sz w:val="24"/>
          <w:szCs w:val="24"/>
          <w:highlight w:val="none"/>
        </w:rPr>
      </w:pPr>
      <w:r>
        <w:rPr>
          <w:rFonts w:hint="eastAsia"/>
          <w:b/>
          <w:color w:val="auto"/>
          <w:sz w:val="24"/>
          <w:szCs w:val="24"/>
          <w:highlight w:val="none"/>
        </w:rPr>
        <w:t>原文：</w:t>
      </w:r>
      <w:r>
        <w:rPr>
          <w:rFonts w:hint="eastAsia" w:ascii="宋体" w:hAnsi="宋体"/>
          <w:color w:val="auto"/>
          <w:sz w:val="24"/>
          <w:szCs w:val="24"/>
          <w:highlight w:val="none"/>
        </w:rPr>
        <w:t>36.3根据投标须知前附表第19项，如需抽取某一种评标办法供评标时使用的，可在开标时（唱标工作完成后）抽取。首先对招标文件中约定的若干种评标方法进行编号，再随机抽取某一编号，该编号所对应的评标办法供评标时使用。</w:t>
      </w:r>
    </w:p>
    <w:p w14:paraId="6CE5C576">
      <w:pPr>
        <w:spacing w:line="360" w:lineRule="auto"/>
        <w:ind w:firstLine="540" w:firstLineChars="224"/>
        <w:rPr>
          <w:b/>
          <w:color w:val="auto"/>
          <w:sz w:val="24"/>
          <w:szCs w:val="24"/>
          <w:highlight w:val="none"/>
        </w:rPr>
      </w:pPr>
      <w:r>
        <w:rPr>
          <w:rFonts w:hint="eastAsia"/>
          <w:b/>
          <w:color w:val="auto"/>
          <w:sz w:val="24"/>
          <w:szCs w:val="24"/>
          <w:highlight w:val="none"/>
        </w:rPr>
        <w:t>条款号：</w:t>
      </w:r>
      <w:r>
        <w:rPr>
          <w:rFonts w:hint="eastAsia" w:ascii="宋体" w:hAnsi="宋体" w:cs="宋体"/>
          <w:b/>
          <w:color w:val="auto"/>
          <w:sz w:val="24"/>
          <w:szCs w:val="24"/>
          <w:highlight w:val="none"/>
        </w:rPr>
        <w:t xml:space="preserve">（二）开标评标办法程序和细则 </w:t>
      </w:r>
      <w:r>
        <w:rPr>
          <w:b/>
          <w:color w:val="auto"/>
          <w:sz w:val="24"/>
          <w:szCs w:val="24"/>
          <w:highlight w:val="none"/>
        </w:rPr>
        <w:t xml:space="preserve">    </w:t>
      </w:r>
      <w:r>
        <w:rPr>
          <w:rFonts w:hint="eastAsia"/>
          <w:b/>
          <w:color w:val="auto"/>
          <w:sz w:val="24"/>
          <w:szCs w:val="24"/>
          <w:highlight w:val="none"/>
        </w:rPr>
        <w:t>修改类型：删除</w:t>
      </w:r>
    </w:p>
    <w:p w14:paraId="45D52B9D">
      <w:pPr>
        <w:pBdr>
          <w:bottom w:val="single" w:color="auto" w:sz="6" w:space="1"/>
        </w:pBdr>
        <w:spacing w:line="360" w:lineRule="auto"/>
        <w:ind w:firstLine="482" w:firstLineChars="200"/>
        <w:rPr>
          <w:rStyle w:val="43"/>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Style w:val="43"/>
          <w:rFonts w:hint="eastAsia" w:ascii="宋体" w:hAnsi="宋体" w:cs="宋体"/>
          <w:color w:val="auto"/>
          <w:sz w:val="24"/>
          <w:szCs w:val="24"/>
          <w:highlight w:val="none"/>
        </w:rPr>
        <w:t>可选</w:t>
      </w:r>
      <w:r>
        <w:rPr>
          <w:rFonts w:hint="eastAsia" w:ascii="宋体" w:hAnsi="宋体" w:cs="宋体"/>
          <w:color w:val="auto"/>
          <w:sz w:val="24"/>
          <w:szCs w:val="24"/>
          <w:highlight w:val="none"/>
        </w:rPr>
        <w:t>办法</w:t>
      </w:r>
      <w:r>
        <w:rPr>
          <w:rStyle w:val="43"/>
          <w:rFonts w:hint="eastAsia" w:ascii="宋体" w:hAnsi="宋体" w:cs="宋体"/>
          <w:color w:val="auto"/>
          <w:sz w:val="24"/>
          <w:szCs w:val="24"/>
          <w:highlight w:val="none"/>
        </w:rPr>
        <w:t>一（适合</w:t>
      </w:r>
      <w:r>
        <w:rPr>
          <w:rStyle w:val="43"/>
          <w:rFonts w:hint="eastAsia" w:ascii="宋体" w:hAnsi="宋体" w:cs="宋体"/>
          <w:color w:val="auto"/>
          <w:kern w:val="0"/>
          <w:sz w:val="24"/>
          <w:szCs w:val="24"/>
          <w:highlight w:val="none"/>
        </w:rPr>
        <w:t>综合评分法一</w:t>
      </w:r>
      <w:r>
        <w:rPr>
          <w:rStyle w:val="43"/>
          <w:rFonts w:hint="eastAsia" w:ascii="宋体" w:hAnsi="宋体" w:cs="宋体"/>
          <w:color w:val="auto"/>
          <w:sz w:val="24"/>
          <w:szCs w:val="24"/>
          <w:highlight w:val="none"/>
        </w:rPr>
        <w:t>，技术标与经济标先后分别开启）</w:t>
      </w:r>
    </w:p>
    <w:p w14:paraId="1DF707AB">
      <w:pPr>
        <w:pBdr>
          <w:bottom w:val="single" w:color="auto" w:sz="6" w:space="1"/>
        </w:pBdr>
        <w:spacing w:line="360" w:lineRule="auto"/>
        <w:ind w:firstLine="480" w:firstLineChars="200"/>
        <w:rPr>
          <w:rStyle w:val="43"/>
          <w:rFonts w:hint="eastAsia" w:ascii="宋体" w:hAnsi="宋体" w:cs="宋体"/>
          <w:color w:val="auto"/>
          <w:sz w:val="24"/>
          <w:szCs w:val="24"/>
          <w:highlight w:val="none"/>
        </w:rPr>
      </w:pPr>
      <w:r>
        <w:rPr>
          <w:rStyle w:val="43"/>
          <w:rFonts w:hint="eastAsia" w:ascii="宋体" w:hAnsi="宋体" w:cs="宋体"/>
          <w:color w:val="auto"/>
          <w:sz w:val="24"/>
          <w:szCs w:val="24"/>
          <w:highlight w:val="none"/>
        </w:rPr>
        <w:t>可选</w:t>
      </w:r>
      <w:r>
        <w:rPr>
          <w:rFonts w:hint="eastAsia" w:ascii="宋体" w:hAnsi="宋体" w:cs="宋体"/>
          <w:color w:val="auto"/>
          <w:sz w:val="24"/>
          <w:szCs w:val="24"/>
          <w:highlight w:val="none"/>
        </w:rPr>
        <w:t>办法</w:t>
      </w:r>
      <w:r>
        <w:rPr>
          <w:rStyle w:val="43"/>
          <w:rFonts w:hint="eastAsia" w:ascii="宋体" w:hAnsi="宋体" w:cs="宋体"/>
          <w:color w:val="auto"/>
          <w:sz w:val="24"/>
          <w:szCs w:val="24"/>
          <w:highlight w:val="none"/>
        </w:rPr>
        <w:t>二（适合综合评分法一，技术标与经济标同时开启）</w:t>
      </w:r>
    </w:p>
    <w:p w14:paraId="28EDF899">
      <w:pPr>
        <w:pBdr>
          <w:bottom w:val="single" w:color="auto" w:sz="6" w:space="1"/>
        </w:pBdr>
        <w:spacing w:line="360" w:lineRule="auto"/>
        <w:ind w:firstLine="480" w:firstLineChars="200"/>
        <w:rPr>
          <w:rStyle w:val="43"/>
          <w:rFonts w:hint="eastAsia" w:ascii="宋体" w:hAnsi="宋体" w:cs="宋体"/>
          <w:color w:val="auto"/>
          <w:sz w:val="24"/>
          <w:szCs w:val="24"/>
          <w:highlight w:val="none"/>
        </w:rPr>
      </w:pPr>
      <w:r>
        <w:rPr>
          <w:rStyle w:val="43"/>
          <w:rFonts w:hint="eastAsia" w:ascii="宋体" w:hAnsi="宋体" w:cs="宋体"/>
          <w:color w:val="auto"/>
          <w:sz w:val="24"/>
          <w:szCs w:val="24"/>
          <w:highlight w:val="none"/>
        </w:rPr>
        <w:t>可选办法三（适合综合评分法二，技术标与经济标先后分别开启）</w:t>
      </w:r>
    </w:p>
    <w:p w14:paraId="4C66D861">
      <w:pPr>
        <w:pBdr>
          <w:bottom w:val="single" w:color="auto" w:sz="6" w:space="1"/>
        </w:pBdr>
        <w:spacing w:line="360" w:lineRule="auto"/>
        <w:ind w:firstLine="480" w:firstLineChars="200"/>
        <w:rPr>
          <w:rStyle w:val="43"/>
          <w:rFonts w:hint="eastAsia" w:ascii="宋体" w:hAnsi="宋体" w:cs="宋体"/>
          <w:color w:val="auto"/>
          <w:sz w:val="24"/>
          <w:szCs w:val="24"/>
          <w:highlight w:val="none"/>
        </w:rPr>
      </w:pPr>
      <w:r>
        <w:rPr>
          <w:rStyle w:val="43"/>
          <w:rFonts w:hint="eastAsia" w:ascii="宋体" w:hAnsi="宋体" w:cs="宋体"/>
          <w:color w:val="auto"/>
          <w:sz w:val="24"/>
          <w:szCs w:val="24"/>
          <w:highlight w:val="none"/>
        </w:rPr>
        <w:t>可选办法四（适合综合评分法二，技术标与经济标同时开启）</w:t>
      </w:r>
    </w:p>
    <w:p w14:paraId="2087D011">
      <w:pPr>
        <w:pBdr>
          <w:bottom w:val="single" w:color="auto" w:sz="6" w:space="1"/>
        </w:pBdr>
        <w:spacing w:line="360" w:lineRule="auto"/>
        <w:ind w:firstLine="480" w:firstLineChars="200"/>
        <w:rPr>
          <w:rStyle w:val="43"/>
          <w:rFonts w:hint="eastAsia" w:ascii="宋体" w:hAnsi="宋体" w:cs="宋体"/>
          <w:color w:val="auto"/>
          <w:sz w:val="24"/>
          <w:szCs w:val="24"/>
          <w:highlight w:val="none"/>
        </w:rPr>
      </w:pPr>
      <w:r>
        <w:rPr>
          <w:rStyle w:val="43"/>
          <w:rFonts w:hint="eastAsia" w:ascii="宋体" w:hAnsi="宋体" w:cs="宋体"/>
          <w:color w:val="auto"/>
          <w:sz w:val="24"/>
          <w:szCs w:val="24"/>
          <w:highlight w:val="none"/>
        </w:rPr>
        <w:t>可选办法五（适合综合评分法三，技术标与经济标先后分别开启）</w:t>
      </w:r>
    </w:p>
    <w:p w14:paraId="0B6317DE">
      <w:pPr>
        <w:pBdr>
          <w:bottom w:val="single" w:color="auto" w:sz="6" w:space="1"/>
        </w:pBdr>
        <w:spacing w:line="360" w:lineRule="auto"/>
        <w:ind w:firstLine="480" w:firstLineChars="200"/>
        <w:rPr>
          <w:rStyle w:val="43"/>
          <w:rFonts w:hint="eastAsia" w:ascii="宋体" w:hAnsi="宋体" w:cs="宋体"/>
          <w:color w:val="auto"/>
          <w:sz w:val="24"/>
          <w:szCs w:val="24"/>
          <w:highlight w:val="none"/>
        </w:rPr>
      </w:pPr>
      <w:r>
        <w:rPr>
          <w:rStyle w:val="43"/>
          <w:rFonts w:hint="eastAsia" w:ascii="宋体" w:hAnsi="宋体" w:cs="宋体"/>
          <w:color w:val="auto"/>
          <w:sz w:val="24"/>
          <w:szCs w:val="24"/>
          <w:highlight w:val="none"/>
        </w:rPr>
        <w:t>可选办法</w:t>
      </w:r>
      <w:r>
        <w:rPr>
          <w:rStyle w:val="43"/>
          <w:rFonts w:hint="eastAsia" w:ascii="宋体" w:hAnsi="宋体" w:cs="宋体"/>
          <w:color w:val="auto"/>
          <w:sz w:val="24"/>
          <w:szCs w:val="24"/>
          <w:highlight w:val="none"/>
          <w:lang w:val="en-US" w:eastAsia="zh-CN"/>
        </w:rPr>
        <w:t>六</w:t>
      </w:r>
      <w:r>
        <w:rPr>
          <w:rStyle w:val="43"/>
          <w:rFonts w:hint="eastAsia" w:ascii="宋体" w:hAnsi="宋体" w:cs="宋体"/>
          <w:color w:val="auto"/>
          <w:sz w:val="24"/>
          <w:szCs w:val="24"/>
          <w:highlight w:val="none"/>
        </w:rPr>
        <w:t>（适合综合评分法</w:t>
      </w:r>
      <w:r>
        <w:rPr>
          <w:rStyle w:val="43"/>
          <w:rFonts w:hint="eastAsia" w:ascii="宋体" w:hAnsi="宋体" w:cs="宋体"/>
          <w:color w:val="auto"/>
          <w:sz w:val="24"/>
          <w:szCs w:val="24"/>
          <w:highlight w:val="none"/>
          <w:lang w:val="en-US" w:eastAsia="zh-CN"/>
        </w:rPr>
        <w:t>三</w:t>
      </w:r>
      <w:r>
        <w:rPr>
          <w:rStyle w:val="43"/>
          <w:rFonts w:hint="eastAsia" w:ascii="宋体" w:hAnsi="宋体" w:cs="宋体"/>
          <w:color w:val="auto"/>
          <w:sz w:val="24"/>
          <w:szCs w:val="24"/>
          <w:highlight w:val="none"/>
        </w:rPr>
        <w:t>，技术标与经济标同时开启）</w:t>
      </w:r>
    </w:p>
    <w:p w14:paraId="32BA85A7">
      <w:pPr>
        <w:pBdr>
          <w:bottom w:val="single" w:color="auto" w:sz="6" w:space="1"/>
        </w:pBdr>
        <w:spacing w:line="360" w:lineRule="auto"/>
        <w:ind w:firstLine="480" w:firstLineChars="200"/>
        <w:rPr>
          <w:rStyle w:val="43"/>
          <w:rFonts w:hint="eastAsia" w:ascii="宋体" w:hAnsi="宋体" w:cs="宋体"/>
          <w:color w:val="auto"/>
          <w:sz w:val="24"/>
          <w:szCs w:val="24"/>
          <w:highlight w:val="none"/>
        </w:rPr>
      </w:pPr>
      <w:r>
        <w:rPr>
          <w:rStyle w:val="43"/>
          <w:rFonts w:hint="eastAsia" w:ascii="宋体" w:hAnsi="宋体" w:cs="宋体"/>
          <w:color w:val="auto"/>
          <w:sz w:val="24"/>
          <w:szCs w:val="24"/>
          <w:highlight w:val="none"/>
        </w:rPr>
        <w:t>可选办法八（适合经评审的最低投标价法，技术标与经济标同时开启）</w:t>
      </w:r>
    </w:p>
    <w:p w14:paraId="38A6152F">
      <w:pPr>
        <w:pBdr>
          <w:bottom w:val="single" w:color="auto" w:sz="6" w:space="1"/>
        </w:pBdr>
        <w:spacing w:line="360" w:lineRule="auto"/>
        <w:ind w:firstLine="480" w:firstLineChars="200"/>
        <w:rPr>
          <w:rStyle w:val="43"/>
          <w:rFonts w:hint="eastAsia" w:ascii="宋体" w:hAnsi="宋体" w:cs="宋体"/>
          <w:color w:val="auto"/>
          <w:sz w:val="24"/>
          <w:szCs w:val="24"/>
          <w:highlight w:val="none"/>
        </w:rPr>
      </w:pPr>
      <w:r>
        <w:rPr>
          <w:rStyle w:val="43"/>
          <w:rFonts w:hint="eastAsia" w:ascii="宋体" w:hAnsi="宋体" w:cs="宋体"/>
          <w:color w:val="auto"/>
          <w:sz w:val="24"/>
          <w:szCs w:val="24"/>
          <w:highlight w:val="none"/>
        </w:rPr>
        <w:t>可选办法九（可选办法九（适用于规模较小的一般项目））</w:t>
      </w:r>
    </w:p>
    <w:p w14:paraId="56878AC8">
      <w:pPr>
        <w:spacing w:line="360" w:lineRule="auto"/>
        <w:ind w:firstLine="540" w:firstLineChars="224"/>
        <w:rPr>
          <w:b/>
          <w:color w:val="auto"/>
          <w:sz w:val="24"/>
          <w:szCs w:val="24"/>
          <w:highlight w:val="none"/>
        </w:rPr>
      </w:pPr>
      <w:r>
        <w:rPr>
          <w:rFonts w:hint="eastAsia"/>
          <w:b/>
          <w:color w:val="auto"/>
          <w:sz w:val="24"/>
          <w:szCs w:val="24"/>
          <w:highlight w:val="none"/>
        </w:rPr>
        <w:t>条款号：</w:t>
      </w:r>
      <w:r>
        <w:rPr>
          <w:b/>
          <w:color w:val="auto"/>
          <w:sz w:val="24"/>
          <w:szCs w:val="24"/>
          <w:highlight w:val="none"/>
        </w:rPr>
        <w:t xml:space="preserve"> </w:t>
      </w:r>
      <w:r>
        <w:rPr>
          <w:rFonts w:hint="eastAsia"/>
          <w:b/>
          <w:color w:val="auto"/>
          <w:sz w:val="24"/>
          <w:szCs w:val="24"/>
          <w:highlight w:val="none"/>
        </w:rPr>
        <w:t>36.4</w:t>
      </w:r>
      <w:r>
        <w:rPr>
          <w:b/>
          <w:color w:val="auto"/>
          <w:sz w:val="24"/>
          <w:szCs w:val="24"/>
          <w:highlight w:val="none"/>
        </w:rPr>
        <w:t xml:space="preserve">           </w:t>
      </w:r>
      <w:r>
        <w:rPr>
          <w:rFonts w:hint="eastAsia"/>
          <w:b/>
          <w:color w:val="auto"/>
          <w:sz w:val="24"/>
          <w:szCs w:val="24"/>
          <w:highlight w:val="none"/>
        </w:rPr>
        <w:t>修改类型：修改</w:t>
      </w:r>
    </w:p>
    <w:p w14:paraId="28E40B46">
      <w:pPr>
        <w:spacing w:line="360" w:lineRule="auto"/>
        <w:ind w:firstLine="540" w:firstLineChars="224"/>
        <w:rPr>
          <w:b/>
          <w:color w:val="auto"/>
          <w:sz w:val="24"/>
          <w:szCs w:val="24"/>
          <w:highlight w:val="none"/>
        </w:rPr>
      </w:pPr>
      <w:r>
        <w:rPr>
          <w:rFonts w:hint="eastAsia"/>
          <w:b/>
          <w:color w:val="auto"/>
          <w:sz w:val="24"/>
          <w:szCs w:val="24"/>
          <w:highlight w:val="none"/>
        </w:rPr>
        <w:t>原文：</w:t>
      </w:r>
      <w:r>
        <w:rPr>
          <w:rFonts w:hint="eastAsia" w:ascii="宋体" w:hAnsi="宋体"/>
          <w:color w:val="auto"/>
          <w:sz w:val="24"/>
          <w:szCs w:val="24"/>
          <w:highlight w:val="none"/>
        </w:rPr>
        <w:t>36.4若递交投标文件的投标人不足3家，则重新组织招标。（当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p>
    <w:p w14:paraId="4F91567E">
      <w:pPr>
        <w:spacing w:line="360" w:lineRule="auto"/>
        <w:ind w:firstLine="482" w:firstLineChars="200"/>
        <w:rPr>
          <w:b/>
          <w:color w:val="auto"/>
          <w:sz w:val="24"/>
          <w:szCs w:val="24"/>
          <w:highlight w:val="none"/>
        </w:rPr>
      </w:pPr>
      <w:r>
        <w:rPr>
          <w:rFonts w:hint="eastAsia"/>
          <w:b/>
          <w:color w:val="auto"/>
          <w:sz w:val="24"/>
          <w:szCs w:val="24"/>
          <w:highlight w:val="none"/>
        </w:rPr>
        <w:t>现文：</w:t>
      </w:r>
      <w:r>
        <w:rPr>
          <w:rFonts w:hint="eastAsia" w:ascii="宋体" w:hAnsi="宋体"/>
          <w:color w:val="auto"/>
          <w:sz w:val="24"/>
          <w:szCs w:val="24"/>
          <w:highlight w:val="none"/>
        </w:rPr>
        <w:t>36.4若递交投标文件的投标人不足3家，则重新组织招标。</w:t>
      </w:r>
      <w:r>
        <w:rPr>
          <w:rFonts w:hint="eastAsia" w:ascii="宋体" w:hAnsi="宋体"/>
          <w:strike/>
          <w:color w:val="auto"/>
          <w:sz w:val="24"/>
          <w:szCs w:val="24"/>
          <w:highlight w:val="none"/>
        </w:rPr>
        <w:t>（当</w:t>
      </w:r>
      <w:r>
        <w:rPr>
          <w:rFonts w:ascii="宋体" w:hAnsi="宋体"/>
          <w:strike/>
          <w:color w:val="auto"/>
          <w:sz w:val="24"/>
          <w:szCs w:val="24"/>
          <w:highlight w:val="none"/>
        </w:rPr>
        <w:t>N</w:t>
      </w:r>
      <w:r>
        <w:rPr>
          <w:rFonts w:hint="eastAsia" w:ascii="宋体" w:hAnsi="宋体"/>
          <w:strike/>
          <w:color w:val="auto"/>
          <w:sz w:val="24"/>
          <w:szCs w:val="24"/>
          <w:highlight w:val="none"/>
        </w:rPr>
        <w:t>个标段同时招标且不允许兼中时，若有效投标人不足</w:t>
      </w:r>
      <w:r>
        <w:rPr>
          <w:rFonts w:ascii="宋体" w:hAnsi="宋体"/>
          <w:strike/>
          <w:color w:val="auto"/>
          <w:sz w:val="24"/>
          <w:szCs w:val="24"/>
          <w:highlight w:val="none"/>
        </w:rPr>
        <w:t>N+</w:t>
      </w:r>
      <w:r>
        <w:rPr>
          <w:rFonts w:hint="eastAsia" w:ascii="宋体" w:hAnsi="宋体"/>
          <w:strike/>
          <w:color w:val="auto"/>
          <w:sz w:val="24"/>
          <w:szCs w:val="24"/>
          <w:highlight w:val="none"/>
        </w:rPr>
        <w:t>2家，则重新组织招标）。</w:t>
      </w:r>
    </w:p>
    <w:p w14:paraId="15B0065A">
      <w:pPr>
        <w:spacing w:line="360" w:lineRule="auto"/>
        <w:ind w:firstLine="537" w:firstLineChars="224"/>
        <w:rPr>
          <w:b/>
          <w:color w:val="auto"/>
          <w:sz w:val="24"/>
          <w:szCs w:val="24"/>
          <w:highlight w:val="none"/>
        </w:rPr>
      </w:pPr>
      <w:r>
        <w:rPr>
          <w:color w:val="auto"/>
          <w:sz w:val="24"/>
          <w:szCs w:val="24"/>
          <w:highlight w:val="none"/>
        </w:rPr>
        <mc:AlternateContent>
          <mc:Choice Requires="wps">
            <w:drawing>
              <wp:anchor distT="0" distB="0" distL="114300" distR="114300" simplePos="0" relativeHeight="251698176" behindDoc="0" locked="0" layoutInCell="1" allowOverlap="1">
                <wp:simplePos x="0" y="0"/>
                <wp:positionH relativeFrom="column">
                  <wp:posOffset>47625</wp:posOffset>
                </wp:positionH>
                <wp:positionV relativeFrom="paragraph">
                  <wp:posOffset>27940</wp:posOffset>
                </wp:positionV>
                <wp:extent cx="5845810" cy="0"/>
                <wp:effectExtent l="0" t="6350" r="0" b="6350"/>
                <wp:wrapNone/>
                <wp:docPr id="11" name="直接连接符 11"/>
                <wp:cNvGraphicFramePr/>
                <a:graphic xmlns:a="http://schemas.openxmlformats.org/drawingml/2006/main">
                  <a:graphicData uri="http://schemas.microsoft.com/office/word/2010/wordprocessingShape">
                    <wps:wsp>
                      <wps:cNvCnPr/>
                      <wps:spPr>
                        <a:xfrm>
                          <a:off x="939800" y="8764270"/>
                          <a:ext cx="584581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75pt;margin-top:2.2pt;height:0pt;width:460.3pt;z-index:251698176;mso-width-relative:page;mso-height-relative:page;" filled="f" stroked="t" coordsize="21600,21600" o:gfxdata="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1sfo3VAAAABQEAAA8AAAAAAAAAAQAgAAAAIgAAAGRycy9kb3ducmV2LnhtbFBLAQIUABQAAAAI&#10;AIdO4kBQWz4S8AEAAL8DAAAOAAAAAAAAAAEAIAAAACQBAABkcnMvZTJvRG9jLnhtbFBLBQYAAAAA&#10;BgAGAFkBAACGBQAAAAA=&#10;">
                <v:fill on="f" focussize="0,0"/>
                <v:stroke weight="1pt" color="#000000 [3213]" miterlimit="8" joinstyle="miter"/>
                <v:imagedata o:title=""/>
                <o:lock v:ext="edit" aspectratio="f"/>
              </v:line>
            </w:pict>
          </mc:Fallback>
        </mc:AlternateContent>
      </w:r>
      <w:r>
        <w:rPr>
          <w:rFonts w:hint="eastAsia"/>
          <w:b/>
          <w:color w:val="auto"/>
          <w:sz w:val="24"/>
          <w:szCs w:val="24"/>
          <w:highlight w:val="none"/>
        </w:rPr>
        <w:t>条款号：</w:t>
      </w:r>
      <w:r>
        <w:rPr>
          <w:b/>
          <w:color w:val="auto"/>
          <w:sz w:val="24"/>
          <w:szCs w:val="24"/>
          <w:highlight w:val="none"/>
        </w:rPr>
        <w:t xml:space="preserve"> </w:t>
      </w:r>
      <w:r>
        <w:rPr>
          <w:rFonts w:hint="eastAsia"/>
          <w:b/>
          <w:color w:val="auto"/>
          <w:sz w:val="24"/>
          <w:szCs w:val="24"/>
          <w:highlight w:val="none"/>
        </w:rPr>
        <w:t>36.5.1</w:t>
      </w:r>
      <w:r>
        <w:rPr>
          <w:b/>
          <w:color w:val="auto"/>
          <w:sz w:val="24"/>
          <w:szCs w:val="24"/>
          <w:highlight w:val="none"/>
        </w:rPr>
        <w:t xml:space="preserve">            </w:t>
      </w:r>
      <w:r>
        <w:rPr>
          <w:rFonts w:hint="eastAsia"/>
          <w:b/>
          <w:color w:val="auto"/>
          <w:sz w:val="24"/>
          <w:szCs w:val="24"/>
          <w:highlight w:val="none"/>
        </w:rPr>
        <w:t>修改类型：修改</w:t>
      </w:r>
    </w:p>
    <w:p w14:paraId="1CF077B9">
      <w:pPr>
        <w:spacing w:line="360" w:lineRule="auto"/>
        <w:ind w:firstLine="482" w:firstLineChars="200"/>
        <w:rPr>
          <w:rFonts w:hint="eastAsia" w:ascii="宋体" w:hAnsi="宋体"/>
          <w:color w:val="auto"/>
          <w:sz w:val="24"/>
          <w:szCs w:val="24"/>
          <w:highlight w:val="none"/>
        </w:rPr>
      </w:pPr>
      <w:r>
        <w:rPr>
          <w:rFonts w:hint="eastAsia"/>
          <w:b/>
          <w:color w:val="auto"/>
          <w:sz w:val="24"/>
          <w:szCs w:val="24"/>
          <w:highlight w:val="none"/>
        </w:rPr>
        <w:t>原文：</w:t>
      </w:r>
      <w:r>
        <w:rPr>
          <w:rFonts w:hint="eastAsia" w:ascii="宋体" w:hAnsi="宋体"/>
          <w:color w:val="auto"/>
          <w:sz w:val="24"/>
          <w:szCs w:val="24"/>
          <w:highlight w:val="none"/>
        </w:rPr>
        <w:t>36.5.1在投标截止时间后</w:t>
      </w:r>
      <w:r>
        <w:rPr>
          <w:rFonts w:hint="eastAsia" w:ascii="宋体" w:hAnsi="宋体"/>
          <w:color w:val="auto"/>
          <w:sz w:val="24"/>
          <w:szCs w:val="24"/>
          <w:highlight w:val="none"/>
          <w:u w:val="single"/>
        </w:rPr>
        <w:t>1</w:t>
      </w:r>
      <w:r>
        <w:rPr>
          <w:rFonts w:hint="eastAsia" w:ascii="宋体" w:hAnsi="宋体"/>
          <w:color w:val="auto"/>
          <w:sz w:val="24"/>
          <w:szCs w:val="24"/>
          <w:highlight w:val="none"/>
        </w:rPr>
        <w:t>小时内，投标人通过交易平台对已递交的电子投标文件进行解密。投标人完成解密后，再由招标人进行解密。解密完成后，公布招标项目名称、投标人名称、投标保证金的递交情况、投标报价、工期及其他内容；</w:t>
      </w:r>
    </w:p>
    <w:p w14:paraId="502DC38E">
      <w:pPr>
        <w:spacing w:line="360" w:lineRule="auto"/>
        <w:ind w:firstLine="482" w:firstLineChars="200"/>
        <w:rPr>
          <w:color w:val="auto"/>
          <w:sz w:val="24"/>
          <w:szCs w:val="24"/>
          <w:highlight w:val="none"/>
        </w:rPr>
      </w:pPr>
      <w:r>
        <w:rPr>
          <w:rFonts w:hint="eastAsia"/>
          <w:b/>
          <w:color w:val="auto"/>
          <w:sz w:val="24"/>
          <w:szCs w:val="24"/>
          <w:highlight w:val="none"/>
        </w:rPr>
        <w:t>现文：</w:t>
      </w:r>
      <w:r>
        <w:rPr>
          <w:rFonts w:hint="eastAsia" w:ascii="宋体" w:hAnsi="宋体"/>
          <w:color w:val="auto"/>
          <w:sz w:val="24"/>
          <w:szCs w:val="24"/>
          <w:highlight w:val="none"/>
        </w:rPr>
        <w:t>36.5.1在投标截止时间后</w:t>
      </w:r>
      <w:r>
        <w:rPr>
          <w:rFonts w:hint="eastAsia" w:ascii="宋体" w:hAnsi="宋体"/>
          <w:color w:val="auto"/>
          <w:sz w:val="24"/>
          <w:szCs w:val="24"/>
          <w:highlight w:val="none"/>
          <w:u w:val="single"/>
        </w:rPr>
        <w:t>1</w:t>
      </w:r>
      <w:r>
        <w:rPr>
          <w:rFonts w:hint="eastAsia" w:ascii="宋体" w:hAnsi="宋体"/>
          <w:color w:val="auto"/>
          <w:sz w:val="24"/>
          <w:szCs w:val="24"/>
          <w:highlight w:val="none"/>
        </w:rPr>
        <w:t>小时内，投标人通过</w:t>
      </w:r>
      <w:r>
        <w:rPr>
          <w:rFonts w:hint="eastAsia" w:ascii="宋体" w:hAnsi="宋体"/>
          <w:color w:val="auto"/>
          <w:sz w:val="24"/>
          <w:szCs w:val="24"/>
          <w:highlight w:val="none"/>
          <w:u w:val="single"/>
        </w:rPr>
        <w:t>广州交易集团有限公司（广</w:t>
      </w:r>
      <w:r>
        <w:rPr>
          <w:color w:val="auto"/>
          <w:sz w:val="24"/>
          <w:highlight w:val="none"/>
        </w:rPr>
        <mc:AlternateContent>
          <mc:Choice Requires="wps">
            <w:drawing>
              <wp:anchor distT="0" distB="0" distL="114300" distR="114300" simplePos="0" relativeHeight="251701248" behindDoc="0" locked="0" layoutInCell="1" allowOverlap="1">
                <wp:simplePos x="0" y="0"/>
                <wp:positionH relativeFrom="column">
                  <wp:posOffset>-16510</wp:posOffset>
                </wp:positionH>
                <wp:positionV relativeFrom="paragraph">
                  <wp:posOffset>855345</wp:posOffset>
                </wp:positionV>
                <wp:extent cx="5836285" cy="2540"/>
                <wp:effectExtent l="0" t="0" r="0" b="0"/>
                <wp:wrapNone/>
                <wp:docPr id="59" name="直接连接符 59"/>
                <wp:cNvGraphicFramePr/>
                <a:graphic xmlns:a="http://schemas.openxmlformats.org/drawingml/2006/main">
                  <a:graphicData uri="http://schemas.microsoft.com/office/word/2010/wordprocessingShape">
                    <wps:wsp>
                      <wps:cNvCnPr/>
                      <wps:spPr>
                        <a:xfrm flipV="1">
                          <a:off x="890270" y="1539875"/>
                          <a:ext cx="5836285" cy="254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3pt;margin-top:67.35pt;height:0.2pt;width:459.55pt;z-index:251701248;mso-width-relative:page;mso-height-relative:page;" filled="f" stroked="t" coordsize="21600,21600" o:gfxdata="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wK6RdcAAAAKAQAADwAAAAAAAAABACAAAAAiAAAAZHJzL2Rvd25yZXYu&#10;eG1sUEsBAhQAFAAAAAgAh07iQIdNVXz8AQAAzAMAAA4AAAAAAAAAAQAgAAAAJgEAAGRycy9lMm9E&#10;b2MueG1sUEsFBgAAAAAGAAYAWQEAAJQFAAAAAA==&#10;">
                <v:fill on="f" focussize="0,0"/>
                <v:stroke weight="1pt" color="#000000 [3213]" miterlimit="8" joinstyle="miter"/>
                <v:imagedata o:title=""/>
                <o:lock v:ext="edit" aspectratio="f"/>
              </v:line>
            </w:pict>
          </mc:Fallback>
        </mc:AlternateContent>
      </w:r>
      <w:r>
        <w:rPr>
          <w:rFonts w:hint="eastAsia" w:ascii="宋体" w:hAnsi="宋体"/>
          <w:color w:val="auto"/>
          <w:sz w:val="24"/>
          <w:szCs w:val="24"/>
          <w:highlight w:val="none"/>
          <w:u w:val="single"/>
        </w:rPr>
        <w:t>州公共资源交易中心）</w:t>
      </w:r>
      <w:r>
        <w:rPr>
          <w:rFonts w:hint="eastAsia" w:ascii="宋体" w:hAnsi="宋体"/>
          <w:color w:val="auto"/>
          <w:sz w:val="24"/>
          <w:szCs w:val="24"/>
          <w:highlight w:val="none"/>
        </w:rPr>
        <w:t>交易平台对已递交的电子投标文件进行解密。投标人完成解密后，再由招标人进行解密。解密完成后，公布招标项目名称、投标人名称、投标保证金的递交情况、投标报价、工期及其他内容；</w:t>
      </w:r>
    </w:p>
    <w:p w14:paraId="06B40624">
      <w:pPr>
        <w:spacing w:line="360" w:lineRule="auto"/>
        <w:ind w:firstLine="540" w:firstLineChars="224"/>
        <w:rPr>
          <w:rFonts w:hint="eastAsia" w:ascii="Calibri" w:hAnsi="Calibri" w:eastAsia="宋体" w:cs="Times New Roman"/>
          <w:b/>
          <w:color w:val="auto"/>
          <w:sz w:val="24"/>
          <w:szCs w:val="24"/>
          <w:highlight w:val="none"/>
        </w:rPr>
      </w:pPr>
      <w:r>
        <w:rPr>
          <w:rFonts w:hint="eastAsia" w:ascii="Calibri" w:hAnsi="Calibri" w:eastAsia="宋体" w:cs="Times New Roman"/>
          <w:b/>
          <w:color w:val="auto"/>
          <w:sz w:val="24"/>
          <w:szCs w:val="24"/>
          <w:highlight w:val="none"/>
        </w:rPr>
        <w:t>条款号：36.5.2            修改类型：修改</w:t>
      </w:r>
    </w:p>
    <w:p w14:paraId="435C479A">
      <w:pPr>
        <w:pStyle w:val="2"/>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原文：36.5.2备用光盘的读取按投标须知前附表第35项的规定执行；</w:t>
      </w:r>
    </w:p>
    <w:p w14:paraId="4633C572">
      <w:pPr>
        <w:pStyle w:val="2"/>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现文：36.5.2备用光盘的读取按投标须知前附表第37项的规定执行；</w:t>
      </w:r>
    </w:p>
    <w:p w14:paraId="4B2A92D6">
      <w:pPr>
        <w:spacing w:line="360" w:lineRule="auto"/>
        <w:ind w:firstLine="537" w:firstLineChars="224"/>
        <w:rPr>
          <w:b/>
          <w:color w:val="auto"/>
          <w:sz w:val="24"/>
          <w:szCs w:val="24"/>
          <w:highlight w:val="none"/>
        </w:rPr>
      </w:pPr>
      <w:r>
        <w:rPr>
          <w:color w:val="auto"/>
          <w:sz w:val="24"/>
          <w:szCs w:val="24"/>
          <w:highlight w:val="none"/>
        </w:rPr>
        <mc:AlternateContent>
          <mc:Choice Requires="wps">
            <w:drawing>
              <wp:anchor distT="0" distB="0" distL="114300" distR="114300" simplePos="0" relativeHeight="251699200" behindDoc="0" locked="0" layoutInCell="1" allowOverlap="1">
                <wp:simplePos x="0" y="0"/>
                <wp:positionH relativeFrom="column">
                  <wp:posOffset>0</wp:posOffset>
                </wp:positionH>
                <wp:positionV relativeFrom="paragraph">
                  <wp:posOffset>43815</wp:posOffset>
                </wp:positionV>
                <wp:extent cx="5786120" cy="0"/>
                <wp:effectExtent l="0" t="6350" r="0" b="6350"/>
                <wp:wrapNone/>
                <wp:docPr id="14" name="直接连接符 14"/>
                <wp:cNvGraphicFramePr/>
                <a:graphic xmlns:a="http://schemas.openxmlformats.org/drawingml/2006/main">
                  <a:graphicData uri="http://schemas.microsoft.com/office/word/2010/wordprocessingShape">
                    <wps:wsp>
                      <wps:cNvCnPr/>
                      <wps:spPr>
                        <a:xfrm>
                          <a:off x="900430" y="2249805"/>
                          <a:ext cx="578612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pt;margin-top:3.45pt;height:0pt;width:455.6pt;z-index:251699200;mso-width-relative:page;mso-height-relative:page;" filled="f" stroked="t" coordsize="21600,21600" o:gfxdata="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VlTpN1AAAAAQBAAAPAAAAAAAAAAEAIAAAACIAAABkcnMvZG93bnJldi54bWxQSwECFAAUAAAA&#10;CACHTuJAZkS1FfIBAAC/AwAADgAAAAAAAAABACAAAAAjAQAAZHJzL2Uyb0RvYy54bWxQSwUGAAAA&#10;AAYABgBZAQAAhwUAAAAA&#10;">
                <v:fill on="f" focussize="0,0"/>
                <v:stroke weight="1pt" color="#000000 [3213]" miterlimit="8" joinstyle="miter"/>
                <v:imagedata o:title=""/>
                <o:lock v:ext="edit" aspectratio="f"/>
              </v:line>
            </w:pict>
          </mc:Fallback>
        </mc:AlternateContent>
      </w:r>
      <w:r>
        <w:rPr>
          <w:rFonts w:hint="eastAsia"/>
          <w:b/>
          <w:color w:val="auto"/>
          <w:sz w:val="24"/>
          <w:szCs w:val="24"/>
          <w:highlight w:val="none"/>
        </w:rPr>
        <w:t>条款号：37.4</w:t>
      </w:r>
      <w:r>
        <w:rPr>
          <w:b/>
          <w:color w:val="auto"/>
          <w:sz w:val="24"/>
          <w:szCs w:val="24"/>
          <w:highlight w:val="none"/>
        </w:rPr>
        <w:t xml:space="preserve">             </w:t>
      </w:r>
      <w:r>
        <w:rPr>
          <w:rFonts w:hint="eastAsia"/>
          <w:b/>
          <w:color w:val="auto"/>
          <w:sz w:val="24"/>
          <w:szCs w:val="24"/>
          <w:highlight w:val="none"/>
        </w:rPr>
        <w:t>修改类型：修改</w:t>
      </w:r>
    </w:p>
    <w:p w14:paraId="3B4FEF37">
      <w:pPr>
        <w:pStyle w:val="20"/>
        <w:spacing w:line="360" w:lineRule="auto"/>
        <w:ind w:firstLine="482" w:firstLineChars="200"/>
        <w:rPr>
          <w:rFonts w:hint="eastAsia" w:hAnsi="宋体"/>
          <w:color w:val="auto"/>
          <w:sz w:val="24"/>
          <w:szCs w:val="24"/>
          <w:highlight w:val="none"/>
        </w:rPr>
      </w:pPr>
      <w:r>
        <w:rPr>
          <w:rFonts w:hint="eastAsia"/>
          <w:b/>
          <w:color w:val="auto"/>
          <w:sz w:val="24"/>
          <w:szCs w:val="24"/>
          <w:highlight w:val="none"/>
        </w:rPr>
        <w:t>原文：</w:t>
      </w:r>
      <w:r>
        <w:rPr>
          <w:rFonts w:hint="eastAsia" w:hAnsi="宋体"/>
          <w:color w:val="auto"/>
          <w:sz w:val="24"/>
          <w:szCs w:val="24"/>
          <w:highlight w:val="none"/>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0498D1CC">
      <w:pPr>
        <w:pBdr>
          <w:bottom w:val="single" w:color="auto" w:sz="6" w:space="1"/>
        </w:pBdr>
        <w:spacing w:line="360" w:lineRule="auto"/>
        <w:ind w:firstLine="602" w:firstLineChars="250"/>
        <w:rPr>
          <w:b/>
          <w:color w:val="auto"/>
          <w:sz w:val="24"/>
          <w:szCs w:val="24"/>
          <w:highlight w:val="none"/>
          <w:u w:val="single"/>
        </w:rPr>
      </w:pPr>
      <w:r>
        <w:rPr>
          <w:rFonts w:hint="eastAsia"/>
          <w:b/>
          <w:color w:val="auto"/>
          <w:sz w:val="24"/>
          <w:szCs w:val="24"/>
          <w:highlight w:val="none"/>
        </w:rPr>
        <w:t>现文：</w:t>
      </w:r>
      <w:r>
        <w:rPr>
          <w:rFonts w:hint="eastAsia" w:ascii="宋体" w:hAnsi="宋体"/>
          <w:color w:val="auto"/>
          <w:sz w:val="24"/>
          <w:szCs w:val="24"/>
          <w:highlight w:val="none"/>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r>
        <w:rPr>
          <w:rFonts w:hint="eastAsia" w:ascii="宋体" w:hAnsi="宋体"/>
          <w:color w:val="auto"/>
          <w:sz w:val="24"/>
          <w:szCs w:val="24"/>
          <w:highlight w:val="none"/>
          <w:u w:val="single"/>
        </w:rPr>
        <w:t>评标委员会在开始评标前，应了解评标专家的职责及守则，认真阅读《评标委员会成员声明》的内容并签名，签字后方可进行评标。</w:t>
      </w:r>
    </w:p>
    <w:p w14:paraId="75B53727">
      <w:pPr>
        <w:spacing w:line="360" w:lineRule="auto"/>
        <w:ind w:firstLine="540" w:firstLineChars="224"/>
        <w:rPr>
          <w:b/>
          <w:color w:val="auto"/>
          <w:sz w:val="24"/>
          <w:szCs w:val="24"/>
          <w:highlight w:val="none"/>
        </w:rPr>
      </w:pPr>
      <w:r>
        <w:rPr>
          <w:rFonts w:hint="eastAsia"/>
          <w:b/>
          <w:color w:val="auto"/>
          <w:sz w:val="24"/>
          <w:szCs w:val="24"/>
          <w:highlight w:val="none"/>
        </w:rPr>
        <w:t>条款号： 38.1            修改类型：修改</w:t>
      </w:r>
    </w:p>
    <w:p w14:paraId="4411CE46">
      <w:pPr>
        <w:spacing w:line="360" w:lineRule="auto"/>
        <w:ind w:firstLine="482" w:firstLineChars="200"/>
        <w:rPr>
          <w:rFonts w:hint="eastAsia" w:ascii="宋体" w:hAnsi="宋体"/>
          <w:color w:val="auto"/>
          <w:sz w:val="24"/>
          <w:szCs w:val="24"/>
          <w:highlight w:val="none"/>
        </w:rPr>
      </w:pPr>
      <w:r>
        <w:rPr>
          <w:rFonts w:hint="eastAsia"/>
          <w:b/>
          <w:color w:val="auto"/>
          <w:sz w:val="24"/>
          <w:szCs w:val="24"/>
          <w:highlight w:val="none"/>
        </w:rPr>
        <w:t>原文：</w:t>
      </w:r>
      <w:r>
        <w:rPr>
          <w:rFonts w:ascii="宋体" w:hAnsi="宋体"/>
          <w:color w:val="auto"/>
          <w:sz w:val="24"/>
          <w:szCs w:val="24"/>
          <w:highlight w:val="none"/>
        </w:rPr>
        <w:t>38.1</w:t>
      </w:r>
      <w:r>
        <w:rPr>
          <w:rFonts w:hint="eastAsia" w:ascii="宋体" w:hAnsi="宋体"/>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对同类问题表述不一致，有明显格式或文字、计算错误的内容作出澄清。</w:t>
      </w:r>
    </w:p>
    <w:p w14:paraId="7A233E0D">
      <w:pPr>
        <w:spacing w:line="360" w:lineRule="auto"/>
        <w:ind w:firstLine="480" w:firstLineChars="200"/>
        <w:rPr>
          <w:color w:val="auto"/>
          <w:sz w:val="24"/>
          <w:szCs w:val="24"/>
          <w:highlight w:val="none"/>
        </w:rPr>
      </w:pPr>
      <w:r>
        <w:rPr>
          <w:color w:val="auto"/>
          <w:sz w:val="24"/>
          <w:szCs w:val="24"/>
          <w:highlight w:val="none"/>
        </w:rPr>
        <mc:AlternateContent>
          <mc:Choice Requires="wps">
            <w:drawing>
              <wp:anchor distT="0" distB="0" distL="114300" distR="114300" simplePos="0" relativeHeight="251700224" behindDoc="0" locked="0" layoutInCell="1" allowOverlap="1">
                <wp:simplePos x="0" y="0"/>
                <wp:positionH relativeFrom="column">
                  <wp:posOffset>-4445</wp:posOffset>
                </wp:positionH>
                <wp:positionV relativeFrom="paragraph">
                  <wp:posOffset>1183640</wp:posOffset>
                </wp:positionV>
                <wp:extent cx="5727065" cy="12065"/>
                <wp:effectExtent l="0" t="6350" r="6985" b="10160"/>
                <wp:wrapNone/>
                <wp:docPr id="22" name="直接连接符 22"/>
                <wp:cNvGraphicFramePr/>
                <a:graphic xmlns:a="http://schemas.openxmlformats.org/drawingml/2006/main">
                  <a:graphicData uri="http://schemas.microsoft.com/office/word/2010/wordprocessingShape">
                    <wps:wsp>
                      <wps:cNvCnPr/>
                      <wps:spPr>
                        <a:xfrm flipV="1">
                          <a:off x="888365" y="7737475"/>
                          <a:ext cx="5727065" cy="1206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35pt;margin-top:93.2pt;height:0.95pt;width:450.95pt;z-index:251700224;mso-width-relative:page;mso-height-relative:page;" filled="f" stroked="t" coordsize="21600,21600" o:gfxdata="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f5Lt3WAAAACQEAAA8AAAAAAAAAAQAgAAAAIgAAAGRycy9kb3ducmV2LnhtbFBL&#10;AQIUABQAAAAIAIdO4kAVH6b/+AEAAM0DAAAOAAAAAAAAAAEAIAAAACUBAABkcnMvZTJvRG9jLnht&#10;bFBLBQYAAAAABgAGAFkBAACPBQAAAAA=&#10;">
                <v:fill on="f" focussize="0,0"/>
                <v:stroke weight="1pt" color="#000000 [3213]" miterlimit="8" joinstyle="miter"/>
                <v:imagedata o:title=""/>
                <o:lock v:ext="edit" aspectratio="f"/>
              </v:line>
            </w:pict>
          </mc:Fallback>
        </mc:AlternateContent>
      </w:r>
      <w:r>
        <w:rPr>
          <w:rFonts w:hint="eastAsia"/>
          <w:b/>
          <w:color w:val="auto"/>
          <w:sz w:val="24"/>
          <w:szCs w:val="24"/>
          <w:highlight w:val="none"/>
        </w:rPr>
        <w:t>现文：</w:t>
      </w:r>
      <w:r>
        <w:rPr>
          <w:rFonts w:ascii="宋体" w:hAnsi="宋体"/>
          <w:color w:val="auto"/>
          <w:sz w:val="24"/>
          <w:szCs w:val="24"/>
          <w:highlight w:val="none"/>
        </w:rPr>
        <w:t>38.1</w:t>
      </w:r>
      <w:r>
        <w:rPr>
          <w:rFonts w:hint="eastAsia" w:ascii="宋体" w:hAnsi="宋体"/>
          <w:color w:val="auto"/>
          <w:sz w:val="24"/>
          <w:szCs w:val="24"/>
          <w:highlight w:val="none"/>
        </w:rPr>
        <w:t>为有助于投标文件的审查、评价和比较，评标期间，经综合评标委员会</w:t>
      </w:r>
      <w:r>
        <w:rPr>
          <w:rFonts w:hint="eastAsia" w:ascii="宋体" w:hAnsi="宋体"/>
          <w:strike/>
          <w:color w:val="auto"/>
          <w:sz w:val="24"/>
          <w:szCs w:val="24"/>
          <w:highlight w:val="none"/>
        </w:rPr>
        <w:t>或评标委员会专业评审组</w:t>
      </w:r>
      <w:r>
        <w:rPr>
          <w:rFonts w:hint="eastAsia" w:ascii="宋体" w:hAnsi="宋体"/>
          <w:color w:val="auto"/>
          <w:sz w:val="24"/>
          <w:szCs w:val="24"/>
          <w:highlight w:val="none"/>
        </w:rPr>
        <w:t>中两人以上（含两人）以书面形式提出动议，综合评标委员会</w:t>
      </w:r>
      <w:r>
        <w:rPr>
          <w:rFonts w:hint="eastAsia" w:ascii="宋体" w:hAnsi="宋体"/>
          <w:strike/>
          <w:color w:val="auto"/>
          <w:sz w:val="24"/>
          <w:szCs w:val="24"/>
          <w:highlight w:val="none"/>
        </w:rPr>
        <w:t>或评标委员会专业评审组</w:t>
      </w:r>
      <w:r>
        <w:rPr>
          <w:rFonts w:hint="eastAsia" w:ascii="宋体" w:hAnsi="宋体"/>
          <w:color w:val="auto"/>
          <w:sz w:val="24"/>
          <w:szCs w:val="24"/>
          <w:highlight w:val="none"/>
        </w:rPr>
        <w:t>应当书面发出澄清通知，要求投标人对投标文件含义不明确、对同类问题表述不一致，有明显格式或文字、计算错误的内容作出澄清。</w:t>
      </w:r>
    </w:p>
    <w:p w14:paraId="351064C5">
      <w:pPr>
        <w:spacing w:line="360" w:lineRule="auto"/>
        <w:ind w:firstLine="540" w:firstLineChars="224"/>
        <w:rPr>
          <w:b/>
          <w:color w:val="auto"/>
          <w:sz w:val="24"/>
          <w:szCs w:val="24"/>
          <w:highlight w:val="none"/>
        </w:rPr>
      </w:pPr>
      <w:r>
        <w:rPr>
          <w:rFonts w:hint="eastAsia"/>
          <w:b/>
          <w:color w:val="auto"/>
          <w:sz w:val="24"/>
          <w:szCs w:val="24"/>
          <w:highlight w:val="none"/>
        </w:rPr>
        <w:t>条款号：39.2</w:t>
      </w:r>
      <w:r>
        <w:rPr>
          <w:b/>
          <w:color w:val="auto"/>
          <w:sz w:val="24"/>
          <w:szCs w:val="24"/>
          <w:highlight w:val="none"/>
        </w:rPr>
        <w:t xml:space="preserve">             </w:t>
      </w:r>
      <w:r>
        <w:rPr>
          <w:rFonts w:hint="eastAsia"/>
          <w:b/>
          <w:color w:val="auto"/>
          <w:sz w:val="24"/>
          <w:szCs w:val="24"/>
          <w:highlight w:val="none"/>
        </w:rPr>
        <w:t>修改类型：修改</w:t>
      </w:r>
    </w:p>
    <w:p w14:paraId="50F6B0B5">
      <w:pPr>
        <w:spacing w:line="360" w:lineRule="auto"/>
        <w:ind w:firstLine="482" w:firstLineChars="200"/>
        <w:rPr>
          <w:rFonts w:hint="eastAsia" w:ascii="宋体" w:hAnsi="宋体"/>
          <w:color w:val="auto"/>
          <w:sz w:val="24"/>
          <w:szCs w:val="24"/>
          <w:highlight w:val="none"/>
        </w:rPr>
      </w:pPr>
      <w:r>
        <w:rPr>
          <w:rFonts w:hint="eastAsia"/>
          <w:b/>
          <w:color w:val="auto"/>
          <w:sz w:val="24"/>
          <w:szCs w:val="24"/>
          <w:highlight w:val="none"/>
        </w:rPr>
        <w:t>原文：</w:t>
      </w: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采用评定分离方式确定中标人的从其规定。若发现委派的项目负责人已在其他在建项目中任职，不符合任职数量规定时，招标人可以确定排名第二的中标候选人为中标人。</w:t>
      </w:r>
    </w:p>
    <w:p w14:paraId="22E5F31C">
      <w:pPr>
        <w:pBdr>
          <w:bottom w:val="single" w:color="auto" w:sz="4" w:space="0"/>
        </w:pBdr>
        <w:spacing w:line="360" w:lineRule="auto"/>
        <w:ind w:firstLine="482" w:firstLineChars="200"/>
        <w:rPr>
          <w:rFonts w:hint="eastAsia" w:ascii="宋体" w:hAnsi="宋体"/>
          <w:color w:val="auto"/>
          <w:sz w:val="24"/>
          <w:szCs w:val="24"/>
          <w:highlight w:val="none"/>
        </w:rPr>
      </w:pPr>
      <w:r>
        <w:rPr>
          <w:rFonts w:hint="eastAsia"/>
          <w:b/>
          <w:color w:val="auto"/>
          <w:sz w:val="24"/>
          <w:szCs w:val="24"/>
          <w:highlight w:val="none"/>
        </w:rPr>
        <w:t>现文：</w:t>
      </w: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w:t>
      </w:r>
      <w:r>
        <w:rPr>
          <w:rFonts w:hint="eastAsia" w:ascii="宋体" w:hAnsi="宋体"/>
          <w:strike/>
          <w:color w:val="auto"/>
          <w:sz w:val="24"/>
          <w:szCs w:val="24"/>
          <w:highlight w:val="none"/>
        </w:rPr>
        <w:t>采用评定分离方式确定中标人的从其规定。</w:t>
      </w:r>
      <w:r>
        <w:rPr>
          <w:rFonts w:hint="eastAsia" w:ascii="宋体" w:hAnsi="宋体"/>
          <w:color w:val="auto"/>
          <w:sz w:val="24"/>
          <w:szCs w:val="24"/>
          <w:highlight w:val="none"/>
        </w:rPr>
        <w:t>若发现委派的项目负责人已在其他在建项目中任职项目负责人的，不符合任职数量规定时，招标人可以确定排名第二的中标候选人为中标人。</w:t>
      </w:r>
    </w:p>
    <w:p w14:paraId="722A0DB7">
      <w:pPr>
        <w:spacing w:line="360" w:lineRule="auto"/>
        <w:ind w:firstLine="482" w:firstLineChars="200"/>
        <w:rPr>
          <w:b/>
          <w:color w:val="auto"/>
          <w:sz w:val="24"/>
          <w:szCs w:val="24"/>
          <w:highlight w:val="none"/>
        </w:rPr>
      </w:pPr>
      <w:r>
        <w:rPr>
          <w:rFonts w:hint="eastAsia"/>
          <w:b/>
          <w:color w:val="auto"/>
          <w:sz w:val="24"/>
          <w:szCs w:val="24"/>
          <w:highlight w:val="none"/>
        </w:rPr>
        <w:t>条款号：</w:t>
      </w:r>
      <w:r>
        <w:rPr>
          <w:b/>
          <w:color w:val="auto"/>
          <w:sz w:val="24"/>
          <w:szCs w:val="24"/>
          <w:highlight w:val="none"/>
        </w:rPr>
        <w:t xml:space="preserve"> </w:t>
      </w:r>
      <w:r>
        <w:rPr>
          <w:rFonts w:hint="eastAsia"/>
          <w:b/>
          <w:color w:val="auto"/>
          <w:sz w:val="24"/>
          <w:szCs w:val="24"/>
          <w:highlight w:val="none"/>
          <w:lang w:val="en-US" w:eastAsia="zh-CN"/>
        </w:rPr>
        <w:t>41.1</w:t>
      </w:r>
      <w:r>
        <w:rPr>
          <w:b/>
          <w:color w:val="auto"/>
          <w:sz w:val="24"/>
          <w:szCs w:val="24"/>
          <w:highlight w:val="none"/>
        </w:rPr>
        <w:t xml:space="preserve">            </w:t>
      </w:r>
      <w:r>
        <w:rPr>
          <w:rFonts w:hint="eastAsia"/>
          <w:b/>
          <w:color w:val="auto"/>
          <w:sz w:val="24"/>
          <w:szCs w:val="24"/>
          <w:highlight w:val="none"/>
        </w:rPr>
        <w:t>修改类型：修改</w:t>
      </w:r>
    </w:p>
    <w:p w14:paraId="780D6235">
      <w:pPr>
        <w:snapToGrid w:val="0"/>
        <w:spacing w:line="360" w:lineRule="auto"/>
        <w:ind w:firstLine="482" w:firstLineChars="200"/>
        <w:rPr>
          <w:b/>
          <w:color w:val="auto"/>
          <w:sz w:val="24"/>
          <w:szCs w:val="24"/>
          <w:highlight w:val="none"/>
        </w:rPr>
      </w:pPr>
      <w:r>
        <w:rPr>
          <w:rFonts w:hint="eastAsia"/>
          <w:b/>
          <w:color w:val="auto"/>
          <w:sz w:val="24"/>
          <w:szCs w:val="24"/>
          <w:highlight w:val="none"/>
        </w:rPr>
        <w:t>原文：</w:t>
      </w:r>
      <w:r>
        <w:rPr>
          <w:rFonts w:hint="eastAsia" w:ascii="宋体"/>
          <w:color w:val="auto"/>
          <w:sz w:val="24"/>
          <w:szCs w:val="24"/>
          <w:highlight w:val="none"/>
        </w:rPr>
        <w:t>41.1开标由招标人主持</w:t>
      </w:r>
      <w:r>
        <w:rPr>
          <w:rFonts w:hint="eastAsia" w:ascii="宋体"/>
          <w:color w:val="auto"/>
          <w:sz w:val="24"/>
          <w:szCs w:val="24"/>
          <w:highlight w:val="none"/>
          <w:lang w:eastAsia="zh-CN"/>
        </w:rPr>
        <w:t>。</w:t>
      </w:r>
    </w:p>
    <w:p w14:paraId="2CE19C50">
      <w:pPr>
        <w:pBdr>
          <w:bottom w:val="single" w:color="auto" w:sz="6" w:space="1"/>
        </w:pBdr>
        <w:spacing w:line="360" w:lineRule="auto"/>
        <w:ind w:firstLine="602" w:firstLineChars="250"/>
        <w:rPr>
          <w:rFonts w:hint="eastAsia" w:eastAsia="宋体"/>
          <w:color w:val="auto"/>
          <w:sz w:val="24"/>
          <w:szCs w:val="24"/>
          <w:highlight w:val="none"/>
          <w:lang w:eastAsia="zh-CN"/>
        </w:rPr>
      </w:pPr>
      <w:r>
        <w:rPr>
          <w:rFonts w:hint="eastAsia"/>
          <w:b/>
          <w:color w:val="auto"/>
          <w:sz w:val="24"/>
          <w:szCs w:val="24"/>
          <w:highlight w:val="none"/>
        </w:rPr>
        <w:t>现文：</w:t>
      </w:r>
      <w:r>
        <w:rPr>
          <w:rFonts w:hint="eastAsia" w:ascii="宋体" w:hAnsi="宋体" w:cs="宋体"/>
          <w:color w:val="auto"/>
          <w:sz w:val="24"/>
          <w:szCs w:val="24"/>
          <w:highlight w:val="none"/>
        </w:rPr>
        <w:t>41.1开标由</w:t>
      </w:r>
      <w:r>
        <w:rPr>
          <w:rFonts w:hint="eastAsia" w:ascii="宋体" w:hAnsi="宋体" w:cs="宋体"/>
          <w:b/>
          <w:bCs/>
          <w:color w:val="auto"/>
          <w:sz w:val="24"/>
          <w:szCs w:val="24"/>
          <w:highlight w:val="none"/>
          <w:u w:val="single"/>
        </w:rPr>
        <w:t>招标人或招标代理</w:t>
      </w:r>
      <w:r>
        <w:rPr>
          <w:rFonts w:hint="eastAsia" w:ascii="宋体" w:hAnsi="宋体" w:cs="宋体"/>
          <w:color w:val="auto"/>
          <w:sz w:val="24"/>
          <w:szCs w:val="24"/>
          <w:highlight w:val="none"/>
        </w:rPr>
        <w:t>主持</w:t>
      </w:r>
      <w:r>
        <w:rPr>
          <w:rFonts w:hint="eastAsia" w:ascii="宋体" w:hAnsi="宋体" w:cs="宋体"/>
          <w:color w:val="auto"/>
          <w:sz w:val="24"/>
          <w:szCs w:val="24"/>
          <w:highlight w:val="none"/>
          <w:lang w:eastAsia="zh-CN"/>
        </w:rPr>
        <w:t>。</w:t>
      </w:r>
    </w:p>
    <w:p w14:paraId="7443EF19">
      <w:pPr>
        <w:spacing w:line="480" w:lineRule="auto"/>
        <w:ind w:firstLine="540" w:firstLineChars="224"/>
        <w:rPr>
          <w:b/>
          <w:color w:val="auto"/>
          <w:sz w:val="24"/>
          <w:szCs w:val="24"/>
          <w:highlight w:val="none"/>
        </w:rPr>
      </w:pPr>
      <w:r>
        <w:rPr>
          <w:rFonts w:hint="eastAsia"/>
          <w:b/>
          <w:color w:val="auto"/>
          <w:sz w:val="24"/>
          <w:szCs w:val="24"/>
          <w:highlight w:val="none"/>
        </w:rPr>
        <w:t>条款号：</w:t>
      </w:r>
      <w:r>
        <w:rPr>
          <w:rFonts w:hint="eastAsia"/>
          <w:b/>
          <w:color w:val="auto"/>
          <w:sz w:val="24"/>
          <w:szCs w:val="24"/>
          <w:highlight w:val="none"/>
          <w:lang w:val="en-US" w:eastAsia="zh-CN"/>
        </w:rPr>
        <w:t>41.2.1</w:t>
      </w:r>
      <w:r>
        <w:rPr>
          <w:b/>
          <w:color w:val="auto"/>
          <w:sz w:val="24"/>
          <w:szCs w:val="24"/>
          <w:highlight w:val="none"/>
        </w:rPr>
        <w:t xml:space="preserve">             </w:t>
      </w:r>
      <w:r>
        <w:rPr>
          <w:rFonts w:hint="eastAsia"/>
          <w:b/>
          <w:color w:val="auto"/>
          <w:sz w:val="24"/>
          <w:szCs w:val="24"/>
          <w:highlight w:val="none"/>
        </w:rPr>
        <w:t>修改类型：修改</w:t>
      </w:r>
    </w:p>
    <w:p w14:paraId="3629F2CA">
      <w:pPr>
        <w:snapToGrid w:val="0"/>
        <w:spacing w:line="360" w:lineRule="auto"/>
        <w:ind w:firstLine="482" w:firstLineChars="200"/>
        <w:rPr>
          <w:rFonts w:ascii="宋体"/>
          <w:color w:val="auto"/>
          <w:sz w:val="24"/>
          <w:szCs w:val="24"/>
          <w:highlight w:val="none"/>
        </w:rPr>
      </w:pPr>
      <w:r>
        <w:rPr>
          <w:rFonts w:hint="eastAsia"/>
          <w:b/>
          <w:color w:val="auto"/>
          <w:sz w:val="24"/>
          <w:szCs w:val="24"/>
          <w:highlight w:val="none"/>
        </w:rPr>
        <w:t>原文：</w:t>
      </w:r>
      <w:r>
        <w:rPr>
          <w:rFonts w:hint="eastAsia" w:ascii="宋体"/>
          <w:color w:val="auto"/>
          <w:sz w:val="24"/>
          <w:szCs w:val="24"/>
          <w:highlight w:val="none"/>
        </w:rPr>
        <w:t>41.2.1投标截止期前，各投标人递交投标文件（包括技术标投标文件、经济标投标文件）至</w:t>
      </w:r>
      <w:r>
        <w:rPr>
          <w:rFonts w:hint="eastAsia" w:ascii="宋体"/>
          <w:color w:val="auto"/>
          <w:sz w:val="24"/>
          <w:szCs w:val="24"/>
          <w:highlight w:val="none"/>
          <w:u w:val="single"/>
        </w:rPr>
        <w:t xml:space="preserve">        </w:t>
      </w:r>
      <w:r>
        <w:rPr>
          <w:rFonts w:hint="eastAsia" w:ascii="宋体"/>
          <w:color w:val="auto"/>
          <w:sz w:val="24"/>
          <w:szCs w:val="24"/>
          <w:highlight w:val="none"/>
        </w:rPr>
        <w:t xml:space="preserve">交易平台。有关投标文件提交的事项详见第一章投标须知。 </w:t>
      </w:r>
    </w:p>
    <w:p w14:paraId="2E4A7C6B">
      <w:pPr>
        <w:pBdr>
          <w:bottom w:val="single" w:color="auto" w:sz="4" w:space="0"/>
        </w:pBdr>
        <w:snapToGrid w:val="0"/>
        <w:spacing w:line="360" w:lineRule="auto"/>
        <w:ind w:firstLine="482" w:firstLineChars="200"/>
        <w:rPr>
          <w:rFonts w:hint="default" w:eastAsia="宋体"/>
          <w:b/>
          <w:color w:val="auto"/>
          <w:sz w:val="24"/>
          <w:szCs w:val="24"/>
          <w:highlight w:val="none"/>
          <w:lang w:val="en-US" w:eastAsia="zh-CN"/>
        </w:rPr>
      </w:pPr>
      <w:r>
        <w:rPr>
          <w:rFonts w:hint="eastAsia"/>
          <w:b/>
          <w:color w:val="auto"/>
          <w:sz w:val="24"/>
          <w:szCs w:val="24"/>
          <w:highlight w:val="none"/>
          <w:lang w:val="en-US" w:eastAsia="zh-CN"/>
        </w:rPr>
        <w:t>现文：</w:t>
      </w:r>
      <w:r>
        <w:rPr>
          <w:rFonts w:hint="eastAsia" w:ascii="宋体"/>
          <w:color w:val="auto"/>
          <w:sz w:val="24"/>
          <w:szCs w:val="24"/>
          <w:highlight w:val="none"/>
        </w:rPr>
        <w:t>41.2.1投标截止期前，各投标人递交投标文件（包括技术标投标文件、经济标投标文件）至</w:t>
      </w:r>
      <w:r>
        <w:rPr>
          <w:rFonts w:hint="eastAsia" w:ascii="宋体" w:hAnsi="宋体" w:cs="宋体"/>
          <w:b/>
          <w:bCs/>
          <w:color w:val="auto"/>
          <w:sz w:val="24"/>
          <w:szCs w:val="24"/>
          <w:highlight w:val="none"/>
          <w:u w:val="single"/>
          <w:lang w:eastAsia="zh-CN"/>
        </w:rPr>
        <w:t>广州交易集团有限公司（广州公共资源交易中心）</w:t>
      </w:r>
      <w:r>
        <w:rPr>
          <w:rFonts w:hint="eastAsia" w:ascii="宋体"/>
          <w:color w:val="auto"/>
          <w:sz w:val="24"/>
          <w:szCs w:val="24"/>
          <w:highlight w:val="none"/>
        </w:rPr>
        <w:t xml:space="preserve">交易平台。有关投标文件提交的事项详见第一章投标须知。 </w:t>
      </w:r>
    </w:p>
    <w:p w14:paraId="2FAF8492">
      <w:pPr>
        <w:spacing w:line="480" w:lineRule="auto"/>
        <w:ind w:firstLine="540" w:firstLineChars="224"/>
        <w:rPr>
          <w:b/>
          <w:color w:val="auto"/>
          <w:sz w:val="24"/>
          <w:szCs w:val="24"/>
          <w:highlight w:val="none"/>
        </w:rPr>
      </w:pPr>
      <w:r>
        <w:rPr>
          <w:rFonts w:hint="eastAsia"/>
          <w:b/>
          <w:color w:val="auto"/>
          <w:sz w:val="24"/>
          <w:szCs w:val="24"/>
          <w:highlight w:val="none"/>
        </w:rPr>
        <w:t>条款号：</w:t>
      </w:r>
      <w:r>
        <w:rPr>
          <w:rFonts w:hint="eastAsia"/>
          <w:b/>
          <w:color w:val="auto"/>
          <w:sz w:val="24"/>
          <w:szCs w:val="24"/>
          <w:highlight w:val="none"/>
          <w:lang w:val="en-US" w:eastAsia="zh-CN"/>
        </w:rPr>
        <w:t>41.2.3.1</w:t>
      </w:r>
      <w:r>
        <w:rPr>
          <w:b/>
          <w:color w:val="auto"/>
          <w:sz w:val="24"/>
          <w:szCs w:val="24"/>
          <w:highlight w:val="none"/>
        </w:rPr>
        <w:t xml:space="preserve">             </w:t>
      </w:r>
      <w:r>
        <w:rPr>
          <w:rFonts w:hint="eastAsia"/>
          <w:b/>
          <w:color w:val="auto"/>
          <w:sz w:val="24"/>
          <w:szCs w:val="24"/>
          <w:highlight w:val="none"/>
        </w:rPr>
        <w:t>修改类型：修改</w:t>
      </w:r>
    </w:p>
    <w:p w14:paraId="32F2DF7A">
      <w:pPr>
        <w:snapToGrid w:val="0"/>
        <w:spacing w:line="360" w:lineRule="auto"/>
        <w:ind w:firstLine="482" w:firstLineChars="200"/>
        <w:rPr>
          <w:b/>
          <w:color w:val="auto"/>
          <w:sz w:val="24"/>
          <w:szCs w:val="24"/>
          <w:highlight w:val="none"/>
        </w:rPr>
      </w:pPr>
      <w:r>
        <w:rPr>
          <w:rFonts w:hint="eastAsia"/>
          <w:b/>
          <w:color w:val="auto"/>
          <w:sz w:val="24"/>
          <w:szCs w:val="24"/>
          <w:highlight w:val="none"/>
        </w:rPr>
        <w:t>原文：</w:t>
      </w:r>
      <w:r>
        <w:rPr>
          <w:rFonts w:hint="eastAsia" w:ascii="宋体"/>
          <w:color w:val="auto"/>
          <w:sz w:val="24"/>
          <w:szCs w:val="24"/>
          <w:highlight w:val="none"/>
        </w:rPr>
        <w:t>41.2.</w:t>
      </w:r>
      <w:r>
        <w:rPr>
          <w:rFonts w:hint="eastAsia" w:ascii="宋体"/>
          <w:color w:val="auto"/>
          <w:sz w:val="24"/>
          <w:szCs w:val="24"/>
          <w:highlight w:val="none"/>
          <w:lang w:val="en-US" w:eastAsia="zh-CN"/>
        </w:rPr>
        <w:t>3</w:t>
      </w:r>
      <w:r>
        <w:rPr>
          <w:rFonts w:hint="eastAsia" w:ascii="宋体"/>
          <w:color w:val="auto"/>
          <w:sz w:val="24"/>
          <w:szCs w:val="24"/>
          <w:highlight w:val="none"/>
        </w:rPr>
        <w:t>.1开标时，公布：</w:t>
      </w:r>
      <w:r>
        <w:rPr>
          <w:rFonts w:hint="eastAsia" w:ascii="宋体" w:hAnsi="宋体"/>
          <w:color w:val="auto"/>
          <w:sz w:val="24"/>
          <w:szCs w:val="24"/>
          <w:highlight w:val="none"/>
        </w:rPr>
        <w:t>a、投标人名称；</w:t>
      </w:r>
      <w:r>
        <w:rPr>
          <w:rFonts w:ascii="宋体" w:hAnsi="宋体"/>
          <w:color w:val="auto"/>
          <w:sz w:val="24"/>
          <w:szCs w:val="24"/>
          <w:highlight w:val="none"/>
        </w:rPr>
        <w:t>b</w:t>
      </w:r>
      <w:r>
        <w:rPr>
          <w:rFonts w:hint="eastAsia" w:ascii="宋体" w:hAnsi="宋体"/>
          <w:color w:val="auto"/>
          <w:sz w:val="24"/>
          <w:szCs w:val="24"/>
          <w:highlight w:val="none"/>
        </w:rPr>
        <w:t>、</w:t>
      </w:r>
      <w:r>
        <w:rPr>
          <w:rFonts w:hint="eastAsia" w:ascii="宋体" w:hAnsi="宋体"/>
          <w:color w:val="auto"/>
          <w:sz w:val="24"/>
          <w:szCs w:val="24"/>
          <w:highlight w:val="none"/>
          <w:lang w:eastAsia="zh-CN"/>
        </w:rPr>
        <w:t>投标文件递交情况</w:t>
      </w:r>
      <w:r>
        <w:rPr>
          <w:rFonts w:ascii="宋体" w:hAnsi="宋体"/>
          <w:color w:val="auto"/>
          <w:sz w:val="24"/>
          <w:szCs w:val="24"/>
          <w:highlight w:val="none"/>
        </w:rPr>
        <w:t>c</w:t>
      </w:r>
      <w:r>
        <w:rPr>
          <w:rFonts w:hint="eastAsia" w:ascii="宋体" w:hAnsi="宋体"/>
          <w:color w:val="auto"/>
          <w:sz w:val="24"/>
          <w:szCs w:val="24"/>
          <w:highlight w:val="none"/>
        </w:rPr>
        <w:t>、投标文件</w:t>
      </w:r>
      <w:r>
        <w:rPr>
          <w:rFonts w:hint="eastAsia" w:ascii="宋体" w:hAnsi="宋体"/>
          <w:color w:val="auto"/>
          <w:sz w:val="24"/>
          <w:szCs w:val="24"/>
          <w:highlight w:val="none"/>
          <w:lang w:eastAsia="zh-CN"/>
        </w:rPr>
        <w:t>解</w:t>
      </w:r>
      <w:r>
        <w:rPr>
          <w:rFonts w:hint="eastAsia" w:ascii="宋体" w:hAnsi="宋体"/>
          <w:color w:val="auto"/>
          <w:sz w:val="24"/>
          <w:szCs w:val="24"/>
          <w:highlight w:val="none"/>
        </w:rPr>
        <w:t>密情况；</w:t>
      </w:r>
      <w:r>
        <w:rPr>
          <w:rFonts w:ascii="宋体" w:hAnsi="宋体"/>
          <w:color w:val="auto"/>
          <w:sz w:val="24"/>
          <w:szCs w:val="24"/>
          <w:highlight w:val="none"/>
        </w:rPr>
        <w:t>d</w:t>
      </w:r>
      <w:r>
        <w:rPr>
          <w:rFonts w:hint="eastAsia" w:ascii="宋体" w:hAnsi="宋体"/>
          <w:color w:val="auto"/>
          <w:sz w:val="24"/>
          <w:szCs w:val="24"/>
          <w:highlight w:val="none"/>
        </w:rPr>
        <w:t>、法定代表人证明及授权委托；</w:t>
      </w:r>
      <w:r>
        <w:rPr>
          <w:rFonts w:ascii="宋体" w:hAnsi="宋体"/>
          <w:color w:val="auto"/>
          <w:sz w:val="24"/>
          <w:szCs w:val="24"/>
          <w:highlight w:val="none"/>
        </w:rPr>
        <w:t>e</w:t>
      </w:r>
      <w:r>
        <w:rPr>
          <w:rFonts w:hint="eastAsia" w:ascii="宋体" w:hAnsi="宋体"/>
          <w:color w:val="auto"/>
          <w:sz w:val="24"/>
          <w:szCs w:val="24"/>
          <w:highlight w:val="none"/>
        </w:rPr>
        <w:t>、投标保证金；</w:t>
      </w:r>
      <w:r>
        <w:rPr>
          <w:rFonts w:hint="eastAsia" w:ascii="宋体" w:hAnsi="宋体"/>
          <w:color w:val="auto"/>
          <w:sz w:val="24"/>
          <w:szCs w:val="24"/>
          <w:highlight w:val="none"/>
          <w:lang w:val="en-US" w:eastAsia="zh-CN"/>
        </w:rPr>
        <w:t>f、</w:t>
      </w:r>
      <w:r>
        <w:rPr>
          <w:rFonts w:hint="eastAsia" w:ascii="宋体" w:hAnsi="宋体"/>
          <w:color w:val="auto"/>
          <w:sz w:val="24"/>
          <w:szCs w:val="24"/>
          <w:highlight w:val="none"/>
        </w:rPr>
        <w:t>项目经理（负责人）名称；</w:t>
      </w:r>
      <w:r>
        <w:rPr>
          <w:rFonts w:ascii="宋体" w:hAnsi="宋体"/>
          <w:color w:val="auto"/>
          <w:sz w:val="24"/>
          <w:szCs w:val="24"/>
          <w:highlight w:val="none"/>
        </w:rPr>
        <w:t>f</w:t>
      </w:r>
      <w:r>
        <w:rPr>
          <w:rFonts w:hint="eastAsia" w:ascii="宋体" w:hAnsi="宋体"/>
          <w:color w:val="auto"/>
          <w:sz w:val="24"/>
          <w:szCs w:val="24"/>
          <w:highlight w:val="none"/>
        </w:rPr>
        <w:t>、投标报价等</w:t>
      </w:r>
      <w:r>
        <w:rPr>
          <w:rFonts w:hint="eastAsia" w:ascii="宋体"/>
          <w:color w:val="auto"/>
          <w:sz w:val="24"/>
          <w:szCs w:val="24"/>
          <w:highlight w:val="none"/>
        </w:rPr>
        <w:t>主要内容及开标记录表中的其他必要内容。投标报价以数字和文字两种方式表述的，应公布文字表述的投标报价。</w:t>
      </w:r>
    </w:p>
    <w:p w14:paraId="0F65846C">
      <w:pPr>
        <w:pBdr>
          <w:bottom w:val="single" w:color="auto" w:sz="4" w:space="0"/>
        </w:pBdr>
        <w:snapToGrid w:val="0"/>
        <w:spacing w:line="360" w:lineRule="auto"/>
        <w:ind w:firstLine="482" w:firstLineChars="200"/>
        <w:rPr>
          <w:color w:val="auto"/>
          <w:sz w:val="24"/>
          <w:szCs w:val="24"/>
          <w:highlight w:val="none"/>
        </w:rPr>
      </w:pPr>
      <w:r>
        <w:rPr>
          <w:rFonts w:hint="eastAsia"/>
          <w:b/>
          <w:color w:val="auto"/>
          <w:sz w:val="24"/>
          <w:szCs w:val="24"/>
          <w:highlight w:val="none"/>
        </w:rPr>
        <w:t>现文：</w:t>
      </w:r>
      <w:r>
        <w:rPr>
          <w:rFonts w:hint="eastAsia" w:ascii="宋体"/>
          <w:color w:val="auto"/>
          <w:sz w:val="24"/>
          <w:szCs w:val="24"/>
          <w:highlight w:val="none"/>
        </w:rPr>
        <w:t>41.2.</w:t>
      </w:r>
      <w:r>
        <w:rPr>
          <w:rFonts w:hint="eastAsia" w:ascii="宋体"/>
          <w:color w:val="auto"/>
          <w:sz w:val="24"/>
          <w:szCs w:val="24"/>
          <w:highlight w:val="none"/>
          <w:lang w:val="en-US" w:eastAsia="zh-CN"/>
        </w:rPr>
        <w:t>3</w:t>
      </w:r>
      <w:r>
        <w:rPr>
          <w:rFonts w:hint="eastAsia" w:ascii="宋体"/>
          <w:color w:val="auto"/>
          <w:sz w:val="24"/>
          <w:szCs w:val="24"/>
          <w:highlight w:val="none"/>
        </w:rPr>
        <w:t>.1开标时，公布：</w:t>
      </w:r>
      <w:r>
        <w:rPr>
          <w:rFonts w:hint="eastAsia" w:ascii="宋体" w:hAnsi="宋体"/>
          <w:color w:val="auto"/>
          <w:sz w:val="24"/>
          <w:szCs w:val="24"/>
          <w:highlight w:val="none"/>
        </w:rPr>
        <w:t>a、投标人名称；</w:t>
      </w:r>
      <w:r>
        <w:rPr>
          <w:rFonts w:ascii="宋体" w:hAnsi="宋体"/>
          <w:color w:val="auto"/>
          <w:sz w:val="24"/>
          <w:szCs w:val="24"/>
          <w:highlight w:val="none"/>
        </w:rPr>
        <w:t>b</w:t>
      </w:r>
      <w:r>
        <w:rPr>
          <w:rFonts w:hint="eastAsia" w:ascii="宋体" w:hAnsi="宋体"/>
          <w:color w:val="auto"/>
          <w:sz w:val="24"/>
          <w:szCs w:val="24"/>
          <w:highlight w:val="none"/>
        </w:rPr>
        <w:t>、</w:t>
      </w:r>
      <w:r>
        <w:rPr>
          <w:rFonts w:hint="eastAsia" w:ascii="宋体" w:hAnsi="宋体"/>
          <w:color w:val="auto"/>
          <w:sz w:val="24"/>
          <w:szCs w:val="24"/>
          <w:highlight w:val="none"/>
          <w:lang w:eastAsia="zh-CN"/>
        </w:rPr>
        <w:t>投标文件递交情况</w:t>
      </w:r>
      <w:r>
        <w:rPr>
          <w:rFonts w:ascii="宋体" w:hAnsi="宋体"/>
          <w:color w:val="auto"/>
          <w:sz w:val="24"/>
          <w:szCs w:val="24"/>
          <w:highlight w:val="none"/>
        </w:rPr>
        <w:t>c</w:t>
      </w:r>
      <w:r>
        <w:rPr>
          <w:rFonts w:hint="eastAsia" w:ascii="宋体" w:hAnsi="宋体"/>
          <w:color w:val="auto"/>
          <w:sz w:val="24"/>
          <w:szCs w:val="24"/>
          <w:highlight w:val="none"/>
        </w:rPr>
        <w:t>、投标文件</w:t>
      </w:r>
      <w:r>
        <w:rPr>
          <w:rFonts w:hint="eastAsia" w:ascii="宋体" w:hAnsi="宋体"/>
          <w:color w:val="auto"/>
          <w:sz w:val="24"/>
          <w:szCs w:val="24"/>
          <w:highlight w:val="none"/>
          <w:lang w:eastAsia="zh-CN"/>
        </w:rPr>
        <w:t>解</w:t>
      </w:r>
      <w:r>
        <w:rPr>
          <w:rFonts w:hint="eastAsia" w:ascii="宋体" w:hAnsi="宋体"/>
          <w:color w:val="auto"/>
          <w:sz w:val="24"/>
          <w:szCs w:val="24"/>
          <w:highlight w:val="none"/>
        </w:rPr>
        <w:t>密情况；</w:t>
      </w:r>
      <w:r>
        <w:rPr>
          <w:rFonts w:ascii="宋体" w:hAnsi="宋体"/>
          <w:color w:val="auto"/>
          <w:sz w:val="24"/>
          <w:szCs w:val="24"/>
          <w:highlight w:val="none"/>
        </w:rPr>
        <w:t>d</w:t>
      </w:r>
      <w:r>
        <w:rPr>
          <w:rFonts w:hint="eastAsia" w:ascii="宋体" w:hAnsi="宋体"/>
          <w:color w:val="auto"/>
          <w:sz w:val="24"/>
          <w:szCs w:val="24"/>
          <w:highlight w:val="none"/>
        </w:rPr>
        <w:t>、法定代表人证明及授权委托；</w:t>
      </w:r>
      <w:r>
        <w:rPr>
          <w:rFonts w:ascii="宋体" w:hAnsi="宋体"/>
          <w:strike/>
          <w:dstrike w:val="0"/>
          <w:color w:val="auto"/>
          <w:sz w:val="24"/>
          <w:szCs w:val="24"/>
          <w:highlight w:val="none"/>
        </w:rPr>
        <w:t>e</w:t>
      </w:r>
      <w:r>
        <w:rPr>
          <w:rFonts w:hint="eastAsia" w:ascii="宋体" w:hAnsi="宋体"/>
          <w:strike/>
          <w:dstrike w:val="0"/>
          <w:color w:val="auto"/>
          <w:sz w:val="24"/>
          <w:szCs w:val="24"/>
          <w:highlight w:val="none"/>
        </w:rPr>
        <w:t>、投标保证金；</w:t>
      </w:r>
      <w:r>
        <w:rPr>
          <w:rFonts w:hint="eastAsia" w:ascii="宋体" w:hAnsi="宋体"/>
          <w:color w:val="auto"/>
          <w:sz w:val="24"/>
          <w:szCs w:val="24"/>
          <w:highlight w:val="none"/>
          <w:lang w:val="en-US" w:eastAsia="zh-CN"/>
        </w:rPr>
        <w:t>f、</w:t>
      </w:r>
      <w:r>
        <w:rPr>
          <w:rFonts w:hint="eastAsia" w:ascii="宋体" w:hAnsi="宋体"/>
          <w:color w:val="auto"/>
          <w:sz w:val="24"/>
          <w:szCs w:val="24"/>
          <w:highlight w:val="none"/>
        </w:rPr>
        <w:t>项目经理（负责人）名称；</w:t>
      </w:r>
      <w:r>
        <w:rPr>
          <w:rFonts w:ascii="宋体" w:hAnsi="宋体"/>
          <w:color w:val="auto"/>
          <w:sz w:val="24"/>
          <w:szCs w:val="24"/>
          <w:highlight w:val="none"/>
        </w:rPr>
        <w:t>f</w:t>
      </w:r>
      <w:r>
        <w:rPr>
          <w:rFonts w:hint="eastAsia" w:ascii="宋体" w:hAnsi="宋体"/>
          <w:color w:val="auto"/>
          <w:sz w:val="24"/>
          <w:szCs w:val="24"/>
          <w:highlight w:val="none"/>
        </w:rPr>
        <w:t>、投标报价等</w:t>
      </w:r>
      <w:r>
        <w:rPr>
          <w:rFonts w:hint="eastAsia" w:ascii="宋体"/>
          <w:color w:val="auto"/>
          <w:sz w:val="24"/>
          <w:szCs w:val="24"/>
          <w:highlight w:val="none"/>
        </w:rPr>
        <w:t>主要内容及开标记录表中的其他必要内容。投标报价以数字和文字两种方式表述的，应公布文字表述的投标报价。</w:t>
      </w:r>
    </w:p>
    <w:p w14:paraId="44D32932">
      <w:pPr>
        <w:spacing w:line="480" w:lineRule="auto"/>
        <w:ind w:firstLine="540" w:firstLineChars="224"/>
        <w:rPr>
          <w:b/>
          <w:color w:val="auto"/>
          <w:sz w:val="24"/>
          <w:szCs w:val="24"/>
          <w:highlight w:val="none"/>
        </w:rPr>
      </w:pPr>
      <w:r>
        <w:rPr>
          <w:rFonts w:hint="eastAsia"/>
          <w:b/>
          <w:color w:val="auto"/>
          <w:sz w:val="24"/>
          <w:szCs w:val="24"/>
          <w:highlight w:val="none"/>
        </w:rPr>
        <w:t>条款号：</w:t>
      </w:r>
      <w:r>
        <w:rPr>
          <w:rFonts w:hint="eastAsia"/>
          <w:b/>
          <w:color w:val="auto"/>
          <w:sz w:val="24"/>
          <w:szCs w:val="24"/>
          <w:highlight w:val="none"/>
          <w:lang w:val="en-US" w:eastAsia="zh-CN"/>
        </w:rPr>
        <w:t>42.2</w:t>
      </w:r>
      <w:r>
        <w:rPr>
          <w:b/>
          <w:color w:val="auto"/>
          <w:sz w:val="24"/>
          <w:szCs w:val="24"/>
          <w:highlight w:val="none"/>
        </w:rPr>
        <w:t xml:space="preserve">             </w:t>
      </w:r>
      <w:r>
        <w:rPr>
          <w:rFonts w:hint="eastAsia"/>
          <w:b/>
          <w:color w:val="auto"/>
          <w:sz w:val="24"/>
          <w:szCs w:val="24"/>
          <w:highlight w:val="none"/>
        </w:rPr>
        <w:t>修改类型：修改</w:t>
      </w:r>
    </w:p>
    <w:p w14:paraId="4AD4CEA6">
      <w:pPr>
        <w:pStyle w:val="5"/>
        <w:tabs>
          <w:tab w:val="left" w:pos="7380"/>
        </w:tabs>
        <w:snapToGrid w:val="0"/>
        <w:spacing w:after="0" w:line="360" w:lineRule="auto"/>
        <w:ind w:firstLine="482" w:firstLineChars="200"/>
        <w:rPr>
          <w:rFonts w:ascii="宋体"/>
          <w:color w:val="auto"/>
          <w:sz w:val="24"/>
          <w:szCs w:val="24"/>
          <w:highlight w:val="none"/>
        </w:rPr>
      </w:pPr>
      <w:r>
        <w:rPr>
          <w:rFonts w:hint="eastAsia"/>
          <w:b/>
          <w:color w:val="auto"/>
          <w:sz w:val="24"/>
          <w:szCs w:val="24"/>
          <w:highlight w:val="none"/>
        </w:rPr>
        <w:t>原文：</w:t>
      </w:r>
      <w:r>
        <w:rPr>
          <w:rFonts w:hint="eastAsia" w:ascii="宋体"/>
          <w:color w:val="auto"/>
          <w:sz w:val="24"/>
          <w:szCs w:val="24"/>
          <w:highlight w:val="none"/>
        </w:rPr>
        <w:t>42.2评标委员会的组成：方式</w:t>
      </w:r>
      <w:r>
        <w:rPr>
          <w:rFonts w:hint="eastAsia" w:ascii="宋体"/>
          <w:color w:val="auto"/>
          <w:sz w:val="24"/>
          <w:szCs w:val="24"/>
          <w:highlight w:val="none"/>
          <w:u w:val="single"/>
        </w:rPr>
        <w:t xml:space="preserve"> </w:t>
      </w:r>
      <w:r>
        <w:rPr>
          <w:rFonts w:hint="eastAsia" w:ascii="宋体"/>
          <w:color w:val="auto"/>
          <w:sz w:val="24"/>
          <w:szCs w:val="24"/>
          <w:highlight w:val="none"/>
          <w:u w:val="single"/>
          <w:lang w:val="en-US" w:eastAsia="zh-CN"/>
        </w:rPr>
        <w:t xml:space="preserve"> </w:t>
      </w:r>
      <w:r>
        <w:rPr>
          <w:rFonts w:hint="eastAsia" w:ascii="宋体"/>
          <w:color w:val="auto"/>
          <w:sz w:val="24"/>
          <w:szCs w:val="24"/>
          <w:highlight w:val="none"/>
          <w:u w:val="single"/>
        </w:rPr>
        <w:t xml:space="preserve">  </w:t>
      </w:r>
      <w:r>
        <w:rPr>
          <w:rFonts w:hint="eastAsia" w:ascii="宋体"/>
          <w:color w:val="auto"/>
          <w:sz w:val="24"/>
          <w:szCs w:val="24"/>
          <w:highlight w:val="none"/>
        </w:rPr>
        <w:t>。</w:t>
      </w:r>
    </w:p>
    <w:p w14:paraId="4D5B211A">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方式一：评标委员会为综合评标委员会，负责资格审查及评标工作。</w:t>
      </w:r>
    </w:p>
    <w:p w14:paraId="109C67C2">
      <w:pPr>
        <w:pStyle w:val="5"/>
        <w:tabs>
          <w:tab w:val="left" w:pos="7380"/>
        </w:tabs>
        <w:snapToGrid w:val="0"/>
        <w:spacing w:after="0" w:line="360" w:lineRule="auto"/>
        <w:rPr>
          <w:rFonts w:ascii="宋体"/>
          <w:strike w:val="0"/>
          <w:dstrike w:val="0"/>
          <w:color w:val="auto"/>
          <w:sz w:val="24"/>
          <w:szCs w:val="24"/>
          <w:highlight w:val="none"/>
        </w:rPr>
      </w:pPr>
      <w:r>
        <w:rPr>
          <w:rFonts w:hint="eastAsia" w:ascii="宋体"/>
          <w:strike w:val="0"/>
          <w:dstrike w:val="0"/>
          <w:color w:val="auto"/>
          <w:sz w:val="24"/>
          <w:szCs w:val="24"/>
          <w:highlight w:val="none"/>
        </w:rPr>
        <w:t>方式二：评标委员会由技术评审组和经济评审组组成。其中：资格审查及技术评审由技术评标组负责，经济评审由经济评审组负责。</w:t>
      </w:r>
    </w:p>
    <w:p w14:paraId="514853A9">
      <w:pPr>
        <w:pStyle w:val="5"/>
        <w:tabs>
          <w:tab w:val="left" w:pos="7380"/>
        </w:tabs>
        <w:snapToGrid w:val="0"/>
        <w:spacing w:after="0" w:line="360" w:lineRule="auto"/>
        <w:ind w:firstLine="482" w:firstLineChars="200"/>
        <w:rPr>
          <w:rFonts w:ascii="宋体"/>
          <w:color w:val="auto"/>
          <w:sz w:val="24"/>
          <w:szCs w:val="24"/>
          <w:highlight w:val="none"/>
        </w:rPr>
      </w:pPr>
      <w:r>
        <w:rPr>
          <w:rFonts w:hint="eastAsia" w:ascii="宋体"/>
          <w:b/>
          <w:bCs/>
          <w:color w:val="auto"/>
          <w:sz w:val="24"/>
          <w:szCs w:val="24"/>
          <w:highlight w:val="none"/>
          <w:lang w:val="en-US" w:eastAsia="zh-CN"/>
        </w:rPr>
        <w:t>现文：</w:t>
      </w:r>
      <w:r>
        <w:rPr>
          <w:rFonts w:hint="eastAsia" w:ascii="宋体"/>
          <w:color w:val="auto"/>
          <w:sz w:val="24"/>
          <w:szCs w:val="24"/>
          <w:highlight w:val="none"/>
        </w:rPr>
        <w:t>42.2评标委员会的组成：方式</w:t>
      </w:r>
      <w:r>
        <w:rPr>
          <w:rFonts w:hint="eastAsia" w:ascii="宋体"/>
          <w:color w:val="auto"/>
          <w:sz w:val="24"/>
          <w:szCs w:val="24"/>
          <w:highlight w:val="none"/>
          <w:u w:val="single"/>
        </w:rPr>
        <w:t xml:space="preserve"> </w:t>
      </w:r>
      <w:r>
        <w:rPr>
          <w:rFonts w:hint="eastAsia" w:ascii="宋体"/>
          <w:color w:val="auto"/>
          <w:sz w:val="24"/>
          <w:szCs w:val="24"/>
          <w:highlight w:val="none"/>
          <w:u w:val="single"/>
          <w:lang w:val="en-US" w:eastAsia="zh-CN"/>
        </w:rPr>
        <w:t>一</w:t>
      </w:r>
      <w:r>
        <w:rPr>
          <w:rFonts w:hint="eastAsia" w:ascii="宋体"/>
          <w:color w:val="auto"/>
          <w:sz w:val="24"/>
          <w:szCs w:val="24"/>
          <w:highlight w:val="none"/>
          <w:u w:val="single"/>
        </w:rPr>
        <w:t xml:space="preserve">  </w:t>
      </w:r>
      <w:r>
        <w:rPr>
          <w:rFonts w:hint="eastAsia" w:ascii="宋体"/>
          <w:color w:val="auto"/>
          <w:sz w:val="24"/>
          <w:szCs w:val="24"/>
          <w:highlight w:val="none"/>
        </w:rPr>
        <w:t>。</w:t>
      </w:r>
    </w:p>
    <w:p w14:paraId="4F67326A">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方式一：评标委员会为综合评标委员会，负责资格审查及评标工作。</w:t>
      </w:r>
    </w:p>
    <w:p w14:paraId="571D636B">
      <w:pPr>
        <w:pStyle w:val="5"/>
        <w:pBdr>
          <w:bottom w:val="single" w:color="auto" w:sz="4" w:space="0"/>
        </w:pBdr>
        <w:tabs>
          <w:tab w:val="left" w:pos="7380"/>
        </w:tabs>
        <w:snapToGrid w:val="0"/>
        <w:spacing w:line="360" w:lineRule="auto"/>
        <w:rPr>
          <w:color w:val="auto"/>
          <w:sz w:val="24"/>
          <w:szCs w:val="24"/>
          <w:highlight w:val="none"/>
        </w:rPr>
      </w:pPr>
      <w:r>
        <w:rPr>
          <w:rFonts w:hint="eastAsia" w:ascii="宋体"/>
          <w:strike/>
          <w:dstrike w:val="0"/>
          <w:color w:val="auto"/>
          <w:sz w:val="24"/>
          <w:szCs w:val="24"/>
          <w:highlight w:val="none"/>
        </w:rPr>
        <w:t>方式二：评标委员会由技术评审组和经济评审组组成。其中：资格审查及技术评审由技术评标组负责，经济评审由经济评审组负责。</w:t>
      </w:r>
    </w:p>
    <w:p w14:paraId="27637761">
      <w:pPr>
        <w:spacing w:line="480" w:lineRule="auto"/>
        <w:ind w:firstLine="540" w:firstLineChars="224"/>
        <w:rPr>
          <w:b/>
          <w:color w:val="auto"/>
          <w:sz w:val="24"/>
          <w:szCs w:val="24"/>
          <w:highlight w:val="none"/>
        </w:rPr>
      </w:pPr>
      <w:r>
        <w:rPr>
          <w:rFonts w:hint="eastAsia"/>
          <w:b/>
          <w:color w:val="auto"/>
          <w:sz w:val="24"/>
          <w:szCs w:val="24"/>
          <w:highlight w:val="none"/>
        </w:rPr>
        <w:t>条款号：</w:t>
      </w:r>
      <w:r>
        <w:rPr>
          <w:rFonts w:hint="eastAsia"/>
          <w:b/>
          <w:color w:val="auto"/>
          <w:sz w:val="24"/>
          <w:szCs w:val="24"/>
          <w:highlight w:val="none"/>
          <w:lang w:val="en-US" w:eastAsia="zh-CN"/>
        </w:rPr>
        <w:t>45.8</w:t>
      </w:r>
      <w:r>
        <w:rPr>
          <w:b/>
          <w:color w:val="auto"/>
          <w:sz w:val="24"/>
          <w:szCs w:val="24"/>
          <w:highlight w:val="none"/>
        </w:rPr>
        <w:t xml:space="preserve">            </w:t>
      </w:r>
      <w:r>
        <w:rPr>
          <w:rFonts w:hint="eastAsia"/>
          <w:b/>
          <w:color w:val="auto"/>
          <w:sz w:val="24"/>
          <w:szCs w:val="24"/>
          <w:highlight w:val="none"/>
        </w:rPr>
        <w:t>修改类型：修改</w:t>
      </w:r>
    </w:p>
    <w:p w14:paraId="03753224">
      <w:pPr>
        <w:pStyle w:val="5"/>
        <w:tabs>
          <w:tab w:val="left" w:pos="7380"/>
        </w:tabs>
        <w:snapToGrid w:val="0"/>
        <w:spacing w:after="0" w:line="360" w:lineRule="auto"/>
        <w:ind w:firstLine="482" w:firstLineChars="200"/>
        <w:rPr>
          <w:rFonts w:ascii="宋体"/>
          <w:strike w:val="0"/>
          <w:dstrike w:val="0"/>
          <w:color w:val="auto"/>
          <w:sz w:val="24"/>
          <w:szCs w:val="24"/>
          <w:highlight w:val="none"/>
        </w:rPr>
      </w:pPr>
      <w:r>
        <w:rPr>
          <w:rFonts w:hint="eastAsia"/>
          <w:b/>
          <w:color w:val="auto"/>
          <w:sz w:val="24"/>
          <w:szCs w:val="24"/>
          <w:highlight w:val="none"/>
        </w:rPr>
        <w:t>原文：</w:t>
      </w:r>
      <w:r>
        <w:rPr>
          <w:rFonts w:ascii="宋体" w:hAnsi="宋体"/>
          <w:color w:val="auto"/>
          <w:sz w:val="24"/>
          <w:szCs w:val="24"/>
          <w:highlight w:val="none"/>
        </w:rPr>
        <w:t>4</w:t>
      </w:r>
      <w:r>
        <w:rPr>
          <w:rFonts w:hint="eastAsia" w:ascii="宋体" w:hAnsi="宋体"/>
          <w:color w:val="auto"/>
          <w:sz w:val="24"/>
          <w:szCs w:val="24"/>
          <w:highlight w:val="none"/>
          <w:lang w:val="en-US" w:eastAsia="zh-CN"/>
        </w:rPr>
        <w:t>5.</w:t>
      </w:r>
      <w:r>
        <w:rPr>
          <w:rFonts w:ascii="宋体" w:hAnsi="宋体"/>
          <w:color w:val="auto"/>
          <w:sz w:val="24"/>
          <w:szCs w:val="24"/>
          <w:highlight w:val="none"/>
        </w:rPr>
        <w:t>8</w:t>
      </w:r>
      <w:r>
        <w:rPr>
          <w:rFonts w:hint="eastAsia" w:ascii="宋体" w:hAnsi="宋体"/>
          <w:color w:val="auto"/>
          <w:sz w:val="24"/>
          <w:szCs w:val="24"/>
          <w:highlight w:val="none"/>
        </w:rPr>
        <w:t>评标委员会按上述修正错误的原则及方法调整或修正</w:t>
      </w:r>
      <w:r>
        <w:rPr>
          <w:rFonts w:hint="eastAsia" w:ascii="宋体" w:hAnsi="宋体"/>
          <w:color w:val="auto"/>
          <w:sz w:val="24"/>
          <w:szCs w:val="24"/>
          <w:highlight w:val="none"/>
          <w:lang w:eastAsia="zh-CN"/>
        </w:rPr>
        <w:t>经济标</w:t>
      </w:r>
      <w:r>
        <w:rPr>
          <w:rFonts w:hint="eastAsia" w:ascii="宋体" w:hAnsi="宋体"/>
          <w:color w:val="auto"/>
          <w:sz w:val="24"/>
          <w:szCs w:val="24"/>
          <w:highlight w:val="none"/>
        </w:rPr>
        <w:t>投标文件的投标报价</w:t>
      </w:r>
      <w:r>
        <w:rPr>
          <w:rFonts w:hint="eastAsia" w:ascii="宋体" w:hAnsi="宋体"/>
          <w:color w:val="auto"/>
          <w:sz w:val="24"/>
          <w:szCs w:val="24"/>
          <w:highlight w:val="none"/>
          <w:lang w:eastAsia="zh-CN"/>
        </w:rPr>
        <w:t>。评标委员会应</w:t>
      </w:r>
      <w:r>
        <w:rPr>
          <w:rFonts w:hint="eastAsia" w:ascii="宋体" w:hAnsi="宋体"/>
          <w:color w:val="auto"/>
          <w:sz w:val="24"/>
          <w:szCs w:val="24"/>
          <w:highlight w:val="none"/>
        </w:rPr>
        <w:t>要求投标人以澄清形式进行核实和确认</w:t>
      </w:r>
      <w:r>
        <w:rPr>
          <w:rFonts w:hint="eastAsia" w:ascii="宋体" w:hAnsi="宋体"/>
          <w:color w:val="auto"/>
          <w:sz w:val="24"/>
          <w:szCs w:val="24"/>
          <w:highlight w:val="none"/>
          <w:lang w:eastAsia="zh-CN"/>
        </w:rPr>
        <w:t>调整或修正的经济标投标文件的投标报价，投标人应在评标委员会在评标系统发出要求澄清的通知起</w:t>
      </w:r>
      <w:r>
        <w:rPr>
          <w:rFonts w:hint="eastAsia" w:ascii="宋体" w:hAnsi="宋体"/>
          <w:color w:val="auto"/>
          <w:sz w:val="24"/>
          <w:szCs w:val="24"/>
          <w:highlight w:val="none"/>
          <w:lang w:val="en-US" w:eastAsia="zh-CN"/>
        </w:rPr>
        <w:t>120分钟内将核实和确认结果书面回复评标委员会，逾时不回复视作同意评标委员会调整或修正投标文件的投标报价。</w:t>
      </w:r>
      <w:r>
        <w:rPr>
          <w:rFonts w:hint="eastAsia" w:ascii="宋体" w:hAnsi="宋体"/>
          <w:color w:val="auto"/>
          <w:sz w:val="24"/>
          <w:szCs w:val="24"/>
          <w:highlight w:val="none"/>
        </w:rPr>
        <w:t>调整后的投标报价对投标人起约束作用。如果投标人</w:t>
      </w:r>
      <w:r>
        <w:rPr>
          <w:rFonts w:hint="eastAsia" w:ascii="宋体" w:hAnsi="宋体"/>
          <w:color w:val="auto"/>
          <w:sz w:val="24"/>
          <w:szCs w:val="24"/>
          <w:highlight w:val="none"/>
          <w:lang w:eastAsia="zh-CN"/>
        </w:rPr>
        <w:t>无正当理由</w:t>
      </w:r>
      <w:r>
        <w:rPr>
          <w:rFonts w:hint="eastAsia" w:ascii="宋体" w:hAnsi="宋体"/>
          <w:color w:val="auto"/>
          <w:sz w:val="24"/>
          <w:szCs w:val="24"/>
          <w:highlight w:val="none"/>
        </w:rPr>
        <w:t>不接受修正后的报价，则取消其投标资格，并且其投标保证金也将不予退还。</w:t>
      </w:r>
    </w:p>
    <w:p w14:paraId="1D128EE7">
      <w:pPr>
        <w:pStyle w:val="5"/>
        <w:pBdr>
          <w:bottom w:val="single" w:color="auto" w:sz="4" w:space="0"/>
        </w:pBdr>
        <w:tabs>
          <w:tab w:val="left" w:pos="7380"/>
        </w:tabs>
        <w:snapToGrid w:val="0"/>
        <w:spacing w:after="0" w:line="360" w:lineRule="auto"/>
        <w:ind w:firstLine="482" w:firstLineChars="200"/>
        <w:rPr>
          <w:rFonts w:hint="eastAsia" w:ascii="宋体" w:hAnsi="宋体"/>
          <w:color w:val="auto"/>
          <w:sz w:val="24"/>
          <w:szCs w:val="24"/>
          <w:highlight w:val="none"/>
        </w:rPr>
      </w:pPr>
      <w:r>
        <w:rPr>
          <w:rFonts w:hint="eastAsia" w:ascii="宋体"/>
          <w:b/>
          <w:bCs/>
          <w:color w:val="auto"/>
          <w:sz w:val="24"/>
          <w:szCs w:val="24"/>
          <w:highlight w:val="none"/>
          <w:lang w:val="en-US" w:eastAsia="zh-CN"/>
        </w:rPr>
        <w:t>现文：</w:t>
      </w:r>
      <w:r>
        <w:rPr>
          <w:rFonts w:ascii="宋体" w:hAnsi="宋体"/>
          <w:color w:val="auto"/>
          <w:sz w:val="24"/>
          <w:szCs w:val="24"/>
          <w:highlight w:val="none"/>
        </w:rPr>
        <w:t>4</w:t>
      </w:r>
      <w:r>
        <w:rPr>
          <w:rFonts w:hint="eastAsia" w:ascii="宋体" w:hAnsi="宋体"/>
          <w:color w:val="auto"/>
          <w:sz w:val="24"/>
          <w:szCs w:val="24"/>
          <w:highlight w:val="none"/>
          <w:lang w:val="en-US" w:eastAsia="zh-CN"/>
        </w:rPr>
        <w:t>5.</w:t>
      </w:r>
      <w:r>
        <w:rPr>
          <w:rFonts w:ascii="宋体" w:hAnsi="宋体"/>
          <w:color w:val="auto"/>
          <w:sz w:val="24"/>
          <w:szCs w:val="24"/>
          <w:highlight w:val="none"/>
        </w:rPr>
        <w:t>8</w:t>
      </w:r>
      <w:r>
        <w:rPr>
          <w:rFonts w:hint="eastAsia" w:ascii="宋体" w:hAnsi="宋体"/>
          <w:color w:val="auto"/>
          <w:sz w:val="24"/>
          <w:szCs w:val="24"/>
          <w:highlight w:val="none"/>
        </w:rPr>
        <w:t>评标委员会按上述修正错误的原则及方法调整或修正</w:t>
      </w:r>
      <w:r>
        <w:rPr>
          <w:rFonts w:hint="eastAsia" w:ascii="宋体" w:hAnsi="宋体"/>
          <w:color w:val="auto"/>
          <w:sz w:val="24"/>
          <w:szCs w:val="24"/>
          <w:highlight w:val="none"/>
          <w:lang w:eastAsia="zh-CN"/>
        </w:rPr>
        <w:t>经济标</w:t>
      </w:r>
      <w:r>
        <w:rPr>
          <w:rFonts w:hint="eastAsia" w:ascii="宋体" w:hAnsi="宋体"/>
          <w:color w:val="auto"/>
          <w:sz w:val="24"/>
          <w:szCs w:val="24"/>
          <w:highlight w:val="none"/>
        </w:rPr>
        <w:t>投标文件的投标报价</w:t>
      </w:r>
      <w:r>
        <w:rPr>
          <w:rFonts w:hint="eastAsia" w:ascii="宋体" w:hAnsi="宋体"/>
          <w:color w:val="auto"/>
          <w:sz w:val="24"/>
          <w:szCs w:val="24"/>
          <w:highlight w:val="none"/>
          <w:lang w:eastAsia="zh-CN"/>
        </w:rPr>
        <w:t>。评标委员会应</w:t>
      </w:r>
      <w:r>
        <w:rPr>
          <w:rFonts w:hint="eastAsia" w:ascii="宋体" w:hAnsi="宋体"/>
          <w:color w:val="auto"/>
          <w:sz w:val="24"/>
          <w:szCs w:val="24"/>
          <w:highlight w:val="none"/>
        </w:rPr>
        <w:t>要求投标人以澄清形式进行核实和确认</w:t>
      </w:r>
      <w:r>
        <w:rPr>
          <w:rFonts w:hint="eastAsia" w:ascii="宋体" w:hAnsi="宋体"/>
          <w:color w:val="auto"/>
          <w:sz w:val="24"/>
          <w:szCs w:val="24"/>
          <w:highlight w:val="none"/>
          <w:lang w:eastAsia="zh-CN"/>
        </w:rPr>
        <w:t>调整或修正的经济标投标文件的投标报价，投标人应在评标委员会在评标系统发出要求澄清的通知起</w:t>
      </w:r>
      <w:r>
        <w:rPr>
          <w:rFonts w:hint="eastAsia" w:ascii="宋体" w:hAnsi="宋体"/>
          <w:color w:val="auto"/>
          <w:sz w:val="24"/>
          <w:szCs w:val="24"/>
          <w:highlight w:val="none"/>
          <w:lang w:val="en-US" w:eastAsia="zh-CN"/>
        </w:rPr>
        <w:t>120分钟内将核实和确认结果书面回复评标委员会，逾时不回复视作同意评标委员会调整或修正投标文件的投标报价。</w:t>
      </w:r>
      <w:r>
        <w:rPr>
          <w:rFonts w:hint="eastAsia" w:ascii="宋体" w:hAnsi="宋体"/>
          <w:color w:val="auto"/>
          <w:sz w:val="24"/>
          <w:szCs w:val="24"/>
          <w:highlight w:val="none"/>
        </w:rPr>
        <w:t>调整后的投标报价对投标人起约束作用。如果投标人</w:t>
      </w:r>
      <w:r>
        <w:rPr>
          <w:rFonts w:hint="eastAsia" w:ascii="宋体" w:hAnsi="宋体"/>
          <w:color w:val="auto"/>
          <w:sz w:val="24"/>
          <w:szCs w:val="24"/>
          <w:highlight w:val="none"/>
          <w:lang w:eastAsia="zh-CN"/>
        </w:rPr>
        <w:t>无正当理由</w:t>
      </w:r>
      <w:r>
        <w:rPr>
          <w:rFonts w:hint="eastAsia" w:ascii="宋体" w:hAnsi="宋体"/>
          <w:color w:val="auto"/>
          <w:sz w:val="24"/>
          <w:szCs w:val="24"/>
          <w:highlight w:val="none"/>
        </w:rPr>
        <w:t>不接受修正后的报价，则取消其投标资格</w:t>
      </w:r>
      <w:r>
        <w:rPr>
          <w:rFonts w:hint="eastAsia" w:ascii="宋体" w:hAnsi="宋体"/>
          <w:strike/>
          <w:dstrike w:val="0"/>
          <w:color w:val="auto"/>
          <w:sz w:val="24"/>
          <w:szCs w:val="24"/>
          <w:highlight w:val="none"/>
        </w:rPr>
        <w:t>，并且其投标保证金也将不予退还</w:t>
      </w:r>
      <w:r>
        <w:rPr>
          <w:rFonts w:hint="eastAsia" w:ascii="宋体" w:hAnsi="宋体"/>
          <w:color w:val="auto"/>
          <w:sz w:val="24"/>
          <w:szCs w:val="24"/>
          <w:highlight w:val="none"/>
        </w:rPr>
        <w:t>。</w:t>
      </w:r>
    </w:p>
    <w:p w14:paraId="0AE6CA7A">
      <w:pPr>
        <w:spacing w:line="360" w:lineRule="auto"/>
        <w:ind w:firstLine="540" w:firstLineChars="224"/>
        <w:rPr>
          <w:b/>
          <w:color w:val="auto"/>
          <w:sz w:val="24"/>
          <w:szCs w:val="24"/>
          <w:highlight w:val="none"/>
        </w:rPr>
      </w:pPr>
      <w:r>
        <w:rPr>
          <w:rFonts w:hint="eastAsia"/>
          <w:b/>
          <w:color w:val="auto"/>
          <w:sz w:val="24"/>
          <w:szCs w:val="24"/>
          <w:highlight w:val="none"/>
        </w:rPr>
        <w:t>条款号：</w:t>
      </w:r>
      <w:r>
        <w:rPr>
          <w:rFonts w:hint="eastAsia"/>
          <w:b/>
          <w:color w:val="auto"/>
          <w:sz w:val="24"/>
          <w:szCs w:val="24"/>
          <w:highlight w:val="none"/>
          <w:lang w:val="en-US" w:eastAsia="zh-CN"/>
        </w:rPr>
        <w:t>46.2</w:t>
      </w:r>
      <w:r>
        <w:rPr>
          <w:b/>
          <w:color w:val="auto"/>
          <w:sz w:val="24"/>
          <w:szCs w:val="24"/>
          <w:highlight w:val="none"/>
        </w:rPr>
        <w:t xml:space="preserve">             </w:t>
      </w:r>
      <w:r>
        <w:rPr>
          <w:rFonts w:hint="eastAsia"/>
          <w:b/>
          <w:color w:val="auto"/>
          <w:sz w:val="24"/>
          <w:szCs w:val="24"/>
          <w:highlight w:val="none"/>
        </w:rPr>
        <w:t>修改类型：修改</w:t>
      </w:r>
    </w:p>
    <w:p w14:paraId="63343094">
      <w:pPr>
        <w:pStyle w:val="5"/>
        <w:tabs>
          <w:tab w:val="left" w:pos="7380"/>
        </w:tabs>
        <w:snapToGrid w:val="0"/>
        <w:spacing w:after="0" w:line="360" w:lineRule="auto"/>
        <w:ind w:firstLine="482" w:firstLineChars="200"/>
        <w:rPr>
          <w:rFonts w:ascii="宋体"/>
          <w:color w:val="auto"/>
          <w:sz w:val="24"/>
          <w:szCs w:val="24"/>
          <w:highlight w:val="none"/>
        </w:rPr>
      </w:pPr>
      <w:r>
        <w:rPr>
          <w:rFonts w:hint="eastAsia"/>
          <w:b/>
          <w:color w:val="auto"/>
          <w:sz w:val="24"/>
          <w:szCs w:val="24"/>
          <w:highlight w:val="none"/>
        </w:rPr>
        <w:t>原文：</w:t>
      </w: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按</w:t>
      </w:r>
      <w:r>
        <w:rPr>
          <w:rFonts w:hint="eastAsia" w:ascii="宋体" w:hAnsi="宋体"/>
          <w:color w:val="auto"/>
          <w:sz w:val="24"/>
          <w:szCs w:val="24"/>
          <w:highlight w:val="none"/>
          <w:lang w:eastAsia="zh-CN"/>
        </w:rPr>
        <w:t>以下</w:t>
      </w:r>
      <w:r>
        <w:rPr>
          <w:rFonts w:hint="eastAsia" w:ascii="宋体" w:hAnsi="宋体"/>
          <w:color w:val="auto"/>
          <w:sz w:val="24"/>
          <w:szCs w:val="24"/>
          <w:highlight w:val="none"/>
        </w:rPr>
        <w:t>方法计算评标参考价：</w:t>
      </w:r>
    </w:p>
    <w:p w14:paraId="0CB727DF">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区间抽取法</w:t>
      </w:r>
    </w:p>
    <w:p w14:paraId="3D0C80D3">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设立入围合格分数线（技术标或技术标加</w:t>
      </w:r>
      <w:r>
        <w:rPr>
          <w:rFonts w:hint="eastAsia" w:ascii="宋体" w:hAnsi="宋体" w:cs="仿宋"/>
          <w:color w:val="auto"/>
          <w:sz w:val="24"/>
          <w:szCs w:val="24"/>
          <w:highlight w:val="none"/>
          <w:lang w:eastAsia="zh-CN"/>
        </w:rPr>
        <w:t>企业信用评价得分</w:t>
      </w:r>
      <w:r>
        <w:rPr>
          <w:rFonts w:hint="eastAsia" w:ascii="宋体" w:hAnsi="宋体" w:cs="仿宋"/>
          <w:color w:val="auto"/>
          <w:sz w:val="24"/>
          <w:szCs w:val="24"/>
          <w:highlight w:val="none"/>
        </w:rPr>
        <w:t>，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61242D2A">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14:paraId="75A5D997">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14:paraId="4E4D6E3D">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w:t>
      </w:r>
      <w:r>
        <w:rPr>
          <w:rFonts w:hint="eastAsia" w:ascii="宋体" w:hAnsi="宋体" w:cs="仿宋"/>
          <w:color w:val="auto"/>
          <w:sz w:val="24"/>
          <w:szCs w:val="24"/>
          <w:highlight w:val="none"/>
          <w:u w:val="single"/>
        </w:rPr>
        <w:t>为</w:t>
      </w:r>
      <w:r>
        <w:rPr>
          <w:rFonts w:hint="eastAsia" w:ascii="宋体" w:hAnsi="宋体" w:cs="仿宋"/>
          <w:color w:val="auto"/>
          <w:sz w:val="24"/>
          <w:szCs w:val="24"/>
          <w:highlight w:val="none"/>
          <w:u w:val="single"/>
          <w:lang w:eastAsia="zh-CN"/>
        </w:rPr>
        <w:t>最</w:t>
      </w:r>
      <w:r>
        <w:rPr>
          <w:rFonts w:hint="eastAsia" w:ascii="宋体" w:hAnsi="宋体" w:cs="仿宋"/>
          <w:color w:val="auto"/>
          <w:sz w:val="24"/>
          <w:szCs w:val="24"/>
          <w:highlight w:val="none"/>
          <w:u w:val="single"/>
        </w:rPr>
        <w:t>高投标限价</w:t>
      </w:r>
      <w:r>
        <w:rPr>
          <w:rFonts w:hint="eastAsia" w:ascii="宋体" w:hAnsi="宋体" w:cs="仿宋"/>
          <w:color w:val="auto"/>
          <w:sz w:val="24"/>
          <w:szCs w:val="24"/>
          <w:highlight w:val="none"/>
          <w:u w:val="single"/>
          <w:lang w:val="en-US" w:eastAsia="zh-CN"/>
        </w:rPr>
        <w:t>*D%（政府投资项目，D的取值范围为</w:t>
      </w:r>
      <w:r>
        <w:rPr>
          <w:rFonts w:hint="eastAsia" w:ascii="宋体" w:hAnsi="宋体" w:cs="仿宋"/>
          <w:color w:val="auto"/>
          <w:sz w:val="24"/>
          <w:szCs w:val="24"/>
          <w:highlight w:val="none"/>
          <w:u w:val="single"/>
          <w:lang w:val="en-US" w:eastAsia="zh-CN"/>
        </w:rPr>
        <w:t>[94-100]</w:t>
      </w:r>
      <w:r>
        <w:rPr>
          <w:rFonts w:hint="eastAsia" w:ascii="宋体" w:hAnsi="宋体" w:cs="仿宋"/>
          <w:color w:val="auto"/>
          <w:sz w:val="24"/>
          <w:szCs w:val="24"/>
          <w:highlight w:val="none"/>
          <w:u w:val="single"/>
          <w:lang w:val="en-US" w:eastAsia="zh-CN"/>
        </w:rPr>
        <w:t>,由招标人自主确定；非政府投资项目由招标人自主确定取值范围），具体金额为          元。</w:t>
      </w:r>
    </w:p>
    <w:p w14:paraId="50B7BFA7">
      <w:pPr>
        <w:spacing w:line="360" w:lineRule="auto"/>
        <w:ind w:firstLine="480" w:firstLineChars="200"/>
        <w:rPr>
          <w:b/>
          <w:color w:val="auto"/>
          <w:sz w:val="24"/>
          <w:szCs w:val="24"/>
          <w:highlight w:val="none"/>
        </w:rPr>
      </w:pP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14:paraId="13558052">
      <w:pPr>
        <w:pStyle w:val="5"/>
        <w:tabs>
          <w:tab w:val="left" w:pos="7380"/>
        </w:tabs>
        <w:snapToGrid w:val="0"/>
        <w:spacing w:after="0" w:line="360" w:lineRule="auto"/>
        <w:ind w:firstLine="482" w:firstLineChars="200"/>
        <w:rPr>
          <w:rFonts w:ascii="宋体"/>
          <w:color w:val="auto"/>
          <w:sz w:val="24"/>
          <w:szCs w:val="24"/>
          <w:highlight w:val="none"/>
        </w:rPr>
      </w:pPr>
      <w:r>
        <w:rPr>
          <w:rFonts w:hint="eastAsia"/>
          <w:b/>
          <w:color w:val="auto"/>
          <w:sz w:val="24"/>
          <w:szCs w:val="24"/>
          <w:highlight w:val="none"/>
        </w:rPr>
        <w:t>现文：</w:t>
      </w: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按</w:t>
      </w:r>
      <w:r>
        <w:rPr>
          <w:rFonts w:hint="eastAsia" w:ascii="宋体" w:hAnsi="宋体"/>
          <w:color w:val="auto"/>
          <w:sz w:val="24"/>
          <w:szCs w:val="24"/>
          <w:highlight w:val="none"/>
          <w:lang w:eastAsia="zh-CN"/>
        </w:rPr>
        <w:t>以下</w:t>
      </w:r>
      <w:r>
        <w:rPr>
          <w:rFonts w:hint="eastAsia" w:ascii="宋体" w:hAnsi="宋体"/>
          <w:color w:val="auto"/>
          <w:sz w:val="24"/>
          <w:szCs w:val="24"/>
          <w:highlight w:val="none"/>
        </w:rPr>
        <w:t>方法计算评标参考价：</w:t>
      </w:r>
    </w:p>
    <w:p w14:paraId="005201BD">
      <w:pPr>
        <w:widowControl/>
        <w:snapToGrid/>
        <w:spacing w:line="360" w:lineRule="auto"/>
        <w:ind w:firstLine="482" w:firstLineChars="200"/>
        <w:rPr>
          <w:rFonts w:hint="eastAsia" w:ascii="宋体" w:hAnsi="宋体" w:cs="仿宋"/>
          <w:b/>
          <w:bCs/>
          <w:color w:val="auto"/>
          <w:kern w:val="0"/>
          <w:sz w:val="24"/>
          <w:szCs w:val="24"/>
          <w:highlight w:val="none"/>
        </w:rPr>
      </w:pPr>
      <w:r>
        <w:rPr>
          <w:rFonts w:hint="eastAsia" w:ascii="宋体" w:hAnsi="宋体" w:cs="仿宋"/>
          <w:b/>
          <w:bCs/>
          <w:color w:val="auto"/>
          <w:kern w:val="0"/>
          <w:sz w:val="24"/>
          <w:szCs w:val="24"/>
          <w:highlight w:val="none"/>
        </w:rPr>
        <w:t>区间抽取法</w:t>
      </w:r>
    </w:p>
    <w:p w14:paraId="2BB65085">
      <w:pPr>
        <w:widowControl/>
        <w:snapToGrid/>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w:t>
      </w:r>
      <w:r>
        <w:rPr>
          <w:rFonts w:hint="eastAsia" w:ascii="宋体" w:hAnsi="宋体" w:cs="宋体"/>
          <w:b/>
          <w:bCs/>
          <w:strike w:val="0"/>
          <w:color w:val="auto"/>
          <w:sz w:val="24"/>
          <w:szCs w:val="24"/>
          <w:highlight w:val="none"/>
          <w:u w:val="single"/>
        </w:rPr>
        <w:t>技术标得分</w:t>
      </w:r>
      <w:r>
        <w:rPr>
          <w:rFonts w:hint="eastAsia" w:ascii="宋体" w:hAnsi="宋体" w:cs="宋体"/>
          <w:b/>
          <w:bCs/>
          <w:strike w:val="0"/>
          <w:color w:val="auto"/>
          <w:sz w:val="24"/>
          <w:szCs w:val="24"/>
          <w:highlight w:val="none"/>
          <w:u w:val="single"/>
          <w:lang w:val="en-US" w:eastAsia="zh-CN"/>
        </w:rPr>
        <w:t>85分</w:t>
      </w:r>
      <w:r>
        <w:rPr>
          <w:rFonts w:hint="eastAsia" w:ascii="宋体" w:hAnsi="宋体" w:cs="仿宋"/>
          <w:color w:val="auto"/>
          <w:sz w:val="24"/>
          <w:szCs w:val="24"/>
          <w:highlight w:val="none"/>
        </w:rPr>
        <w:t>），达到或超过及格线的投标人的报价方能参与评标参考价的计算。将达到或超过技术标及格分数线的投标报价由低至高进行排列，按以下公式计算评标参考价，计算公式如下：</w:t>
      </w:r>
    </w:p>
    <w:p w14:paraId="297177B6">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14:paraId="1650CB64">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14:paraId="04937AF8">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w:t>
      </w:r>
      <w:r>
        <w:rPr>
          <w:rFonts w:hint="eastAsia" w:ascii="宋体" w:hAnsi="宋体" w:cs="仿宋"/>
          <w:color w:val="auto"/>
          <w:sz w:val="24"/>
          <w:szCs w:val="24"/>
          <w:highlight w:val="none"/>
          <w:u w:val="single"/>
        </w:rPr>
        <w:t>为最高投标限价。</w:t>
      </w:r>
    </w:p>
    <w:p w14:paraId="4923B3A6">
      <w:pPr>
        <w:pBdr>
          <w:bottom w:val="single" w:color="auto" w:sz="4" w:space="0"/>
        </w:pBdr>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14:paraId="56E50C2D">
      <w:pPr>
        <w:spacing w:line="480" w:lineRule="auto"/>
        <w:ind w:firstLine="540" w:firstLineChars="224"/>
        <w:rPr>
          <w:rFonts w:hint="eastAsia" w:eastAsia="宋体"/>
          <w:b/>
          <w:color w:val="auto"/>
          <w:sz w:val="24"/>
          <w:szCs w:val="24"/>
          <w:highlight w:val="none"/>
          <w:lang w:eastAsia="zh-CN"/>
        </w:rPr>
      </w:pPr>
      <w:r>
        <w:rPr>
          <w:rFonts w:hint="eastAsia"/>
          <w:b/>
          <w:color w:val="auto"/>
          <w:sz w:val="24"/>
          <w:szCs w:val="24"/>
          <w:highlight w:val="none"/>
        </w:rPr>
        <w:t>条款号：</w:t>
      </w:r>
      <w:r>
        <w:rPr>
          <w:rFonts w:hint="eastAsia"/>
          <w:b/>
          <w:color w:val="auto"/>
          <w:sz w:val="24"/>
          <w:szCs w:val="24"/>
          <w:highlight w:val="none"/>
          <w:lang w:val="en-US" w:eastAsia="zh-CN"/>
        </w:rPr>
        <w:t>46.4</w:t>
      </w:r>
      <w:r>
        <w:rPr>
          <w:b/>
          <w:color w:val="auto"/>
          <w:sz w:val="24"/>
          <w:szCs w:val="24"/>
          <w:highlight w:val="none"/>
        </w:rPr>
        <w:t xml:space="preserve">             </w:t>
      </w:r>
      <w:r>
        <w:rPr>
          <w:rFonts w:hint="eastAsia"/>
          <w:b/>
          <w:color w:val="auto"/>
          <w:sz w:val="24"/>
          <w:szCs w:val="24"/>
          <w:highlight w:val="none"/>
        </w:rPr>
        <w:t>修改类型：</w:t>
      </w:r>
      <w:r>
        <w:rPr>
          <w:rFonts w:hint="eastAsia"/>
          <w:b/>
          <w:color w:val="auto"/>
          <w:sz w:val="24"/>
          <w:szCs w:val="24"/>
          <w:highlight w:val="none"/>
          <w:lang w:val="en-US" w:eastAsia="zh-CN"/>
        </w:rPr>
        <w:t>修改</w:t>
      </w:r>
    </w:p>
    <w:p w14:paraId="5A0D0D56">
      <w:pPr>
        <w:pStyle w:val="5"/>
        <w:tabs>
          <w:tab w:val="left" w:pos="7380"/>
        </w:tabs>
        <w:snapToGrid w:val="0"/>
        <w:spacing w:after="0" w:line="360" w:lineRule="auto"/>
        <w:ind w:firstLine="482" w:firstLineChars="200"/>
        <w:rPr>
          <w:rFonts w:ascii="宋体"/>
          <w:color w:val="auto"/>
          <w:sz w:val="24"/>
          <w:szCs w:val="24"/>
          <w:highlight w:val="none"/>
        </w:rPr>
      </w:pPr>
      <w:r>
        <w:rPr>
          <w:rFonts w:hint="eastAsia"/>
          <w:b/>
          <w:color w:val="auto"/>
          <w:sz w:val="24"/>
          <w:szCs w:val="24"/>
          <w:highlight w:val="none"/>
        </w:rPr>
        <w:t>原文：</w:t>
      </w: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4</w:t>
      </w:r>
      <w:r>
        <w:rPr>
          <w:rFonts w:hint="eastAsia" w:ascii="宋体"/>
          <w:color w:val="auto"/>
          <w:sz w:val="24"/>
          <w:szCs w:val="24"/>
          <w:highlight w:val="none"/>
          <w:u w:val="single"/>
        </w:rPr>
        <w:t>计算通过技术标有效性审查的投标人总得分。投标人总得分=（技术得分×</w:t>
      </w:r>
      <w:r>
        <w:rPr>
          <w:rFonts w:hint="eastAsia" w:ascii="宋体"/>
          <w:color w:val="auto"/>
          <w:sz w:val="24"/>
          <w:szCs w:val="24"/>
          <w:highlight w:val="none"/>
          <w:u w:val="single"/>
          <w:lang w:val="en-US" w:eastAsia="zh-CN"/>
        </w:rPr>
        <w:t xml:space="preserve">  %（</w:t>
      </w:r>
      <w:r>
        <w:rPr>
          <w:rFonts w:hint="eastAsia" w:ascii="宋体"/>
          <w:color w:val="auto"/>
          <w:sz w:val="24"/>
          <w:szCs w:val="24"/>
          <w:highlight w:val="none"/>
          <w:u w:val="single"/>
        </w:rPr>
        <w:t>技术得分权重</w:t>
      </w:r>
      <w:r>
        <w:rPr>
          <w:rFonts w:hint="eastAsia" w:ascii="宋体"/>
          <w:color w:val="auto"/>
          <w:sz w:val="24"/>
          <w:szCs w:val="24"/>
          <w:highlight w:val="none"/>
          <w:u w:val="single"/>
          <w:lang w:eastAsia="zh-CN"/>
        </w:rPr>
        <w:t>）</w:t>
      </w:r>
      <w:r>
        <w:rPr>
          <w:rFonts w:hint="eastAsia" w:ascii="宋体" w:cs="宋体"/>
          <w:color w:val="auto"/>
          <w:sz w:val="24"/>
          <w:szCs w:val="24"/>
          <w:highlight w:val="none"/>
          <w:u w:val="single"/>
        </w:rPr>
        <w:t>＋</w:t>
      </w:r>
      <w:r>
        <w:rPr>
          <w:rFonts w:hint="eastAsia" w:ascii="宋体"/>
          <w:color w:val="auto"/>
          <w:sz w:val="24"/>
          <w:szCs w:val="24"/>
          <w:highlight w:val="none"/>
          <w:u w:val="single"/>
        </w:rPr>
        <w:t>经济得分×</w:t>
      </w:r>
      <w:r>
        <w:rPr>
          <w:rFonts w:hint="eastAsia" w:ascii="宋体"/>
          <w:color w:val="auto"/>
          <w:sz w:val="24"/>
          <w:szCs w:val="24"/>
          <w:highlight w:val="none"/>
          <w:u w:val="single"/>
          <w:lang w:val="en-US" w:eastAsia="zh-CN"/>
        </w:rPr>
        <w:t xml:space="preserve">  %（</w:t>
      </w:r>
      <w:r>
        <w:rPr>
          <w:rFonts w:hint="eastAsia" w:ascii="宋体"/>
          <w:color w:val="auto"/>
          <w:sz w:val="24"/>
          <w:szCs w:val="24"/>
          <w:highlight w:val="none"/>
          <w:u w:val="single"/>
        </w:rPr>
        <w:t>经济得分权重）×（1-</w:t>
      </w:r>
      <w:r>
        <w:rPr>
          <w:rFonts w:hint="eastAsia" w:ascii="宋体"/>
          <w:color w:val="auto"/>
          <w:sz w:val="24"/>
          <w:szCs w:val="24"/>
          <w:highlight w:val="none"/>
          <w:u w:val="single"/>
          <w:lang w:eastAsia="zh-CN"/>
        </w:rPr>
        <w:t>信用评价</w:t>
      </w:r>
      <w:r>
        <w:rPr>
          <w:rFonts w:hint="eastAsia" w:ascii="宋体"/>
          <w:color w:val="auto"/>
          <w:sz w:val="24"/>
          <w:szCs w:val="24"/>
          <w:highlight w:val="none"/>
          <w:u w:val="single"/>
        </w:rPr>
        <w:t>分数权重）</w:t>
      </w:r>
      <w:r>
        <w:rPr>
          <w:rFonts w:hint="eastAsia" w:ascii="宋体" w:cs="宋体"/>
          <w:color w:val="auto"/>
          <w:sz w:val="24"/>
          <w:szCs w:val="24"/>
          <w:highlight w:val="none"/>
          <w:u w:val="single"/>
        </w:rPr>
        <w:t>＋</w:t>
      </w:r>
      <w:r>
        <w:rPr>
          <w:rFonts w:hint="eastAsia" w:ascii="宋体"/>
          <w:color w:val="auto"/>
          <w:sz w:val="24"/>
          <w:szCs w:val="24"/>
          <w:highlight w:val="none"/>
          <w:u w:val="single"/>
          <w:lang w:eastAsia="zh-CN"/>
        </w:rPr>
        <w:t>信用评价</w:t>
      </w:r>
      <w:r>
        <w:rPr>
          <w:rFonts w:hint="eastAsia" w:ascii="宋体"/>
          <w:color w:val="auto"/>
          <w:sz w:val="24"/>
          <w:szCs w:val="24"/>
          <w:highlight w:val="none"/>
          <w:u w:val="single"/>
        </w:rPr>
        <w:t>得分×</w:t>
      </w:r>
      <w:r>
        <w:rPr>
          <w:rFonts w:hint="eastAsia" w:ascii="宋体"/>
          <w:color w:val="auto"/>
          <w:sz w:val="24"/>
          <w:szCs w:val="24"/>
          <w:highlight w:val="none"/>
          <w:u w:val="single"/>
          <w:lang w:val="en-US" w:eastAsia="zh-CN"/>
        </w:rPr>
        <w:t xml:space="preserve">  %（</w:t>
      </w:r>
      <w:r>
        <w:rPr>
          <w:rFonts w:hint="eastAsia" w:ascii="宋体" w:hAnsi="宋体"/>
          <w:color w:val="auto"/>
          <w:sz w:val="24"/>
          <w:szCs w:val="24"/>
          <w:highlight w:val="none"/>
          <w:u w:val="single"/>
          <w:lang w:eastAsia="zh-CN"/>
        </w:rPr>
        <w:t>企业信用</w:t>
      </w:r>
      <w:r>
        <w:rPr>
          <w:rFonts w:hint="eastAsia" w:ascii="宋体" w:hAnsi="宋体"/>
          <w:color w:val="auto"/>
          <w:sz w:val="24"/>
          <w:szCs w:val="24"/>
          <w:highlight w:val="none"/>
          <w:u w:val="single"/>
        </w:rPr>
        <w:t>评价得分权重</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lang w:val="en-US" w:eastAsia="zh-CN"/>
        </w:rPr>
        <w:t>招标人</w:t>
      </w:r>
      <w:r>
        <w:rPr>
          <w:rFonts w:hint="eastAsia" w:ascii="宋体" w:hAnsi="宋体"/>
          <w:color w:val="auto"/>
          <w:sz w:val="24"/>
          <w:szCs w:val="24"/>
          <w:highlight w:val="none"/>
          <w:u w:val="single"/>
          <w:lang w:eastAsia="zh-CN"/>
        </w:rPr>
        <w:t>可在</w:t>
      </w:r>
      <w:r>
        <w:rPr>
          <w:rFonts w:hint="eastAsia" w:ascii="宋体" w:hAnsi="宋体"/>
          <w:color w:val="auto"/>
          <w:sz w:val="24"/>
          <w:szCs w:val="24"/>
          <w:highlight w:val="none"/>
          <w:u w:val="single"/>
          <w:lang w:val="en-US" w:eastAsia="zh-CN"/>
        </w:rPr>
        <w:t>[10%-20%]</w:t>
      </w:r>
      <w:r>
        <w:rPr>
          <w:rFonts w:hint="eastAsia" w:ascii="宋体" w:hAnsi="宋体"/>
          <w:color w:val="auto"/>
          <w:sz w:val="24"/>
          <w:szCs w:val="24"/>
          <w:highlight w:val="none"/>
          <w:u w:val="single"/>
          <w:lang w:eastAsia="zh-CN"/>
        </w:rPr>
        <w:t>范围内</w:t>
      </w:r>
      <w:r>
        <w:rPr>
          <w:rFonts w:hint="eastAsia" w:ascii="宋体" w:hAnsi="宋体"/>
          <w:color w:val="auto"/>
          <w:sz w:val="24"/>
          <w:szCs w:val="24"/>
          <w:highlight w:val="none"/>
          <w:u w:val="single"/>
          <w:lang w:val="en-US" w:eastAsia="zh-CN"/>
        </w:rPr>
        <w:t>自主确定</w:t>
      </w:r>
      <w:r>
        <w:rPr>
          <w:rFonts w:hint="eastAsia" w:ascii="宋体"/>
          <w:color w:val="auto"/>
          <w:sz w:val="24"/>
          <w:szCs w:val="24"/>
          <w:highlight w:val="none"/>
          <w:u w:val="single"/>
        </w:rPr>
        <w:t>）。</w:t>
      </w:r>
      <w:r>
        <w:rPr>
          <w:rFonts w:hint="eastAsia" w:ascii="宋体"/>
          <w:color w:val="auto"/>
          <w:sz w:val="24"/>
          <w:szCs w:val="24"/>
          <w:highlight w:val="none"/>
        </w:rPr>
        <w:t>技术、经济得分权重按投标须知前附表的规定执行。总得分四舍五入保留两位小数。</w:t>
      </w:r>
    </w:p>
    <w:p w14:paraId="1659F4AB">
      <w:pPr>
        <w:pBdr>
          <w:bottom w:val="single" w:color="auto" w:sz="6" w:space="1"/>
        </w:pBdr>
        <w:spacing w:line="360" w:lineRule="auto"/>
        <w:rPr>
          <w:rFonts w:hint="default" w:ascii="宋体" w:hAnsi="宋体" w:cs="仿宋"/>
          <w:color w:val="auto"/>
          <w:sz w:val="24"/>
          <w:szCs w:val="24"/>
          <w:highlight w:val="none"/>
          <w:lang w:val="en-US" w:eastAsia="zh-CN"/>
        </w:rPr>
      </w:pPr>
      <w:r>
        <w:rPr>
          <w:rFonts w:hint="eastAsia"/>
          <w:b/>
          <w:color w:val="auto"/>
          <w:sz w:val="24"/>
          <w:szCs w:val="24"/>
          <w:highlight w:val="none"/>
          <w:lang w:val="en-US" w:eastAsia="zh-CN"/>
        </w:rPr>
        <w:t xml:space="preserve">  </w:t>
      </w:r>
      <w:r>
        <w:rPr>
          <w:rFonts w:hint="eastAsia" w:ascii="Times New Roman" w:hAnsi="Times New Roman" w:eastAsia="宋体" w:cs="Times New Roman"/>
          <w:b/>
          <w:color w:val="auto"/>
          <w:kern w:val="2"/>
          <w:sz w:val="24"/>
          <w:szCs w:val="24"/>
          <w:highlight w:val="none"/>
          <w:lang w:val="en-US" w:eastAsia="zh-CN" w:bidi="ar-SA"/>
        </w:rPr>
        <w:t xml:space="preserve"> </w:t>
      </w:r>
      <w:r>
        <w:rPr>
          <w:rFonts w:hint="eastAsia" w:ascii="宋体" w:hAnsi="宋体" w:cs="仿宋"/>
          <w:color w:val="auto"/>
          <w:sz w:val="24"/>
          <w:szCs w:val="24"/>
          <w:highlight w:val="none"/>
          <w:lang w:val="en-US" w:eastAsia="zh-CN"/>
        </w:rPr>
        <w:t xml:space="preserve"> </w:t>
      </w:r>
      <w:r>
        <w:rPr>
          <w:rFonts w:hint="eastAsia" w:ascii="宋体" w:hAnsi="宋体" w:cs="仿宋"/>
          <w:b/>
          <w:bCs/>
          <w:color w:val="auto"/>
          <w:sz w:val="24"/>
          <w:szCs w:val="24"/>
          <w:highlight w:val="none"/>
          <w:lang w:val="en-US" w:eastAsia="zh-CN"/>
        </w:rPr>
        <w:t>现文：</w:t>
      </w:r>
      <w:r>
        <w:rPr>
          <w:rFonts w:hint="eastAsia" w:ascii="宋体" w:hAnsi="宋体" w:cs="仿宋"/>
          <w:color w:val="auto"/>
          <w:sz w:val="24"/>
          <w:szCs w:val="24"/>
          <w:highlight w:val="none"/>
          <w:lang w:val="en-US" w:eastAsia="zh-CN"/>
        </w:rPr>
        <w:t>46.4计算通过技术标有效性审查的投标人总得分。</w:t>
      </w:r>
      <w:r>
        <w:rPr>
          <w:rFonts w:hint="eastAsia" w:ascii="宋体" w:hAnsi="宋体" w:cs="宋体"/>
          <w:b/>
          <w:bCs/>
          <w:color w:val="auto"/>
          <w:sz w:val="24"/>
          <w:szCs w:val="24"/>
          <w:highlight w:val="none"/>
          <w:u w:val="single"/>
        </w:rPr>
        <w:t>投标人总得分（满分100分）=技术得分（</w:t>
      </w:r>
      <w:r>
        <w:rPr>
          <w:rFonts w:hint="eastAsia" w:ascii="宋体" w:hAnsi="宋体" w:cs="宋体"/>
          <w:b/>
          <w:bCs/>
          <w:color w:val="auto"/>
          <w:sz w:val="24"/>
          <w:szCs w:val="24"/>
          <w:highlight w:val="none"/>
          <w:u w:val="single"/>
          <w:lang w:val="en-US" w:eastAsia="zh-CN"/>
        </w:rPr>
        <w:t>100</w:t>
      </w:r>
      <w:r>
        <w:rPr>
          <w:rFonts w:hint="eastAsia" w:ascii="宋体" w:hAnsi="宋体" w:cs="宋体"/>
          <w:b/>
          <w:bCs/>
          <w:color w:val="auto"/>
          <w:sz w:val="24"/>
          <w:szCs w:val="24"/>
          <w:highlight w:val="none"/>
          <w:u w:val="single"/>
        </w:rPr>
        <w:t>分）×</w:t>
      </w:r>
      <w:r>
        <w:rPr>
          <w:rFonts w:hint="eastAsia" w:ascii="宋体" w:hAnsi="宋体" w:cs="宋体"/>
          <w:b/>
          <w:bCs/>
          <w:color w:val="auto"/>
          <w:sz w:val="24"/>
          <w:szCs w:val="24"/>
          <w:highlight w:val="none"/>
          <w:u w:val="single"/>
          <w:lang w:val="en-US" w:eastAsia="zh-CN"/>
        </w:rPr>
        <w:t>技术</w:t>
      </w:r>
      <w:r>
        <w:rPr>
          <w:rFonts w:hint="eastAsia" w:ascii="宋体" w:hAnsi="宋体" w:cs="宋体"/>
          <w:b/>
          <w:bCs/>
          <w:color w:val="auto"/>
          <w:sz w:val="24"/>
          <w:szCs w:val="24"/>
          <w:highlight w:val="none"/>
          <w:u w:val="single"/>
        </w:rPr>
        <w:t>得分权重（</w:t>
      </w:r>
      <w:r>
        <w:rPr>
          <w:rFonts w:hint="eastAsia" w:ascii="宋体" w:hAnsi="宋体" w:cs="宋体"/>
          <w:b/>
          <w:bCs/>
          <w:color w:val="auto"/>
          <w:sz w:val="24"/>
          <w:szCs w:val="24"/>
          <w:highlight w:val="none"/>
          <w:u w:val="single"/>
          <w:lang w:val="en-US" w:eastAsia="zh-CN"/>
        </w:rPr>
        <w:t>20</w:t>
      </w:r>
      <w:r>
        <w:rPr>
          <w:rFonts w:hint="eastAsia" w:ascii="宋体" w:hAnsi="宋体" w:cs="宋体"/>
          <w:b/>
          <w:bCs/>
          <w:color w:val="auto"/>
          <w:sz w:val="24"/>
          <w:szCs w:val="24"/>
          <w:highlight w:val="none"/>
          <w:u w:val="single"/>
        </w:rPr>
        <w:t>%）＋经济得分(100分)×经济得分权重（80%）</w:t>
      </w:r>
      <w:r>
        <w:rPr>
          <w:rFonts w:hint="eastAsia" w:ascii="宋体" w:hAnsi="宋体" w:cs="仿宋"/>
          <w:b/>
          <w:bCs/>
          <w:color w:val="auto"/>
          <w:sz w:val="24"/>
          <w:szCs w:val="24"/>
          <w:highlight w:val="none"/>
          <w:lang w:val="en-US" w:eastAsia="zh-CN"/>
        </w:rPr>
        <w:t>。</w:t>
      </w:r>
      <w:r>
        <w:rPr>
          <w:rFonts w:hint="eastAsia" w:ascii="宋体" w:hAnsi="宋体" w:cs="仿宋"/>
          <w:color w:val="auto"/>
          <w:sz w:val="24"/>
          <w:szCs w:val="24"/>
          <w:highlight w:val="none"/>
          <w:lang w:val="en-US" w:eastAsia="zh-CN"/>
        </w:rPr>
        <w:t>总得分四舍五入保留两位小数。</w:t>
      </w:r>
    </w:p>
    <w:p w14:paraId="7EB645CD">
      <w:pPr>
        <w:spacing w:line="480" w:lineRule="auto"/>
        <w:ind w:firstLine="540" w:firstLineChars="224"/>
        <w:rPr>
          <w:rFonts w:hint="eastAsia" w:eastAsia="宋体"/>
          <w:b/>
          <w:color w:val="auto"/>
          <w:sz w:val="24"/>
          <w:szCs w:val="24"/>
          <w:highlight w:val="none"/>
          <w:lang w:eastAsia="zh-CN"/>
        </w:rPr>
      </w:pPr>
      <w:r>
        <w:rPr>
          <w:rFonts w:hint="eastAsia"/>
          <w:b/>
          <w:color w:val="auto"/>
          <w:sz w:val="24"/>
          <w:szCs w:val="24"/>
          <w:highlight w:val="none"/>
        </w:rPr>
        <w:t>条款号：</w:t>
      </w:r>
      <w:r>
        <w:rPr>
          <w:rFonts w:hint="eastAsia"/>
          <w:b/>
          <w:color w:val="auto"/>
          <w:sz w:val="24"/>
          <w:szCs w:val="24"/>
          <w:highlight w:val="none"/>
          <w:lang w:val="en-US" w:eastAsia="zh-CN"/>
        </w:rPr>
        <w:t>46.5</w:t>
      </w:r>
      <w:r>
        <w:rPr>
          <w:b/>
          <w:color w:val="auto"/>
          <w:sz w:val="24"/>
          <w:szCs w:val="24"/>
          <w:highlight w:val="none"/>
        </w:rPr>
        <w:t xml:space="preserve">             </w:t>
      </w:r>
      <w:r>
        <w:rPr>
          <w:rFonts w:hint="eastAsia"/>
          <w:b/>
          <w:color w:val="auto"/>
          <w:sz w:val="24"/>
          <w:szCs w:val="24"/>
          <w:highlight w:val="none"/>
        </w:rPr>
        <w:t>修改类型：</w:t>
      </w:r>
      <w:r>
        <w:rPr>
          <w:rFonts w:hint="eastAsia"/>
          <w:b/>
          <w:color w:val="auto"/>
          <w:sz w:val="24"/>
          <w:szCs w:val="24"/>
          <w:highlight w:val="none"/>
          <w:lang w:val="en-US" w:eastAsia="zh-CN"/>
        </w:rPr>
        <w:t>增加</w:t>
      </w:r>
    </w:p>
    <w:p w14:paraId="47C1307B">
      <w:pPr>
        <w:pBdr>
          <w:bottom w:val="single" w:color="auto" w:sz="4" w:space="0"/>
        </w:pBdr>
        <w:spacing w:line="360" w:lineRule="auto"/>
        <w:ind w:firstLine="482" w:firstLineChars="200"/>
        <w:rPr>
          <w:rFonts w:hint="eastAsia" w:ascii="宋体" w:hAnsi="宋体" w:cs="宋体"/>
          <w:b/>
          <w:bCs w:val="0"/>
          <w:color w:val="auto"/>
          <w:sz w:val="24"/>
          <w:szCs w:val="24"/>
          <w:highlight w:val="none"/>
          <w:u w:val="single"/>
        </w:rPr>
      </w:pPr>
      <w:r>
        <w:rPr>
          <w:rFonts w:hint="eastAsia"/>
          <w:b/>
          <w:bCs w:val="0"/>
          <w:color w:val="auto"/>
          <w:sz w:val="24"/>
          <w:szCs w:val="24"/>
          <w:highlight w:val="none"/>
          <w:u w:val="single"/>
          <w:lang w:val="en-US" w:eastAsia="zh-CN"/>
        </w:rPr>
        <w:t>现文</w:t>
      </w:r>
      <w:r>
        <w:rPr>
          <w:rFonts w:hint="eastAsia"/>
          <w:b/>
          <w:bCs w:val="0"/>
          <w:color w:val="auto"/>
          <w:sz w:val="24"/>
          <w:szCs w:val="24"/>
          <w:highlight w:val="none"/>
          <w:u w:val="single"/>
        </w:rPr>
        <w:t>：</w:t>
      </w:r>
      <w:r>
        <w:rPr>
          <w:rFonts w:hint="eastAsia" w:ascii="宋体" w:hAnsi="宋体" w:cs="宋体"/>
          <w:b/>
          <w:bCs w:val="0"/>
          <w:color w:val="auto"/>
          <w:sz w:val="24"/>
          <w:szCs w:val="24"/>
          <w:highlight w:val="none"/>
          <w:u w:val="single"/>
        </w:rPr>
        <w:t>4</w:t>
      </w:r>
      <w:r>
        <w:rPr>
          <w:rFonts w:hint="eastAsia" w:ascii="宋体" w:hAnsi="宋体" w:cs="宋体"/>
          <w:b/>
          <w:bCs w:val="0"/>
          <w:color w:val="auto"/>
          <w:sz w:val="24"/>
          <w:szCs w:val="24"/>
          <w:highlight w:val="none"/>
          <w:u w:val="single"/>
          <w:lang w:val="en-US" w:eastAsia="zh-CN"/>
        </w:rPr>
        <w:t>6</w:t>
      </w:r>
      <w:r>
        <w:rPr>
          <w:rFonts w:hint="eastAsia" w:ascii="宋体" w:hAnsi="宋体" w:cs="宋体"/>
          <w:b/>
          <w:bCs w:val="0"/>
          <w:color w:val="auto"/>
          <w:sz w:val="24"/>
          <w:szCs w:val="24"/>
          <w:highlight w:val="none"/>
          <w:u w:val="single"/>
        </w:rPr>
        <w:t>.5总得分相同的，以技术标得分较高的排前；总得分与技术标得分均相同的投标文件，则对具有相同情况的投标人，按中标候选人数量规定，由评标委员会采用随机抽取方式，确定中标候选人的排序。随机方式确定排序的具体操作步骤为：由评标会对出现该情况的投标人进行编号，然后通过记名投票方式，以得票多的排前确定排序。</w:t>
      </w:r>
    </w:p>
    <w:p w14:paraId="6DA6AADE">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条款号：附表一：《资格审查表》  附表二：《技术标有效性审查表》  附表三：《经济标有效性审查表》  附表四：</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技术标详细审查定档表</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w:t>
      </w:r>
      <w:r>
        <w:rPr>
          <w:rFonts w:hint="eastAsia" w:ascii="宋体" w:hAnsi="宋体" w:cs="宋体"/>
          <w:b/>
          <w:color w:val="auto"/>
          <w:sz w:val="24"/>
          <w:szCs w:val="24"/>
          <w:highlight w:val="none"/>
        </w:rPr>
        <w:t>技术标详细审查评分表》   修改类型：修改</w:t>
      </w:r>
    </w:p>
    <w:p w14:paraId="6F98A631">
      <w:pPr>
        <w:pBdr>
          <w:bottom w:val="single" w:color="auto" w:sz="6" w:space="1"/>
        </w:pBdr>
        <w:spacing w:line="360" w:lineRule="auto"/>
        <w:ind w:firstLine="602" w:firstLineChars="250"/>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详见原范本附表一：《资格审查表》    附表二：《技术标有效性审查表》   附表三：《经济标有效性审查表》   附表四：</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技术标详细审查定档表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《技术标详细审查评分表》。</w:t>
      </w:r>
    </w:p>
    <w:p w14:paraId="392C6AB1">
      <w:pPr>
        <w:pBdr>
          <w:bottom w:val="single" w:color="auto" w:sz="6" w:space="1"/>
        </w:pBdr>
        <w:spacing w:line="360" w:lineRule="auto"/>
        <w:ind w:firstLine="602" w:firstLineChars="250"/>
        <w:rPr>
          <w:rFonts w:hint="eastAsia" w:ascii="宋体" w:hAnsi="宋体" w:cs="宋体"/>
          <w:color w:val="auto"/>
          <w:sz w:val="24"/>
          <w:szCs w:val="24"/>
          <w:highlight w:val="none"/>
          <w:u w:val="singl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详见本招标文件</w:t>
      </w:r>
      <w:r>
        <w:rPr>
          <w:rFonts w:hint="eastAsia" w:ascii="宋体" w:hAnsi="宋体" w:cs="宋体"/>
          <w:color w:val="auto"/>
          <w:sz w:val="24"/>
          <w:szCs w:val="24"/>
          <w:highlight w:val="none"/>
          <w:u w:val="single"/>
        </w:rPr>
        <w:t>附表一：《资格审查表》    附表二：《技术标有效性审查表》   附表三：《经济标有效性审查表》   附表四：《技术标详细审查定档表》《技术标详细审查评分表》。</w:t>
      </w:r>
    </w:p>
    <w:p w14:paraId="50F256DF">
      <w:pPr>
        <w:spacing w:line="360" w:lineRule="auto"/>
        <w:ind w:firstLine="540" w:firstLineChars="224"/>
        <w:rPr>
          <w:rFonts w:hint="eastAsia" w:eastAsia="宋体"/>
          <w:b/>
          <w:color w:val="auto"/>
          <w:sz w:val="24"/>
          <w:szCs w:val="24"/>
          <w:highlight w:val="none"/>
          <w:lang w:eastAsia="zh-CN"/>
        </w:rPr>
      </w:pPr>
      <w:r>
        <w:rPr>
          <w:rFonts w:hint="eastAsia"/>
          <w:b/>
          <w:color w:val="auto"/>
          <w:sz w:val="24"/>
          <w:szCs w:val="24"/>
          <w:highlight w:val="none"/>
        </w:rPr>
        <w:t>条款号：附表六：（适用于有主要项目单价评审的项目）</w:t>
      </w:r>
      <w:r>
        <w:rPr>
          <w:rFonts w:hint="eastAsia"/>
          <w:b/>
          <w:color w:val="auto"/>
          <w:sz w:val="24"/>
          <w:szCs w:val="24"/>
          <w:highlight w:val="none"/>
          <w:lang w:eastAsia="zh-CN"/>
        </w:rPr>
        <w:t>、</w:t>
      </w:r>
      <w:r>
        <w:rPr>
          <w:rFonts w:hint="eastAsia"/>
          <w:b/>
          <w:color w:val="auto"/>
          <w:sz w:val="24"/>
          <w:szCs w:val="24"/>
          <w:highlight w:val="none"/>
          <w:lang w:val="en-US" w:eastAsia="zh-CN"/>
        </w:rPr>
        <w:t>附表七：《</w:t>
      </w:r>
      <w:r>
        <w:rPr>
          <w:rFonts w:hint="eastAsia"/>
          <w:b/>
          <w:color w:val="auto"/>
          <w:sz w:val="24"/>
          <w:szCs w:val="24"/>
          <w:highlight w:val="none"/>
        </w:rPr>
        <w:t>适用于有主要项目单价评审的项目</w:t>
      </w:r>
      <w:r>
        <w:rPr>
          <w:rFonts w:hint="eastAsia"/>
          <w:b/>
          <w:color w:val="auto"/>
          <w:sz w:val="24"/>
          <w:szCs w:val="24"/>
          <w:highlight w:val="none"/>
          <w:lang w:val="en-US" w:eastAsia="zh-CN"/>
        </w:rPr>
        <w:t>》、附表八：《</w:t>
      </w:r>
      <w:r>
        <w:rPr>
          <w:rFonts w:hint="eastAsia"/>
          <w:b/>
          <w:color w:val="auto"/>
          <w:sz w:val="24"/>
          <w:szCs w:val="24"/>
          <w:highlight w:val="none"/>
        </w:rPr>
        <w:t>适用于有主要项目单价评审的项目</w:t>
      </w:r>
      <w:r>
        <w:rPr>
          <w:rFonts w:hint="eastAsia"/>
          <w:b/>
          <w:color w:val="auto"/>
          <w:sz w:val="24"/>
          <w:szCs w:val="24"/>
          <w:highlight w:val="none"/>
          <w:lang w:val="en-US" w:eastAsia="zh-CN"/>
        </w:rPr>
        <w:t>》、附表九：《</w:t>
      </w:r>
      <w:r>
        <w:rPr>
          <w:rFonts w:hint="eastAsia"/>
          <w:b/>
          <w:color w:val="auto"/>
          <w:sz w:val="24"/>
          <w:szCs w:val="24"/>
          <w:highlight w:val="none"/>
        </w:rPr>
        <w:t>适用于有主要项目单价评审的项目</w:t>
      </w:r>
      <w:r>
        <w:rPr>
          <w:rFonts w:hint="eastAsia"/>
          <w:b/>
          <w:color w:val="auto"/>
          <w:sz w:val="24"/>
          <w:szCs w:val="24"/>
          <w:highlight w:val="none"/>
          <w:lang w:val="en-US" w:eastAsia="zh-CN"/>
        </w:rPr>
        <w:t>》</w:t>
      </w:r>
      <w:r>
        <w:rPr>
          <w:b/>
          <w:color w:val="auto"/>
          <w:sz w:val="24"/>
          <w:szCs w:val="24"/>
          <w:highlight w:val="none"/>
        </w:rPr>
        <w:t xml:space="preserve">           </w:t>
      </w:r>
      <w:r>
        <w:rPr>
          <w:rFonts w:hint="eastAsia"/>
          <w:b/>
          <w:color w:val="auto"/>
          <w:sz w:val="24"/>
          <w:szCs w:val="24"/>
          <w:highlight w:val="none"/>
        </w:rPr>
        <w:t>修改类型：</w:t>
      </w:r>
      <w:r>
        <w:rPr>
          <w:rFonts w:hint="eastAsia"/>
          <w:b/>
          <w:color w:val="auto"/>
          <w:sz w:val="24"/>
          <w:szCs w:val="24"/>
          <w:highlight w:val="none"/>
          <w:lang w:val="en-US" w:eastAsia="zh-CN"/>
        </w:rPr>
        <w:t>删除</w:t>
      </w:r>
    </w:p>
    <w:p w14:paraId="7D70EC0D">
      <w:pPr>
        <w:pBdr>
          <w:bottom w:val="single" w:color="auto" w:sz="4" w:space="0"/>
        </w:pBdr>
        <w:spacing w:line="360" w:lineRule="auto"/>
        <w:ind w:firstLine="540" w:firstLineChars="224"/>
        <w:rPr>
          <w:color w:val="auto"/>
          <w:sz w:val="24"/>
          <w:szCs w:val="24"/>
          <w:highlight w:val="none"/>
        </w:rPr>
      </w:pPr>
      <w:r>
        <w:rPr>
          <w:rFonts w:hint="eastAsia"/>
          <w:b/>
          <w:bCs w:val="0"/>
          <w:color w:val="auto"/>
          <w:sz w:val="24"/>
          <w:szCs w:val="24"/>
          <w:highlight w:val="none"/>
        </w:rPr>
        <w:t>原文：</w:t>
      </w:r>
      <w:r>
        <w:rPr>
          <w:rFonts w:hint="eastAsia"/>
          <w:b w:val="0"/>
          <w:bCs/>
          <w:color w:val="auto"/>
          <w:sz w:val="24"/>
          <w:szCs w:val="24"/>
          <w:highlight w:val="none"/>
        </w:rPr>
        <w:t>附表六：（适用于有主要项目单价评审的项目）</w:t>
      </w:r>
      <w:r>
        <w:rPr>
          <w:rFonts w:hint="eastAsia"/>
          <w:b w:val="0"/>
          <w:bCs/>
          <w:color w:val="auto"/>
          <w:sz w:val="24"/>
          <w:szCs w:val="24"/>
          <w:highlight w:val="none"/>
          <w:lang w:eastAsia="zh-CN"/>
        </w:rPr>
        <w:t>、</w:t>
      </w:r>
      <w:r>
        <w:rPr>
          <w:rFonts w:hint="eastAsia"/>
          <w:b w:val="0"/>
          <w:bCs/>
          <w:color w:val="auto"/>
          <w:sz w:val="24"/>
          <w:szCs w:val="24"/>
          <w:highlight w:val="none"/>
          <w:lang w:val="en-US" w:eastAsia="zh-CN"/>
        </w:rPr>
        <w:t>附表七：《</w:t>
      </w:r>
      <w:r>
        <w:rPr>
          <w:rFonts w:hint="eastAsia"/>
          <w:b w:val="0"/>
          <w:bCs/>
          <w:color w:val="auto"/>
          <w:sz w:val="24"/>
          <w:szCs w:val="24"/>
          <w:highlight w:val="none"/>
        </w:rPr>
        <w:t>适用于有主要项目单价评审的项目</w:t>
      </w:r>
      <w:r>
        <w:rPr>
          <w:rFonts w:hint="eastAsia"/>
          <w:b w:val="0"/>
          <w:bCs/>
          <w:color w:val="auto"/>
          <w:sz w:val="24"/>
          <w:szCs w:val="24"/>
          <w:highlight w:val="none"/>
          <w:lang w:val="en-US" w:eastAsia="zh-CN"/>
        </w:rPr>
        <w:t>》、附表八：《</w:t>
      </w:r>
      <w:r>
        <w:rPr>
          <w:rFonts w:hint="eastAsia"/>
          <w:b w:val="0"/>
          <w:bCs/>
          <w:color w:val="auto"/>
          <w:sz w:val="24"/>
          <w:szCs w:val="24"/>
          <w:highlight w:val="none"/>
        </w:rPr>
        <w:t>适用于有主要项目单价评审的项目</w:t>
      </w:r>
      <w:r>
        <w:rPr>
          <w:rFonts w:hint="eastAsia"/>
          <w:b w:val="0"/>
          <w:bCs/>
          <w:color w:val="auto"/>
          <w:sz w:val="24"/>
          <w:szCs w:val="24"/>
          <w:highlight w:val="none"/>
          <w:lang w:val="en-US" w:eastAsia="zh-CN"/>
        </w:rPr>
        <w:t>》、附表九：《</w:t>
      </w:r>
      <w:r>
        <w:rPr>
          <w:rFonts w:hint="eastAsia"/>
          <w:b w:val="0"/>
          <w:bCs/>
          <w:color w:val="auto"/>
          <w:sz w:val="24"/>
          <w:szCs w:val="24"/>
          <w:highlight w:val="none"/>
        </w:rPr>
        <w:t>适用于有主要项目单价评审的项目</w:t>
      </w:r>
      <w:r>
        <w:rPr>
          <w:rFonts w:hint="eastAsia"/>
          <w:b w:val="0"/>
          <w:bCs/>
          <w:color w:val="auto"/>
          <w:sz w:val="24"/>
          <w:szCs w:val="24"/>
          <w:highlight w:val="none"/>
          <w:lang w:val="en-US" w:eastAsia="zh-CN"/>
        </w:rPr>
        <w:t>》</w:t>
      </w:r>
    </w:p>
    <w:p w14:paraId="4AACC78B">
      <w:pPr>
        <w:spacing w:line="360" w:lineRule="auto"/>
        <w:ind w:firstLine="241" w:firstLineChars="100"/>
        <w:rPr>
          <w:b/>
          <w:color w:val="auto"/>
          <w:sz w:val="24"/>
          <w:szCs w:val="24"/>
          <w:highlight w:val="none"/>
        </w:rPr>
      </w:pPr>
      <w:r>
        <w:rPr>
          <w:rFonts w:hint="eastAsia"/>
          <w:b/>
          <w:color w:val="auto"/>
          <w:sz w:val="24"/>
          <w:szCs w:val="24"/>
          <w:highlight w:val="none"/>
        </w:rPr>
        <w:t>注：以上修改，仅限于本范本中有可供选择条款的情形。</w:t>
      </w:r>
    </w:p>
    <w:p w14:paraId="1873FC7C">
      <w:pPr>
        <w:spacing w:line="360" w:lineRule="auto"/>
        <w:rPr>
          <w:color w:val="auto"/>
          <w:sz w:val="24"/>
          <w:szCs w:val="24"/>
          <w:highlight w:val="none"/>
        </w:rPr>
      </w:pPr>
      <w:r>
        <w:rPr>
          <w:rFonts w:hint="eastAsia"/>
          <w:b/>
          <w:color w:val="auto"/>
          <w:sz w:val="24"/>
          <w:szCs w:val="24"/>
          <w:highlight w:val="none"/>
        </w:rPr>
        <w:t>（以下无正文）</w:t>
      </w:r>
    </w:p>
    <w:p w14:paraId="6F24B554">
      <w:pPr>
        <w:spacing w:line="360" w:lineRule="auto"/>
        <w:rPr>
          <w:b/>
          <w:color w:val="auto"/>
          <w:sz w:val="24"/>
          <w:szCs w:val="24"/>
          <w:highlight w:val="none"/>
        </w:rPr>
      </w:pPr>
    </w:p>
    <w:p w14:paraId="62E84C99">
      <w:pPr>
        <w:pStyle w:val="2"/>
        <w:spacing w:line="360" w:lineRule="auto"/>
        <w:rPr>
          <w:color w:val="auto"/>
          <w:highlight w:val="none"/>
        </w:rPr>
      </w:pPr>
      <w:r>
        <w:rPr>
          <w:color w:val="auto"/>
          <w:highlight w:val="none"/>
        </w:rPr>
        <w:br w:type="page"/>
      </w:r>
    </w:p>
    <w:p w14:paraId="04CF691F">
      <w:pPr>
        <w:pStyle w:val="7"/>
        <w:rPr>
          <w:color w:val="auto"/>
          <w:highlight w:val="none"/>
        </w:rPr>
      </w:pPr>
      <w:bookmarkStart w:id="45" w:name="_Toc21525500"/>
      <w:bookmarkStart w:id="46" w:name="_Toc2272556"/>
      <w:bookmarkStart w:id="47" w:name="_Toc9828"/>
      <w:bookmarkStart w:id="48" w:name="_Toc22241"/>
      <w:r>
        <w:rPr>
          <w:rFonts w:hint="eastAsia"/>
          <w:color w:val="auto"/>
          <w:highlight w:val="none"/>
        </w:rPr>
        <w:t>二、开标、评标及定标办法通用条款</w:t>
      </w:r>
      <w:bookmarkEnd w:id="45"/>
      <w:bookmarkEnd w:id="46"/>
      <w:bookmarkEnd w:id="47"/>
      <w:bookmarkEnd w:id="48"/>
    </w:p>
    <w:p w14:paraId="24006E14">
      <w:pPr>
        <w:pStyle w:val="8"/>
        <w:ind w:firstLine="480" w:firstLineChars="200"/>
        <w:rPr>
          <w:rFonts w:hint="eastAsia"/>
          <w:color w:val="auto"/>
          <w:highlight w:val="none"/>
        </w:rPr>
      </w:pPr>
      <w:bookmarkStart w:id="49" w:name="_Toc9587"/>
      <w:bookmarkStart w:id="50" w:name="_Toc26489"/>
      <w:r>
        <w:rPr>
          <w:rFonts w:hint="eastAsia"/>
          <w:color w:val="auto"/>
          <w:highlight w:val="none"/>
        </w:rPr>
        <w:t>（一）总则</w:t>
      </w:r>
      <w:bookmarkEnd w:id="49"/>
    </w:p>
    <w:p w14:paraId="3F8BC85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35.开标、评标及定标所依据的规则</w:t>
      </w:r>
      <w:bookmarkEnd w:id="50"/>
    </w:p>
    <w:p w14:paraId="70925C1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35.1《中华人民共和国招标投标法》；</w:t>
      </w:r>
    </w:p>
    <w:p w14:paraId="39E4DDE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35</w:t>
      </w:r>
      <w:r>
        <w:rPr>
          <w:rFonts w:ascii="宋体" w:hAnsi="宋体"/>
          <w:color w:val="auto"/>
          <w:sz w:val="24"/>
          <w:szCs w:val="24"/>
          <w:highlight w:val="none"/>
        </w:rPr>
        <w:t>.2</w:t>
      </w:r>
      <w:r>
        <w:rPr>
          <w:rFonts w:hint="eastAsia" w:ascii="宋体" w:hAnsi="宋体"/>
          <w:color w:val="auto"/>
          <w:sz w:val="24"/>
          <w:szCs w:val="24"/>
          <w:highlight w:val="none"/>
        </w:rPr>
        <w:t>《中华人民共和国招标投标法实施条例》；</w:t>
      </w:r>
    </w:p>
    <w:p w14:paraId="1C222CF5">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35</w:t>
      </w:r>
      <w:r>
        <w:rPr>
          <w:rFonts w:ascii="宋体" w:hAnsi="宋体"/>
          <w:color w:val="auto"/>
          <w:sz w:val="24"/>
          <w:szCs w:val="24"/>
          <w:highlight w:val="none"/>
        </w:rPr>
        <w:t>.3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p>
    <w:p w14:paraId="6623696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35</w:t>
      </w:r>
      <w:r>
        <w:rPr>
          <w:rFonts w:ascii="宋体" w:hAnsi="宋体"/>
          <w:color w:val="auto"/>
          <w:sz w:val="24"/>
          <w:szCs w:val="24"/>
          <w:highlight w:val="none"/>
        </w:rPr>
        <w:t>.4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p>
    <w:p w14:paraId="778F694F">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35</w:t>
      </w:r>
      <w:r>
        <w:rPr>
          <w:rFonts w:ascii="宋体" w:hAnsi="宋体"/>
          <w:color w:val="auto"/>
          <w:sz w:val="24"/>
          <w:szCs w:val="24"/>
          <w:highlight w:val="none"/>
        </w:rPr>
        <w:t>.5</w:t>
      </w:r>
      <w:r>
        <w:rPr>
          <w:rFonts w:hint="eastAsia" w:ascii="宋体" w:hAnsi="宋体"/>
          <w:color w:val="auto"/>
          <w:sz w:val="24"/>
          <w:szCs w:val="24"/>
          <w:highlight w:val="none"/>
        </w:rPr>
        <w:t>《电子招标投标办法》；</w:t>
      </w:r>
    </w:p>
    <w:p w14:paraId="53C7F42F">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35.6《广东省实施〈中华人民共和国招标投标法〉办法》；</w:t>
      </w:r>
    </w:p>
    <w:p w14:paraId="38EF8BE9">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35</w:t>
      </w:r>
      <w:r>
        <w:rPr>
          <w:rFonts w:ascii="宋体" w:hAnsi="宋体"/>
          <w:color w:val="auto"/>
          <w:sz w:val="24"/>
          <w:szCs w:val="24"/>
          <w:highlight w:val="none"/>
        </w:rPr>
        <w:t>.</w:t>
      </w:r>
      <w:r>
        <w:rPr>
          <w:rFonts w:hint="eastAsia" w:ascii="宋体" w:hAnsi="宋体"/>
          <w:color w:val="auto"/>
          <w:sz w:val="24"/>
          <w:szCs w:val="24"/>
          <w:highlight w:val="none"/>
        </w:rPr>
        <w:t>7《房屋建筑和市政基础设施工程施工招标投标管理办法》（建设部令第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p>
    <w:p w14:paraId="58D74581">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35</w:t>
      </w:r>
      <w:r>
        <w:rPr>
          <w:rFonts w:ascii="宋体" w:hAnsi="宋体"/>
          <w:color w:val="auto"/>
          <w:sz w:val="24"/>
          <w:szCs w:val="24"/>
          <w:highlight w:val="none"/>
        </w:rPr>
        <w:t>.</w:t>
      </w:r>
      <w:r>
        <w:rPr>
          <w:rFonts w:hint="eastAsia" w:ascii="宋体" w:hAnsi="宋体"/>
          <w:color w:val="auto"/>
          <w:sz w:val="24"/>
          <w:szCs w:val="24"/>
          <w:highlight w:val="none"/>
        </w:rPr>
        <w:t>8《广东省加强建设工程招标投标监督管理的若干规定》（粤发[2004]4号）；</w:t>
      </w:r>
    </w:p>
    <w:p w14:paraId="55925A3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35</w:t>
      </w:r>
      <w:r>
        <w:rPr>
          <w:rFonts w:ascii="宋体" w:hAnsi="宋体"/>
          <w:color w:val="auto"/>
          <w:sz w:val="24"/>
          <w:szCs w:val="24"/>
          <w:highlight w:val="none"/>
        </w:rPr>
        <w:t>.</w:t>
      </w:r>
      <w:r>
        <w:rPr>
          <w:rFonts w:hint="eastAsia" w:ascii="宋体" w:hAnsi="宋体"/>
          <w:color w:val="auto"/>
          <w:sz w:val="24"/>
          <w:szCs w:val="24"/>
          <w:highlight w:val="none"/>
        </w:rPr>
        <w:t>9《广州市工程建设项目招标投标管理办法》（穗建规字〔</w:t>
      </w:r>
      <w:r>
        <w:rPr>
          <w:rFonts w:ascii="宋体" w:hAnsi="宋体"/>
          <w:color w:val="auto"/>
          <w:sz w:val="24"/>
          <w:szCs w:val="24"/>
          <w:highlight w:val="none"/>
        </w:rPr>
        <w:t>2023</w:t>
      </w:r>
      <w:r>
        <w:rPr>
          <w:rFonts w:hint="eastAsia" w:ascii="宋体" w:hAnsi="宋体"/>
          <w:color w:val="auto"/>
          <w:sz w:val="24"/>
          <w:szCs w:val="24"/>
          <w:highlight w:val="none"/>
        </w:rPr>
        <w:t>〕</w:t>
      </w:r>
      <w:r>
        <w:rPr>
          <w:rFonts w:ascii="宋体" w:hAnsi="宋体"/>
          <w:color w:val="auto"/>
          <w:sz w:val="24"/>
          <w:szCs w:val="24"/>
          <w:highlight w:val="none"/>
        </w:rPr>
        <w:t>12</w:t>
      </w:r>
      <w:r>
        <w:rPr>
          <w:rFonts w:hint="eastAsia" w:ascii="宋体" w:hAnsi="宋体"/>
          <w:color w:val="auto"/>
          <w:sz w:val="24"/>
          <w:szCs w:val="24"/>
          <w:highlight w:val="none"/>
        </w:rPr>
        <w:t>号）。</w:t>
      </w:r>
    </w:p>
    <w:p w14:paraId="6A9C4047">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35.10本项目招标文件。</w:t>
      </w:r>
    </w:p>
    <w:p w14:paraId="075AE280">
      <w:pPr>
        <w:spacing w:line="360" w:lineRule="auto"/>
        <w:ind w:firstLine="480" w:firstLineChars="200"/>
        <w:rPr>
          <w:rFonts w:hint="eastAsia" w:ascii="宋体" w:hAnsi="宋体"/>
          <w:color w:val="auto"/>
          <w:sz w:val="24"/>
          <w:szCs w:val="24"/>
          <w:highlight w:val="none"/>
        </w:rPr>
      </w:pPr>
      <w:bookmarkStart w:id="51" w:name="_Toc1310"/>
      <w:r>
        <w:rPr>
          <w:rFonts w:hint="eastAsia" w:ascii="宋体" w:hAnsi="宋体"/>
          <w:color w:val="auto"/>
          <w:sz w:val="24"/>
          <w:szCs w:val="24"/>
          <w:highlight w:val="none"/>
        </w:rPr>
        <w:t>36．开标</w:t>
      </w:r>
      <w:bookmarkEnd w:id="51"/>
    </w:p>
    <w:p w14:paraId="44B001E5">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36.1 招标人按投标须知前附表第18项所规定的时间和地点通过电子招标投标交易平台公开开标，并邀请所有投标人参加，投标人可选择在开标室参加开标或准时在线参加开标，也可以不参加开标，均不影响开标程序。</w:t>
      </w:r>
      <w:r>
        <w:rPr>
          <w:rFonts w:hint="eastAsia"/>
          <w:color w:val="auto"/>
          <w:sz w:val="24"/>
          <w:highlight w:val="none"/>
        </w:rPr>
        <w:t>投标人不派代表参加开标会，则视其为放弃参与开标的权利，认可开标结果。</w:t>
      </w:r>
      <w:r>
        <w:rPr>
          <w:rFonts w:hint="eastAsia" w:ascii="宋体" w:hAnsi="宋体"/>
          <w:color w:val="auto"/>
          <w:sz w:val="24"/>
          <w:szCs w:val="24"/>
          <w:highlight w:val="none"/>
        </w:rPr>
        <w:t>截标后，开标开始时间因故推迟的，相关评标信息仍以原定的开标开始时间的信息为准。</w:t>
      </w:r>
    </w:p>
    <w:p w14:paraId="2F458D47">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 xml:space="preserve"> 招标人在招标文件要求提交投标文件的截止时间前收到的投标文件，开标时都当众予以解密、公布。</w:t>
      </w:r>
    </w:p>
    <w:p w14:paraId="1A49A387">
      <w:pPr>
        <w:spacing w:line="360" w:lineRule="auto"/>
        <w:ind w:firstLine="480" w:firstLineChars="200"/>
        <w:rPr>
          <w:rFonts w:hint="eastAsia" w:ascii="宋体" w:hAnsi="宋体"/>
          <w:strike/>
          <w:color w:val="auto"/>
          <w:sz w:val="24"/>
          <w:szCs w:val="24"/>
          <w:highlight w:val="none"/>
        </w:rPr>
      </w:pPr>
      <w:r>
        <w:rPr>
          <w:rFonts w:hint="eastAsia" w:ascii="宋体" w:hAnsi="宋体"/>
          <w:strike/>
          <w:color w:val="auto"/>
          <w:sz w:val="24"/>
          <w:szCs w:val="24"/>
          <w:highlight w:val="none"/>
        </w:rPr>
        <w:t>36.3根据投标须知前附表第19项，如需抽取某一种评标办法供评标时使用的，可在开标时（唱标工作完成后）抽取。首先对招标文件中约定的若干种评标方法进行编号，再随机抽取某一编号，该编号所对应的评标办法供评标时使用。</w:t>
      </w:r>
    </w:p>
    <w:p w14:paraId="16133781">
      <w:pPr>
        <w:spacing w:line="360" w:lineRule="auto"/>
        <w:ind w:firstLine="480" w:firstLineChars="200"/>
        <w:rPr>
          <w:rFonts w:hint="eastAsia" w:ascii="宋体" w:hAnsi="宋体"/>
          <w:strike/>
          <w:color w:val="auto"/>
          <w:sz w:val="24"/>
          <w:szCs w:val="24"/>
          <w:highlight w:val="none"/>
        </w:rPr>
      </w:pPr>
      <w:r>
        <w:rPr>
          <w:rFonts w:hint="eastAsia" w:ascii="宋体" w:hAnsi="宋体"/>
          <w:color w:val="auto"/>
          <w:sz w:val="24"/>
          <w:szCs w:val="24"/>
          <w:highlight w:val="none"/>
        </w:rPr>
        <w:t>36.4若递交投标文件的投标人不足3家，则重新组织招标。</w:t>
      </w:r>
      <w:r>
        <w:rPr>
          <w:rFonts w:hint="eastAsia" w:ascii="宋体" w:hAnsi="宋体"/>
          <w:strike/>
          <w:color w:val="auto"/>
          <w:sz w:val="24"/>
          <w:szCs w:val="24"/>
          <w:highlight w:val="none"/>
        </w:rPr>
        <w:t>（当</w:t>
      </w:r>
      <w:r>
        <w:rPr>
          <w:rFonts w:ascii="宋体" w:hAnsi="宋体"/>
          <w:strike/>
          <w:color w:val="auto"/>
          <w:sz w:val="24"/>
          <w:szCs w:val="24"/>
          <w:highlight w:val="none"/>
        </w:rPr>
        <w:t>N</w:t>
      </w:r>
      <w:r>
        <w:rPr>
          <w:rFonts w:hint="eastAsia" w:ascii="宋体" w:hAnsi="宋体"/>
          <w:strike/>
          <w:color w:val="auto"/>
          <w:sz w:val="24"/>
          <w:szCs w:val="24"/>
          <w:highlight w:val="none"/>
        </w:rPr>
        <w:t>个标段同时招标且不允许兼中时，若有效投标人不足</w:t>
      </w:r>
      <w:r>
        <w:rPr>
          <w:rFonts w:ascii="宋体" w:hAnsi="宋体"/>
          <w:strike/>
          <w:color w:val="auto"/>
          <w:sz w:val="24"/>
          <w:szCs w:val="24"/>
          <w:highlight w:val="none"/>
        </w:rPr>
        <w:t>N+</w:t>
      </w:r>
      <w:r>
        <w:rPr>
          <w:rFonts w:hint="eastAsia" w:ascii="宋体" w:hAnsi="宋体"/>
          <w:strike/>
          <w:color w:val="auto"/>
          <w:sz w:val="24"/>
          <w:szCs w:val="24"/>
          <w:highlight w:val="none"/>
        </w:rPr>
        <w:t>2家，则重新组织招标）。</w:t>
      </w:r>
    </w:p>
    <w:p w14:paraId="7A4511F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36.5按下列程序进行开标：</w:t>
      </w:r>
    </w:p>
    <w:p w14:paraId="46CE790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36.5.1在投标截止时间后</w:t>
      </w:r>
      <w:r>
        <w:rPr>
          <w:rFonts w:hint="eastAsia" w:ascii="宋体" w:hAnsi="宋体"/>
          <w:color w:val="auto"/>
          <w:sz w:val="24"/>
          <w:highlight w:val="none"/>
          <w:u w:val="single"/>
        </w:rPr>
        <w:t>1</w:t>
      </w:r>
      <w:r>
        <w:rPr>
          <w:rFonts w:hint="eastAsia" w:ascii="宋体" w:hAnsi="宋体"/>
          <w:color w:val="auto"/>
          <w:sz w:val="24"/>
          <w:highlight w:val="none"/>
        </w:rPr>
        <w:t>小时内，投标人通过</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highlight w:val="none"/>
        </w:rPr>
        <w:t>交易平台对已递交的电子投标文件进行解密。投标人完成解密后，再由招标人进行解密。解密完成后，公布招标项目名称、投标人名称、投标保证金的递交情况、投标报价、工期及其他内容；</w:t>
      </w:r>
    </w:p>
    <w:p w14:paraId="7A070FEF">
      <w:pPr>
        <w:tabs>
          <w:tab w:val="left" w:pos="10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36.5.2备用光盘的读取按投标须知前附表第37项的规定执行；</w:t>
      </w:r>
    </w:p>
    <w:p w14:paraId="7BFB3BB5">
      <w:pPr>
        <w:spacing w:line="360" w:lineRule="auto"/>
        <w:ind w:firstLine="480" w:firstLineChars="200"/>
        <w:rPr>
          <w:rFonts w:hint="eastAsia" w:ascii="宋体" w:hAnsi="宋体"/>
          <w:color w:val="auto"/>
          <w:sz w:val="24"/>
          <w:highlight w:val="none"/>
        </w:rPr>
      </w:pPr>
      <w:bookmarkStart w:id="52" w:name="_Toc501"/>
      <w:r>
        <w:rPr>
          <w:rFonts w:hint="eastAsia" w:ascii="宋体" w:hAnsi="宋体"/>
          <w:color w:val="auto"/>
          <w:sz w:val="24"/>
          <w:highlight w:val="none"/>
        </w:rPr>
        <w:t>36.5.3投标人代表、招标人代表、监标人、记录人等有关人员在开标记录上签字确认；若有关人员不签字的，不影响开标程序；</w:t>
      </w:r>
    </w:p>
    <w:p w14:paraId="702E8091">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36.5.6开标结束。</w:t>
      </w:r>
    </w:p>
    <w:p w14:paraId="4307379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06EC212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36.7开标时，两个（含两个）以上的投标人加密打包投标文件电脑机器特征码一致的，由评标委员会否决其投标。</w:t>
      </w:r>
    </w:p>
    <w:p w14:paraId="2BC19138">
      <w:pPr>
        <w:pStyle w:val="20"/>
        <w:ind w:firstLine="480"/>
        <w:rPr>
          <w:rFonts w:hint="eastAsia" w:hAnsi="宋体"/>
          <w:color w:val="auto"/>
          <w:sz w:val="24"/>
          <w:highlight w:val="none"/>
        </w:rPr>
      </w:pPr>
      <w:r>
        <w:rPr>
          <w:rFonts w:hint="eastAsia" w:hAnsi="宋体"/>
          <w:color w:val="auto"/>
          <w:sz w:val="24"/>
          <w:highlight w:val="none"/>
        </w:rPr>
        <w:t>36.8开标异议</w:t>
      </w:r>
    </w:p>
    <w:p w14:paraId="3BECCAF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36.8.1参加现场开标的投标人对开标结果有异议的，应当在开标现场提出，该投标人代表须同时出示本人身份证原件，招标人应当当场作出答复，并制作记录。</w:t>
      </w:r>
    </w:p>
    <w:p w14:paraId="0633335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36.8.2参加在线开标的投标人对开标结果有异议的，应当在唱标结束后的规定时间内、使用单位数字证书登录电子招标投标交易平台后通过电子招标投标交易平台提出。招标人授权招标代理机构工作人员使用招标代理机构数字证书登录电子招标投标交易平台答复异议，异议答复是招标人真实意思表示。未答复的，开标程序不得结束。</w:t>
      </w:r>
    </w:p>
    <w:p w14:paraId="75460ACA">
      <w:pPr>
        <w:pStyle w:val="20"/>
        <w:spacing w:line="360" w:lineRule="auto"/>
        <w:ind w:firstLine="480"/>
        <w:rPr>
          <w:color w:val="auto"/>
          <w:sz w:val="24"/>
          <w:highlight w:val="none"/>
        </w:rPr>
      </w:pPr>
      <w:r>
        <w:rPr>
          <w:rFonts w:hint="eastAsia" w:hAnsi="宋体"/>
          <w:color w:val="auto"/>
          <w:sz w:val="24"/>
          <w:highlight w:val="none"/>
        </w:rPr>
        <w:t>36.8.3</w:t>
      </w:r>
      <w:r>
        <w:rPr>
          <w:rFonts w:hint="eastAsia" w:hAnsi="宋体" w:cs="宋体"/>
          <w:color w:val="auto"/>
          <w:kern w:val="0"/>
          <w:sz w:val="24"/>
          <w:szCs w:val="24"/>
          <w:highlight w:val="none"/>
        </w:rPr>
        <w:t>对开标的异议，招标人应当当场作出答复并予以书面记录，异议成立的，招标人应当及时采取纠正措施，或者提交评标委员会评审确认；异议不成立的，招标人应当当场给予解释说明。</w:t>
      </w:r>
      <w:r>
        <w:rPr>
          <w:rFonts w:hint="eastAsia"/>
          <w:color w:val="auto"/>
          <w:sz w:val="24"/>
          <w:highlight w:val="none"/>
        </w:rPr>
        <w:t>投标人未参加开标或在规定的时间内未提出异议的，视为对开标无异议。</w:t>
      </w:r>
      <w:bookmarkEnd w:id="52"/>
    </w:p>
    <w:p w14:paraId="1B18D455">
      <w:pPr>
        <w:pStyle w:val="20"/>
        <w:spacing w:line="360" w:lineRule="auto"/>
        <w:ind w:firstLine="480"/>
        <w:rPr>
          <w:rFonts w:hint="eastAsia" w:hAnsi="宋体" w:cs="宋体"/>
          <w:color w:val="auto"/>
          <w:kern w:val="0"/>
          <w:sz w:val="24"/>
          <w:szCs w:val="24"/>
          <w:highlight w:val="none"/>
        </w:rPr>
      </w:pPr>
      <w:r>
        <w:rPr>
          <w:rFonts w:hint="eastAsia"/>
          <w:color w:val="auto"/>
          <w:sz w:val="24"/>
          <w:highlight w:val="none"/>
        </w:rPr>
        <w:t>36.8.4</w:t>
      </w:r>
      <w:r>
        <w:rPr>
          <w:rFonts w:hint="eastAsia" w:hAnsi="宋体" w:cs="宋体"/>
          <w:color w:val="auto"/>
          <w:kern w:val="0"/>
          <w:sz w:val="24"/>
          <w:szCs w:val="24"/>
          <w:highlight w:val="none"/>
        </w:rPr>
        <w:t>招标人应当按照同一异议提起人一份记录的方式，对异议事项的处理应逐条进行书面记录，并由异议提起人、招标人签名确认。书面记录含义应清晰而明确，包括但不限于纠正的措施、解释说明的内容、相关依据等。</w:t>
      </w:r>
    </w:p>
    <w:p w14:paraId="2296788E">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14:paraId="019B917E">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highlight w:val="none"/>
        </w:rPr>
        <w:t>评标由招标人依法组建的评标委员会负责。评标委员会由有关技术、经济等方面的专家和招标人代表组成，专家从广东省综合评标评审专家库中抽取或按远程异地评标专家抽取相关规定组建。评标委员会成员人数以及技术、经济等方面专家的确定方式见投标人须知前附表第30项</w:t>
      </w:r>
      <w:r>
        <w:rPr>
          <w:rFonts w:hint="eastAsia" w:ascii="宋体" w:hAnsi="宋体"/>
          <w:color w:val="auto"/>
          <w:sz w:val="24"/>
          <w:szCs w:val="24"/>
          <w:highlight w:val="none"/>
        </w:rPr>
        <w:t>。</w:t>
      </w:r>
    </w:p>
    <w:p w14:paraId="48294133">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37.2评标委员会成员有下列情形之一的，应当回避：</w:t>
      </w:r>
    </w:p>
    <w:p w14:paraId="71B724BB">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（1）招标人或投标人的主要负责人的近亲属；</w:t>
      </w:r>
    </w:p>
    <w:p w14:paraId="1A09121F">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（2）项目主管部门或者行政监督部门的人员；</w:t>
      </w:r>
    </w:p>
    <w:p w14:paraId="6908F039">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（3）招标人或投标人的工作人员、退休或离职未满3年的人员；</w:t>
      </w:r>
    </w:p>
    <w:p w14:paraId="16F4A70E">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（4）与投标人有经济利益关系，可能影响对投标公正评审的；</w:t>
      </w:r>
    </w:p>
    <w:p w14:paraId="42B99096">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（5）曾因在招标、评标以及其他与招标投标有关活动中从事违法行为而受过行政处罚或刑事处罚的。</w:t>
      </w:r>
    </w:p>
    <w:p w14:paraId="63ECB5C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（6）与投标人有其他利害关系。</w:t>
      </w:r>
    </w:p>
    <w:p w14:paraId="0B06E46C">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3评标委员会的职责及守则：</w:t>
      </w:r>
    </w:p>
    <w:p w14:paraId="2275B524">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.1</w:t>
      </w:r>
      <w:r>
        <w:rPr>
          <w:rFonts w:hint="eastAsia" w:ascii="宋体" w:hAnsi="宋体"/>
          <w:color w:val="auto"/>
          <w:sz w:val="24"/>
          <w:szCs w:val="24"/>
          <w:highlight w:val="none"/>
        </w:rPr>
        <w:t>根据评标细则，对</w:t>
      </w:r>
      <w:r>
        <w:rPr>
          <w:rFonts w:hint="eastAsia" w:ascii="宋体" w:hAnsi="宋体"/>
          <w:color w:val="auto"/>
          <w:sz w:val="24"/>
          <w:highlight w:val="none"/>
        </w:rPr>
        <w:t>投标文件</w:t>
      </w:r>
      <w:r>
        <w:rPr>
          <w:rFonts w:hint="eastAsia" w:ascii="宋体" w:hAnsi="宋体"/>
          <w:color w:val="auto"/>
          <w:sz w:val="24"/>
          <w:szCs w:val="24"/>
          <w:highlight w:val="none"/>
        </w:rPr>
        <w:t>进行认真评审，完成评审报告；</w:t>
      </w:r>
    </w:p>
    <w:p w14:paraId="18B2D882">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.2</w:t>
      </w:r>
      <w:r>
        <w:rPr>
          <w:rFonts w:hint="eastAsia" w:ascii="宋体" w:hAnsi="宋体"/>
          <w:color w:val="auto"/>
          <w:sz w:val="24"/>
          <w:szCs w:val="24"/>
          <w:highlight w:val="none"/>
        </w:rPr>
        <w:t>向招标人报告评审意见，推荐合格的中标候选人。</w:t>
      </w:r>
    </w:p>
    <w:p w14:paraId="2028B012">
      <w:pPr>
        <w:spacing w:line="360" w:lineRule="auto"/>
        <w:ind w:firstLine="480" w:firstLineChars="200"/>
        <w:rPr>
          <w:rFonts w:hint="eastAsia" w:ascii="宋体" w:hAnsi="宋体"/>
          <w:color w:val="auto"/>
          <w:sz w:val="24"/>
          <w:szCs w:val="24"/>
          <w:highlight w:val="none"/>
        </w:rPr>
      </w:pPr>
      <w:r>
        <w:rPr>
          <w:rFonts w:ascii="宋体" w:hAnsi="宋体"/>
          <w:bCs/>
          <w:color w:val="auto"/>
          <w:sz w:val="24"/>
          <w:szCs w:val="24"/>
          <w:highlight w:val="none"/>
        </w:rPr>
        <w:t>37.</w:t>
      </w:r>
      <w:r>
        <w:rPr>
          <w:rFonts w:hint="eastAsia" w:ascii="宋体" w:hAnsi="宋体"/>
          <w:bCs/>
          <w:color w:val="auto"/>
          <w:sz w:val="24"/>
          <w:szCs w:val="24"/>
          <w:highlight w:val="none"/>
        </w:rPr>
        <w:t>3</w:t>
      </w:r>
      <w:r>
        <w:rPr>
          <w:rFonts w:ascii="宋体" w:hAnsi="宋体"/>
          <w:bCs/>
          <w:color w:val="auto"/>
          <w:sz w:val="24"/>
          <w:szCs w:val="24"/>
          <w:highlight w:val="none"/>
        </w:rPr>
        <w:t>.3</w:t>
      </w:r>
      <w:r>
        <w:rPr>
          <w:rFonts w:ascii="宋体" w:hAnsi="宋体"/>
          <w:b/>
          <w:bCs/>
          <w:color w:val="auto"/>
          <w:sz w:val="24"/>
          <w:szCs w:val="24"/>
          <w:highlight w:val="none"/>
        </w:rPr>
        <w:t xml:space="preserve"> </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53F768E5">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.4</w:t>
      </w:r>
      <w:r>
        <w:rPr>
          <w:rFonts w:hint="eastAsia" w:ascii="宋体" w:hAnsi="宋体"/>
          <w:color w:val="auto"/>
          <w:sz w:val="24"/>
          <w:szCs w:val="24"/>
          <w:highlight w:val="none"/>
        </w:rPr>
        <w:t>全体参与评标人员：</w:t>
      </w:r>
    </w:p>
    <w:p w14:paraId="55800889">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.4.1 </w:t>
      </w:r>
      <w:r>
        <w:rPr>
          <w:rFonts w:hint="eastAsia" w:ascii="宋体" w:hAnsi="宋体"/>
          <w:color w:val="auto"/>
          <w:sz w:val="24"/>
          <w:szCs w:val="24"/>
          <w:highlight w:val="none"/>
        </w:rPr>
        <w:t>必须遵守评标纪律、不得泄密；</w:t>
      </w:r>
    </w:p>
    <w:p w14:paraId="2BD44677">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.4.2 </w:t>
      </w:r>
      <w:r>
        <w:rPr>
          <w:rFonts w:hint="eastAsia" w:ascii="宋体" w:hAnsi="宋体"/>
          <w:color w:val="auto"/>
          <w:sz w:val="24"/>
          <w:szCs w:val="24"/>
          <w:highlight w:val="none"/>
        </w:rPr>
        <w:t>必须公正、不得循私；</w:t>
      </w:r>
    </w:p>
    <w:p w14:paraId="099FFCC7">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.4.3 </w:t>
      </w:r>
      <w:r>
        <w:rPr>
          <w:rFonts w:hint="eastAsia" w:ascii="宋体" w:hAnsi="宋体"/>
          <w:color w:val="auto"/>
          <w:sz w:val="24"/>
          <w:szCs w:val="24"/>
          <w:highlight w:val="none"/>
        </w:rPr>
        <w:t>必须科学、不得草率；</w:t>
      </w:r>
    </w:p>
    <w:p w14:paraId="59B124F3">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.4.4 </w:t>
      </w:r>
      <w:r>
        <w:rPr>
          <w:rFonts w:hint="eastAsia" w:ascii="宋体" w:hAnsi="宋体"/>
          <w:color w:val="auto"/>
          <w:sz w:val="24"/>
          <w:szCs w:val="24"/>
          <w:highlight w:val="none"/>
        </w:rPr>
        <w:t>必须客观、不得带有成见；</w:t>
      </w:r>
    </w:p>
    <w:p w14:paraId="7BE36321">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.4.5 </w:t>
      </w:r>
      <w:r>
        <w:rPr>
          <w:rFonts w:hint="eastAsia" w:ascii="宋体" w:hAnsi="宋体"/>
          <w:color w:val="auto"/>
          <w:sz w:val="24"/>
          <w:szCs w:val="24"/>
          <w:highlight w:val="none"/>
        </w:rPr>
        <w:t>必须平等、不得强加于人；</w:t>
      </w:r>
    </w:p>
    <w:p w14:paraId="5D5ED58F">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.4.6 </w:t>
      </w:r>
      <w:r>
        <w:rPr>
          <w:rFonts w:hint="eastAsia" w:ascii="宋体" w:hAnsi="宋体"/>
          <w:color w:val="auto"/>
          <w:sz w:val="24"/>
          <w:szCs w:val="24"/>
          <w:highlight w:val="none"/>
        </w:rPr>
        <w:t>必须严谨、不得随意马虎。</w:t>
      </w:r>
    </w:p>
    <w:p w14:paraId="1A33B06F">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r>
        <w:rPr>
          <w:rFonts w:hint="eastAsia" w:ascii="宋体" w:hAnsi="宋体"/>
          <w:color w:val="auto"/>
          <w:sz w:val="24"/>
          <w:szCs w:val="24"/>
          <w:highlight w:val="none"/>
          <w:u w:val="single"/>
        </w:rPr>
        <w:t>评标委员会在开始评标前，应了解评标专家的职责及守则，认真阅读《评标委员会成员声明》的内容并签名，签字后方可进行评标。</w:t>
      </w:r>
    </w:p>
    <w:p w14:paraId="4C0451DD">
      <w:pPr>
        <w:spacing w:line="360" w:lineRule="auto"/>
        <w:ind w:firstLine="480" w:firstLineChars="200"/>
        <w:rPr>
          <w:rFonts w:hint="eastAsia" w:ascii="宋体" w:hAnsi="宋体"/>
          <w:color w:val="auto"/>
          <w:sz w:val="24"/>
          <w:highlight w:val="none"/>
        </w:rPr>
      </w:pPr>
      <w:r>
        <w:rPr>
          <w:rFonts w:hint="eastAsia" w:ascii="宋体" w:hAnsi="宋体"/>
          <w:color w:val="auto"/>
          <w:sz w:val="24"/>
          <w:szCs w:val="24"/>
          <w:highlight w:val="none"/>
        </w:rPr>
        <w:t>37.5</w:t>
      </w:r>
      <w:r>
        <w:rPr>
          <w:rFonts w:hint="eastAsia" w:ascii="宋体" w:hAnsi="宋体"/>
          <w:color w:val="auto"/>
          <w:sz w:val="24"/>
          <w:highlight w:val="none"/>
        </w:rPr>
        <w:t>评标委员会按照第二章“开标、评标及定标办法”规定的方法、评审因素、标准和程序对投标文件进行评审。第三章“开标、评标及定标办法”没有规定的方法、评审因素和标准，不作为评标依据。</w:t>
      </w:r>
    </w:p>
    <w:p w14:paraId="5CC56652">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highlight w:val="none"/>
        </w:rPr>
        <w:t>37.6</w:t>
      </w:r>
      <w:r>
        <w:rPr>
          <w:rFonts w:hint="eastAsia" w:ascii="宋体" w:hAnsi="宋体"/>
          <w:color w:val="auto"/>
          <w:sz w:val="24"/>
          <w:szCs w:val="24"/>
          <w:highlight w:val="none"/>
        </w:rPr>
        <w:t>评标结束后，评标委员会递交评标报告并依法推荐中标候选人。</w:t>
      </w:r>
    </w:p>
    <w:p w14:paraId="1BF34C3B">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38．投标文件的澄清</w:t>
      </w:r>
    </w:p>
    <w:p w14:paraId="5FC0313F">
      <w:pPr>
        <w:spacing w:line="43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rPr>
        <w:t>38.1</w:t>
      </w:r>
      <w:r>
        <w:rPr>
          <w:rFonts w:hint="eastAsia" w:ascii="宋体" w:hAnsi="宋体"/>
          <w:color w:val="auto"/>
          <w:sz w:val="24"/>
          <w:szCs w:val="24"/>
          <w:highlight w:val="none"/>
        </w:rPr>
        <w:t>为有助于投标文件的审查、评价和比较，评标期间，经综合评标委员会</w:t>
      </w:r>
      <w:r>
        <w:rPr>
          <w:rFonts w:hint="eastAsia" w:ascii="宋体" w:hAnsi="宋体"/>
          <w:strike/>
          <w:color w:val="auto"/>
          <w:sz w:val="24"/>
          <w:szCs w:val="24"/>
          <w:highlight w:val="none"/>
        </w:rPr>
        <w:t>或评标委员会专业评审组</w:t>
      </w:r>
      <w:r>
        <w:rPr>
          <w:rFonts w:hint="eastAsia" w:ascii="宋体" w:hAnsi="宋体"/>
          <w:color w:val="auto"/>
          <w:sz w:val="24"/>
          <w:szCs w:val="24"/>
          <w:highlight w:val="none"/>
        </w:rPr>
        <w:t>中两人以上（含两人）以书面形式提出动议，综合评标委员会</w:t>
      </w:r>
      <w:r>
        <w:rPr>
          <w:rFonts w:hint="eastAsia" w:ascii="宋体" w:hAnsi="宋体"/>
          <w:strike/>
          <w:color w:val="auto"/>
          <w:sz w:val="24"/>
          <w:szCs w:val="24"/>
          <w:highlight w:val="none"/>
        </w:rPr>
        <w:t>或评标委员会专业评审组</w:t>
      </w:r>
      <w:r>
        <w:rPr>
          <w:rFonts w:hint="eastAsia" w:ascii="宋体" w:hAnsi="宋体"/>
          <w:color w:val="auto"/>
          <w:sz w:val="24"/>
          <w:szCs w:val="24"/>
          <w:highlight w:val="none"/>
        </w:rPr>
        <w:t>应当书面发出澄清通知，要求投标人对投标文件含义不明确、对同类问题表述不一致，有明显格式或文字、计算错误的内容作出澄清。</w:t>
      </w:r>
    </w:p>
    <w:p w14:paraId="6B2E3878">
      <w:pPr>
        <w:spacing w:line="43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673933BA">
      <w:pPr>
        <w:spacing w:line="43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14:paraId="18824236">
      <w:pPr>
        <w:spacing w:line="43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14:paraId="5832CAB6">
      <w:pPr>
        <w:spacing w:line="43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依法重新招标。</w:t>
      </w:r>
    </w:p>
    <w:p w14:paraId="2F9791B1">
      <w:pPr>
        <w:spacing w:line="43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14:paraId="64BD0A84">
      <w:pPr>
        <w:spacing w:line="43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39.1 </w:t>
      </w:r>
      <w:r>
        <w:rPr>
          <w:rFonts w:hint="eastAsia" w:ascii="宋体" w:hAnsi="宋体"/>
          <w:color w:val="auto"/>
          <w:sz w:val="24"/>
          <w:szCs w:val="24"/>
          <w:highlight w:val="none"/>
        </w:rPr>
        <w:t>招标人根据评标委员会递交的评标报告，最终审定中标人。</w:t>
      </w:r>
    </w:p>
    <w:p w14:paraId="43495447">
      <w:pPr>
        <w:spacing w:line="43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w:t>
      </w:r>
      <w:r>
        <w:rPr>
          <w:rFonts w:hint="eastAsia" w:ascii="宋体" w:hAnsi="宋体"/>
          <w:strike/>
          <w:color w:val="auto"/>
          <w:sz w:val="24"/>
          <w:szCs w:val="24"/>
          <w:highlight w:val="none"/>
        </w:rPr>
        <w:t>采用评定分离方式确定中标人的从其规定。</w:t>
      </w:r>
      <w:r>
        <w:rPr>
          <w:rFonts w:hint="eastAsia" w:ascii="宋体" w:hAnsi="宋体"/>
          <w:color w:val="auto"/>
          <w:sz w:val="24"/>
          <w:szCs w:val="24"/>
          <w:highlight w:val="none"/>
        </w:rPr>
        <w:t>若发现委派的项目负责人已在其他在建项目中任职项目负责人的，不符合任职数量规定时，招标人可以确定排名第二的中标候选人为中标人。</w:t>
      </w:r>
    </w:p>
    <w:p w14:paraId="6F32F7F7">
      <w:pPr>
        <w:spacing w:line="43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rPr>
        <w:t>39.3</w:t>
      </w:r>
      <w:r>
        <w:rPr>
          <w:rFonts w:hint="eastAsia" w:ascii="宋体" w:hAnsi="宋体"/>
          <w:color w:val="auto"/>
          <w:sz w:val="24"/>
          <w:szCs w:val="24"/>
          <w:highlight w:val="none"/>
        </w:rPr>
        <w:t>排名第一的中标候选人放弃中标、或因不可抗力提出不能履行合同，或者招标文件规定应当提交履约担保而在规定的期限内未能提交的，或经核查发现委派的项目负责人已在其他在建项目中任职，不符合任职数量规定时，招标人可以确定排名第二的中标候选人为中标人。</w:t>
      </w:r>
    </w:p>
    <w:p w14:paraId="115FA636">
      <w:pPr>
        <w:spacing w:line="43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rPr>
        <w:t>39.4</w:t>
      </w:r>
      <w:r>
        <w:rPr>
          <w:rFonts w:hint="eastAsia" w:ascii="宋体" w:hAnsi="宋体"/>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14:paraId="1D781340">
      <w:pPr>
        <w:spacing w:line="43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14:paraId="2287497B">
      <w:pPr>
        <w:spacing w:line="43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39.6有效投标不足3个的，评标委员会应当对投标是否明显缺乏竞争和是否需要否决全部投标进行充分论证，并在评标报告中记载论证过程和结果。</w:t>
      </w:r>
    </w:p>
    <w:p w14:paraId="3B1AB53F">
      <w:pPr>
        <w:pStyle w:val="20"/>
        <w:spacing w:line="430" w:lineRule="exact"/>
        <w:rPr>
          <w:rFonts w:hint="eastAsia" w:hAnsi="宋体"/>
          <w:strike/>
          <w:color w:val="auto"/>
          <w:sz w:val="24"/>
          <w:szCs w:val="24"/>
          <w:highlight w:val="none"/>
        </w:rPr>
      </w:pPr>
      <w:r>
        <w:rPr>
          <w:rFonts w:hint="eastAsia" w:hAnsi="宋体"/>
          <w:strike/>
          <w:color w:val="auto"/>
          <w:sz w:val="24"/>
          <w:szCs w:val="24"/>
          <w:highlight w:val="none"/>
        </w:rPr>
        <w:t xml:space="preserve"> </w:t>
      </w:r>
      <w:r>
        <w:rPr>
          <w:rFonts w:hint="eastAsia" w:ascii="楷体" w:hAnsi="楷体" w:eastAsia="楷体" w:cs="楷体"/>
          <w:strike/>
          <w:color w:val="auto"/>
          <w:sz w:val="24"/>
          <w:szCs w:val="24"/>
          <w:highlight w:val="none"/>
        </w:rPr>
        <w:t>注：采用评定分离方式的，招标人应在招标文件中明确定标方式。</w:t>
      </w:r>
    </w:p>
    <w:p w14:paraId="0AA80942">
      <w:pPr>
        <w:rPr>
          <w:color w:val="auto"/>
          <w:highlight w:val="none"/>
        </w:rPr>
      </w:pPr>
    </w:p>
    <w:p w14:paraId="6B77D482">
      <w:pPr>
        <w:pStyle w:val="20"/>
        <w:jc w:val="center"/>
        <w:rPr>
          <w:rStyle w:val="46"/>
          <w:rFonts w:hint="eastAsia"/>
          <w:b/>
          <w:color w:val="auto"/>
          <w:sz w:val="28"/>
          <w:szCs w:val="28"/>
          <w:highlight w:val="none"/>
        </w:rPr>
      </w:pPr>
      <w:bookmarkStart w:id="53" w:name="_Toc31469"/>
      <w:bookmarkStart w:id="54" w:name="_Toc21525502"/>
      <w:bookmarkStart w:id="55" w:name="_Toc2272558"/>
      <w:bookmarkStart w:id="56" w:name="_Toc16793"/>
      <w:r>
        <w:rPr>
          <w:rStyle w:val="46"/>
          <w:rFonts w:hint="eastAsia"/>
          <w:b/>
          <w:bCs/>
          <w:color w:val="auto"/>
          <w:sz w:val="28"/>
          <w:szCs w:val="28"/>
          <w:highlight w:val="none"/>
        </w:rPr>
        <w:t>（二）开标评标办法程序和细则</w:t>
      </w:r>
      <w:bookmarkEnd w:id="53"/>
      <w:bookmarkEnd w:id="54"/>
      <w:bookmarkEnd w:id="55"/>
      <w:bookmarkStart w:id="57" w:name="_Toc7116"/>
    </w:p>
    <w:bookmarkEnd w:id="56"/>
    <w:p w14:paraId="45E53BA4">
      <w:pPr>
        <w:spacing w:before="156" w:after="156"/>
        <w:ind w:firstLine="482" w:firstLineChars="200"/>
        <w:rPr>
          <w:b/>
          <w:bCs/>
          <w:color w:val="auto"/>
          <w:sz w:val="24"/>
          <w:szCs w:val="24"/>
          <w:highlight w:val="none"/>
        </w:rPr>
      </w:pPr>
      <w:bookmarkStart w:id="58" w:name="_Toc9750"/>
      <w:bookmarkStart w:id="59" w:name="_Toc2272564"/>
      <w:bookmarkStart w:id="60" w:name="_Toc31005"/>
      <w:bookmarkStart w:id="61" w:name="_Toc2272563"/>
      <w:r>
        <w:rPr>
          <w:rFonts w:hint="eastAsia"/>
          <w:b/>
          <w:bCs/>
          <w:color w:val="auto"/>
          <w:sz w:val="24"/>
          <w:szCs w:val="24"/>
          <w:highlight w:val="none"/>
        </w:rPr>
        <w:t>可选办法七（适合综合评分法四，技术标与经济标同时开启）</w:t>
      </w:r>
      <w:bookmarkEnd w:id="58"/>
      <w:bookmarkEnd w:id="59"/>
    </w:p>
    <w:p w14:paraId="35250EF7">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40．开标和评标程序</w:t>
      </w:r>
    </w:p>
    <w:p w14:paraId="0CEF0052">
      <w:pPr>
        <w:snapToGrid w:val="0"/>
        <w:spacing w:line="360" w:lineRule="auto"/>
        <w:ind w:firstLine="480" w:firstLineChars="200"/>
        <w:rPr>
          <w:rFonts w:hint="eastAsia" w:ascii="宋体"/>
          <w:color w:val="auto"/>
          <w:sz w:val="24"/>
          <w:szCs w:val="24"/>
          <w:highlight w:val="none"/>
          <w:lang w:eastAsia="zh-CN"/>
        </w:rPr>
      </w:pPr>
      <w:r>
        <w:rPr>
          <w:rFonts w:hint="eastAsia" w:ascii="宋体"/>
          <w:color w:val="auto"/>
          <w:sz w:val="24"/>
          <w:szCs w:val="24"/>
          <w:highlight w:val="none"/>
        </w:rPr>
        <w:t>40.1</w:t>
      </w:r>
      <w:r>
        <w:rPr>
          <w:rFonts w:hint="eastAsia" w:ascii="宋体"/>
          <w:color w:val="auto"/>
          <w:sz w:val="24"/>
          <w:szCs w:val="24"/>
          <w:highlight w:val="none"/>
          <w:lang w:eastAsia="zh-CN"/>
        </w:rPr>
        <w:t>投标人递交技术标、经济标投标文件；</w:t>
      </w:r>
    </w:p>
    <w:p w14:paraId="49953A50">
      <w:pPr>
        <w:snapToGrid w:val="0"/>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40.2</w:t>
      </w:r>
      <w:r>
        <w:rPr>
          <w:rFonts w:hint="eastAsia" w:ascii="宋体"/>
          <w:color w:val="auto"/>
          <w:sz w:val="24"/>
          <w:szCs w:val="24"/>
          <w:highlight w:val="none"/>
        </w:rPr>
        <w:t>技术标（含资格审查文件）与经济标投标文件同时公开开标；</w:t>
      </w:r>
    </w:p>
    <w:p w14:paraId="4A41FA2B">
      <w:pPr>
        <w:snapToGrid w:val="0"/>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lang w:val="en-US" w:eastAsia="zh-CN"/>
        </w:rPr>
        <w:t>40.3</w:t>
      </w:r>
      <w:r>
        <w:rPr>
          <w:rFonts w:hint="eastAsia" w:ascii="宋体" w:hAnsi="宋体"/>
          <w:color w:val="auto"/>
          <w:sz w:val="24"/>
          <w:szCs w:val="24"/>
          <w:highlight w:val="none"/>
          <w:lang w:eastAsia="zh-CN"/>
        </w:rPr>
        <w:t>由招标人随机抽取确定该工程计算评标参考价的等分点值</w:t>
      </w:r>
      <w:r>
        <w:rPr>
          <w:rFonts w:hint="eastAsia" w:ascii="宋体" w:hAnsi="宋体"/>
          <w:color w:val="auto"/>
          <w:sz w:val="24"/>
          <w:szCs w:val="24"/>
          <w:highlight w:val="none"/>
          <w:lang w:val="en-US" w:eastAsia="zh-CN"/>
        </w:rPr>
        <w:t>X（适用于区间抽取法）；</w:t>
      </w:r>
    </w:p>
    <w:p w14:paraId="084EFBE0">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w:t>
      </w:r>
      <w:r>
        <w:rPr>
          <w:rFonts w:hint="eastAsia" w:ascii="宋体"/>
          <w:color w:val="auto"/>
          <w:sz w:val="24"/>
          <w:szCs w:val="24"/>
          <w:highlight w:val="none"/>
          <w:lang w:val="en-US" w:eastAsia="zh-CN"/>
        </w:rPr>
        <w:t>4</w:t>
      </w:r>
      <w:r>
        <w:rPr>
          <w:rFonts w:hint="eastAsia" w:ascii="宋体"/>
          <w:color w:val="auto"/>
          <w:sz w:val="24"/>
          <w:szCs w:val="24"/>
          <w:highlight w:val="none"/>
        </w:rPr>
        <w:t>由评标委员会对所有已公开开标的投标人进行资格审查；</w:t>
      </w:r>
    </w:p>
    <w:p w14:paraId="5DD42F3B">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w:t>
      </w:r>
      <w:r>
        <w:rPr>
          <w:rFonts w:hint="eastAsia" w:ascii="宋体"/>
          <w:color w:val="auto"/>
          <w:sz w:val="24"/>
          <w:szCs w:val="24"/>
          <w:highlight w:val="none"/>
          <w:lang w:val="en-US" w:eastAsia="zh-CN"/>
        </w:rPr>
        <w:t>5</w:t>
      </w:r>
      <w:r>
        <w:rPr>
          <w:rFonts w:hint="eastAsia" w:ascii="宋体"/>
          <w:color w:val="auto"/>
          <w:sz w:val="24"/>
          <w:szCs w:val="24"/>
          <w:highlight w:val="none"/>
        </w:rPr>
        <w:t>技术标投标文件有效性审查；</w:t>
      </w:r>
    </w:p>
    <w:p w14:paraId="0ED388A7">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w:t>
      </w:r>
      <w:r>
        <w:rPr>
          <w:rFonts w:hint="eastAsia" w:ascii="宋体"/>
          <w:color w:val="auto"/>
          <w:sz w:val="24"/>
          <w:szCs w:val="24"/>
          <w:highlight w:val="none"/>
          <w:lang w:val="en-US" w:eastAsia="zh-CN"/>
        </w:rPr>
        <w:t>6</w:t>
      </w:r>
      <w:r>
        <w:rPr>
          <w:rFonts w:hint="eastAsia" w:ascii="宋体"/>
          <w:color w:val="auto"/>
          <w:sz w:val="24"/>
          <w:szCs w:val="24"/>
          <w:highlight w:val="none"/>
        </w:rPr>
        <w:t>技术标详细审查评分；</w:t>
      </w:r>
    </w:p>
    <w:p w14:paraId="6B9EB493">
      <w:pPr>
        <w:snapToGrid w:val="0"/>
        <w:spacing w:line="360" w:lineRule="auto"/>
        <w:ind w:firstLine="480" w:firstLineChars="200"/>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40.7经济标的算术校核；</w:t>
      </w:r>
    </w:p>
    <w:p w14:paraId="06441804">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w:t>
      </w:r>
      <w:r>
        <w:rPr>
          <w:rFonts w:hint="eastAsia" w:ascii="宋体"/>
          <w:color w:val="auto"/>
          <w:sz w:val="24"/>
          <w:szCs w:val="24"/>
          <w:highlight w:val="none"/>
          <w:lang w:val="en-US" w:eastAsia="zh-CN"/>
        </w:rPr>
        <w:t>8</w:t>
      </w:r>
      <w:r>
        <w:rPr>
          <w:rFonts w:hint="eastAsia" w:ascii="宋体"/>
          <w:color w:val="auto"/>
          <w:sz w:val="24"/>
          <w:szCs w:val="24"/>
          <w:highlight w:val="none"/>
        </w:rPr>
        <w:t>经济标详细审查评分；</w:t>
      </w:r>
      <w:r>
        <w:rPr>
          <w:rFonts w:ascii="宋体"/>
          <w:color w:val="auto"/>
          <w:sz w:val="24"/>
          <w:szCs w:val="24"/>
          <w:highlight w:val="none"/>
        </w:rPr>
        <w:t xml:space="preserve"> </w:t>
      </w:r>
    </w:p>
    <w:p w14:paraId="2DF5D8C0">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w:t>
      </w:r>
      <w:r>
        <w:rPr>
          <w:rFonts w:hint="eastAsia" w:ascii="宋体"/>
          <w:color w:val="auto"/>
          <w:sz w:val="24"/>
          <w:szCs w:val="24"/>
          <w:highlight w:val="none"/>
          <w:lang w:val="en-US" w:eastAsia="zh-CN"/>
        </w:rPr>
        <w:t>9</w:t>
      </w:r>
      <w:r>
        <w:rPr>
          <w:rFonts w:hint="eastAsia" w:ascii="宋体"/>
          <w:color w:val="auto"/>
          <w:sz w:val="24"/>
          <w:szCs w:val="24"/>
          <w:highlight w:val="none"/>
        </w:rPr>
        <w:t>评标委员会按照投标人总得分由高至低排序；</w:t>
      </w:r>
    </w:p>
    <w:p w14:paraId="45A081C8">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w:t>
      </w:r>
      <w:r>
        <w:rPr>
          <w:rFonts w:hint="eastAsia" w:ascii="宋体"/>
          <w:color w:val="auto"/>
          <w:sz w:val="24"/>
          <w:szCs w:val="24"/>
          <w:highlight w:val="none"/>
          <w:lang w:val="en-US" w:eastAsia="zh-CN"/>
        </w:rPr>
        <w:t>10</w:t>
      </w:r>
      <w:r>
        <w:rPr>
          <w:rFonts w:hint="eastAsia" w:ascii="宋体"/>
          <w:color w:val="auto"/>
          <w:sz w:val="24"/>
          <w:szCs w:val="24"/>
          <w:highlight w:val="none"/>
        </w:rPr>
        <w:t>经济标投标文件有效性审查；</w:t>
      </w:r>
    </w:p>
    <w:p w14:paraId="4E63EA6F">
      <w:pPr>
        <w:snapToGrid w:val="0"/>
        <w:spacing w:line="360" w:lineRule="auto"/>
        <w:ind w:firstLine="480" w:firstLineChars="200"/>
        <w:rPr>
          <w:rFonts w:ascii="宋体"/>
          <w:color w:val="auto"/>
          <w:szCs w:val="21"/>
          <w:highlight w:val="none"/>
        </w:rPr>
      </w:pPr>
      <w:r>
        <w:rPr>
          <w:rFonts w:hint="eastAsia" w:ascii="宋体"/>
          <w:color w:val="auto"/>
          <w:sz w:val="24"/>
          <w:szCs w:val="24"/>
          <w:highlight w:val="none"/>
        </w:rPr>
        <w:t>40.</w:t>
      </w:r>
      <w:r>
        <w:rPr>
          <w:rFonts w:hint="eastAsia" w:ascii="宋体"/>
          <w:color w:val="auto"/>
          <w:sz w:val="24"/>
          <w:szCs w:val="24"/>
          <w:highlight w:val="none"/>
          <w:lang w:val="en-US" w:eastAsia="zh-CN"/>
        </w:rPr>
        <w:t>11</w:t>
      </w:r>
      <w:r>
        <w:rPr>
          <w:rFonts w:hint="eastAsia" w:ascii="宋体"/>
          <w:color w:val="auto"/>
          <w:sz w:val="24"/>
          <w:szCs w:val="24"/>
          <w:highlight w:val="none"/>
        </w:rPr>
        <w:t>评标委员会按排序向招标人推荐中标候选人名单，并递交资格审查报告及评标报告。</w:t>
      </w:r>
    </w:p>
    <w:p w14:paraId="3FCFE219">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41．开标细则</w:t>
      </w:r>
    </w:p>
    <w:p w14:paraId="4BEA8269">
      <w:pPr>
        <w:snapToGrid w:val="0"/>
        <w:spacing w:line="360" w:lineRule="auto"/>
        <w:ind w:firstLine="480" w:firstLineChars="200"/>
        <w:rPr>
          <w:rFonts w:hint="eastAsia" w:ascii="宋体" w:eastAsia="宋体"/>
          <w:color w:val="auto"/>
          <w:sz w:val="24"/>
          <w:szCs w:val="24"/>
          <w:highlight w:val="none"/>
          <w:lang w:eastAsia="zh-CN"/>
        </w:rPr>
      </w:pPr>
      <w:r>
        <w:rPr>
          <w:rFonts w:hint="eastAsia" w:ascii="宋体"/>
          <w:color w:val="auto"/>
          <w:sz w:val="24"/>
          <w:szCs w:val="24"/>
          <w:highlight w:val="none"/>
        </w:rPr>
        <w:t>41.1开标由</w:t>
      </w:r>
      <w:r>
        <w:rPr>
          <w:rFonts w:hint="eastAsia" w:ascii="宋体" w:hAnsi="宋体" w:cs="宋体"/>
          <w:b/>
          <w:bCs/>
          <w:color w:val="auto"/>
          <w:sz w:val="24"/>
          <w:szCs w:val="24"/>
          <w:highlight w:val="none"/>
          <w:u w:val="single"/>
        </w:rPr>
        <w:t>招标人或招标代理</w:t>
      </w:r>
      <w:r>
        <w:rPr>
          <w:rFonts w:hint="eastAsia" w:ascii="宋体"/>
          <w:color w:val="auto"/>
          <w:sz w:val="24"/>
          <w:szCs w:val="24"/>
          <w:highlight w:val="none"/>
        </w:rPr>
        <w:t>主持</w:t>
      </w:r>
      <w:r>
        <w:rPr>
          <w:rFonts w:hint="eastAsia" w:ascii="宋体"/>
          <w:color w:val="auto"/>
          <w:sz w:val="24"/>
          <w:szCs w:val="24"/>
          <w:highlight w:val="none"/>
          <w:lang w:eastAsia="zh-CN"/>
        </w:rPr>
        <w:t>。</w:t>
      </w:r>
    </w:p>
    <w:p w14:paraId="546194A3">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 细则</w:t>
      </w:r>
    </w:p>
    <w:p w14:paraId="12643880">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41.2.1投标截止期前，各投标人递交投标文件（包括技术标投标文件、经济标投标文件）至</w:t>
      </w:r>
      <w:r>
        <w:rPr>
          <w:rFonts w:hint="eastAsia" w:ascii="宋体" w:hAnsi="宋体" w:cs="宋体"/>
          <w:b/>
          <w:bCs/>
          <w:color w:val="auto"/>
          <w:sz w:val="24"/>
          <w:szCs w:val="24"/>
          <w:highlight w:val="none"/>
          <w:u w:val="single"/>
          <w:lang w:eastAsia="zh-CN"/>
        </w:rPr>
        <w:t>广州交易集团有限公司（广州公共资源交易中心）</w:t>
      </w:r>
      <w:r>
        <w:rPr>
          <w:rFonts w:hint="eastAsia" w:ascii="宋体"/>
          <w:color w:val="auto"/>
          <w:sz w:val="24"/>
          <w:szCs w:val="24"/>
          <w:highlight w:val="none"/>
        </w:rPr>
        <w:t xml:space="preserve">交易平台。有关投标文件提交的事项详见第一章投标须知。 </w:t>
      </w:r>
    </w:p>
    <w:p w14:paraId="4F50C4DD">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41.2.2</w:t>
      </w:r>
      <w:r>
        <w:rPr>
          <w:rFonts w:hint="eastAsia" w:ascii="宋体" w:hAnsi="宋体"/>
          <w:color w:val="auto"/>
          <w:sz w:val="24"/>
          <w:szCs w:val="24"/>
          <w:highlight w:val="non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56082EAF">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w:t>
      </w:r>
      <w:r>
        <w:rPr>
          <w:rFonts w:hint="eastAsia" w:ascii="宋体"/>
          <w:color w:val="auto"/>
          <w:sz w:val="24"/>
          <w:szCs w:val="24"/>
          <w:highlight w:val="none"/>
          <w:lang w:val="en-US" w:eastAsia="zh-CN"/>
        </w:rPr>
        <w:t>3</w:t>
      </w:r>
      <w:r>
        <w:rPr>
          <w:rFonts w:hint="eastAsia" w:ascii="宋体"/>
          <w:color w:val="auto"/>
          <w:sz w:val="24"/>
          <w:szCs w:val="24"/>
          <w:highlight w:val="none"/>
        </w:rPr>
        <w:t xml:space="preserve">按36.5.1的规定完成解密后，公布下列内容，并予以记录，记录提交评标委员会评审： </w:t>
      </w:r>
    </w:p>
    <w:p w14:paraId="50D07A1B">
      <w:pPr>
        <w:snapToGrid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41.2.</w:t>
      </w:r>
      <w:r>
        <w:rPr>
          <w:rFonts w:hint="eastAsia" w:ascii="宋体"/>
          <w:color w:val="auto"/>
          <w:sz w:val="24"/>
          <w:szCs w:val="24"/>
          <w:highlight w:val="none"/>
          <w:lang w:val="en-US" w:eastAsia="zh-CN"/>
        </w:rPr>
        <w:t>3</w:t>
      </w:r>
      <w:r>
        <w:rPr>
          <w:rFonts w:hint="eastAsia" w:ascii="宋体"/>
          <w:color w:val="auto"/>
          <w:sz w:val="24"/>
          <w:szCs w:val="24"/>
          <w:highlight w:val="none"/>
        </w:rPr>
        <w:t>.1开标时，公布：</w:t>
      </w:r>
      <w:r>
        <w:rPr>
          <w:rFonts w:hint="eastAsia" w:ascii="宋体" w:hAnsi="宋体"/>
          <w:color w:val="auto"/>
          <w:sz w:val="24"/>
          <w:szCs w:val="24"/>
          <w:highlight w:val="none"/>
        </w:rPr>
        <w:t>a、投标人名称；</w:t>
      </w:r>
      <w:r>
        <w:rPr>
          <w:rFonts w:ascii="宋体" w:hAnsi="宋体"/>
          <w:color w:val="auto"/>
          <w:sz w:val="24"/>
          <w:szCs w:val="24"/>
          <w:highlight w:val="none"/>
        </w:rPr>
        <w:t>b</w:t>
      </w:r>
      <w:r>
        <w:rPr>
          <w:rFonts w:hint="eastAsia" w:ascii="宋体" w:hAnsi="宋体"/>
          <w:color w:val="auto"/>
          <w:sz w:val="24"/>
          <w:szCs w:val="24"/>
          <w:highlight w:val="none"/>
        </w:rPr>
        <w:t>、</w:t>
      </w:r>
      <w:r>
        <w:rPr>
          <w:rFonts w:hint="eastAsia" w:ascii="宋体" w:hAnsi="宋体"/>
          <w:color w:val="auto"/>
          <w:sz w:val="24"/>
          <w:szCs w:val="24"/>
          <w:highlight w:val="none"/>
          <w:lang w:eastAsia="zh-CN"/>
        </w:rPr>
        <w:t>投标文件递交情况</w:t>
      </w:r>
      <w:r>
        <w:rPr>
          <w:rFonts w:ascii="宋体" w:hAnsi="宋体"/>
          <w:color w:val="auto"/>
          <w:sz w:val="24"/>
          <w:szCs w:val="24"/>
          <w:highlight w:val="none"/>
        </w:rPr>
        <w:t>c</w:t>
      </w:r>
      <w:r>
        <w:rPr>
          <w:rFonts w:hint="eastAsia" w:ascii="宋体" w:hAnsi="宋体"/>
          <w:color w:val="auto"/>
          <w:sz w:val="24"/>
          <w:szCs w:val="24"/>
          <w:highlight w:val="none"/>
        </w:rPr>
        <w:t>、</w:t>
      </w:r>
      <w:r>
        <w:rPr>
          <w:rFonts w:hint="eastAsia" w:ascii="宋体" w:hAnsi="宋体"/>
          <w:color w:val="auto"/>
          <w:sz w:val="24"/>
          <w:highlight w:val="none"/>
        </w:rPr>
        <w:t>投标文件</w:t>
      </w:r>
      <w:r>
        <w:rPr>
          <w:rFonts w:hint="eastAsia" w:ascii="宋体" w:hAnsi="宋体"/>
          <w:color w:val="auto"/>
          <w:sz w:val="24"/>
          <w:highlight w:val="none"/>
          <w:lang w:eastAsia="zh-CN"/>
        </w:rPr>
        <w:t>解</w:t>
      </w:r>
      <w:r>
        <w:rPr>
          <w:rFonts w:hint="eastAsia" w:ascii="宋体" w:hAnsi="宋体"/>
          <w:color w:val="auto"/>
          <w:sz w:val="24"/>
          <w:szCs w:val="24"/>
          <w:highlight w:val="none"/>
        </w:rPr>
        <w:t>密情况；</w:t>
      </w:r>
      <w:r>
        <w:rPr>
          <w:rFonts w:ascii="宋体" w:hAnsi="宋体"/>
          <w:color w:val="auto"/>
          <w:sz w:val="24"/>
          <w:szCs w:val="24"/>
          <w:highlight w:val="none"/>
        </w:rPr>
        <w:t>d</w:t>
      </w:r>
      <w:r>
        <w:rPr>
          <w:rFonts w:hint="eastAsia" w:ascii="宋体" w:hAnsi="宋体"/>
          <w:color w:val="auto"/>
          <w:sz w:val="24"/>
          <w:szCs w:val="24"/>
          <w:highlight w:val="none"/>
        </w:rPr>
        <w:t>、法定代表人证明及授权委托；</w:t>
      </w:r>
      <w:r>
        <w:rPr>
          <w:rFonts w:ascii="宋体" w:hAnsi="宋体"/>
          <w:strike/>
          <w:dstrike w:val="0"/>
          <w:color w:val="auto"/>
          <w:sz w:val="24"/>
          <w:szCs w:val="24"/>
          <w:highlight w:val="none"/>
        </w:rPr>
        <w:t>e</w:t>
      </w:r>
      <w:r>
        <w:rPr>
          <w:rFonts w:hint="eastAsia" w:ascii="宋体" w:hAnsi="宋体"/>
          <w:strike/>
          <w:dstrike w:val="0"/>
          <w:color w:val="auto"/>
          <w:sz w:val="24"/>
          <w:szCs w:val="24"/>
          <w:highlight w:val="none"/>
        </w:rPr>
        <w:t>、投标保证金；</w:t>
      </w:r>
      <w:r>
        <w:rPr>
          <w:rFonts w:hint="eastAsia" w:ascii="宋体" w:hAnsi="宋体"/>
          <w:color w:val="auto"/>
          <w:sz w:val="24"/>
          <w:szCs w:val="24"/>
          <w:highlight w:val="none"/>
          <w:lang w:val="en-US" w:eastAsia="zh-CN"/>
        </w:rPr>
        <w:t>f、</w:t>
      </w:r>
      <w:r>
        <w:rPr>
          <w:rFonts w:hint="eastAsia" w:ascii="宋体" w:hAnsi="宋体"/>
          <w:color w:val="auto"/>
          <w:sz w:val="24"/>
          <w:szCs w:val="24"/>
          <w:highlight w:val="none"/>
        </w:rPr>
        <w:t>项目经理（负责人）名称；</w:t>
      </w:r>
      <w:r>
        <w:rPr>
          <w:rFonts w:ascii="宋体" w:hAnsi="宋体"/>
          <w:color w:val="auto"/>
          <w:sz w:val="24"/>
          <w:szCs w:val="24"/>
          <w:highlight w:val="none"/>
        </w:rPr>
        <w:t>f</w:t>
      </w:r>
      <w:r>
        <w:rPr>
          <w:rFonts w:hint="eastAsia" w:ascii="宋体" w:hAnsi="宋体"/>
          <w:color w:val="auto"/>
          <w:sz w:val="24"/>
          <w:szCs w:val="24"/>
          <w:highlight w:val="none"/>
        </w:rPr>
        <w:t>、投标报价等</w:t>
      </w:r>
      <w:r>
        <w:rPr>
          <w:rFonts w:hint="eastAsia" w:ascii="宋体"/>
          <w:color w:val="auto"/>
          <w:sz w:val="24"/>
          <w:szCs w:val="24"/>
          <w:highlight w:val="none"/>
        </w:rPr>
        <w:t>主要内容及开标记录表中的其他必要内容。投标报价以数字和文字两种方式表述的，应公布文字表述的投标报价。</w:t>
      </w:r>
    </w:p>
    <w:p w14:paraId="4DFAA66F">
      <w:pPr>
        <w:snapToGrid w:val="0"/>
        <w:spacing w:line="360" w:lineRule="auto"/>
        <w:ind w:firstLine="480" w:firstLineChars="200"/>
        <w:rPr>
          <w:rFonts w:hint="eastAsia" w:ascii="宋体" w:eastAsia="宋体"/>
          <w:color w:val="auto"/>
          <w:sz w:val="24"/>
          <w:szCs w:val="24"/>
          <w:highlight w:val="none"/>
          <w:lang w:val="en-US" w:eastAsia="zh-CN"/>
        </w:rPr>
      </w:pPr>
      <w:r>
        <w:rPr>
          <w:rFonts w:hint="eastAsia" w:ascii="宋体"/>
          <w:color w:val="auto"/>
          <w:sz w:val="24"/>
          <w:szCs w:val="24"/>
          <w:highlight w:val="none"/>
          <w:lang w:val="en-US" w:eastAsia="zh-CN"/>
        </w:rPr>
        <w:t>41.2.3.2</w:t>
      </w:r>
      <w:r>
        <w:rPr>
          <w:rFonts w:hint="eastAsia" w:ascii="宋体"/>
          <w:color w:val="auto"/>
          <w:sz w:val="24"/>
          <w:szCs w:val="24"/>
          <w:highlight w:val="none"/>
        </w:rPr>
        <w:t>由招标人随机抽取确定该工程计算评标参考价的等分点值X</w:t>
      </w:r>
      <w:r>
        <w:rPr>
          <w:rFonts w:hint="eastAsia" w:ascii="宋体"/>
          <w:color w:val="auto"/>
          <w:sz w:val="24"/>
          <w:szCs w:val="24"/>
          <w:highlight w:val="none"/>
          <w:lang w:eastAsia="zh-CN"/>
        </w:rPr>
        <w:t>。</w:t>
      </w:r>
    </w:p>
    <w:p w14:paraId="0B6837F2">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41.3招标人对开标过程进行记录，并存档备查。</w:t>
      </w:r>
    </w:p>
    <w:p w14:paraId="2DC8A4CA">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41.4 招标人将上述符合要求的投标文件，送至评标委员会进行评审。</w:t>
      </w:r>
    </w:p>
    <w:p w14:paraId="73601AE4">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 资格审查及评标细则</w:t>
      </w:r>
    </w:p>
    <w:p w14:paraId="27CF2E46">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42.1资格审查及评标均由招标人依法组建的评标委员会负责。</w:t>
      </w:r>
    </w:p>
    <w:p w14:paraId="44BDFC07">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42.2评标委员会的组成：方式</w:t>
      </w:r>
      <w:r>
        <w:rPr>
          <w:rFonts w:hint="eastAsia" w:ascii="宋体"/>
          <w:color w:val="auto"/>
          <w:sz w:val="24"/>
          <w:szCs w:val="24"/>
          <w:highlight w:val="none"/>
          <w:u w:val="single"/>
        </w:rPr>
        <w:t xml:space="preserve"> </w:t>
      </w:r>
      <w:r>
        <w:rPr>
          <w:rFonts w:hint="eastAsia" w:ascii="宋体"/>
          <w:color w:val="auto"/>
          <w:sz w:val="24"/>
          <w:szCs w:val="24"/>
          <w:highlight w:val="none"/>
          <w:u w:val="single"/>
          <w:lang w:val="en-US" w:eastAsia="zh-CN"/>
        </w:rPr>
        <w:t>一</w:t>
      </w:r>
      <w:r>
        <w:rPr>
          <w:rFonts w:hint="eastAsia" w:ascii="宋体"/>
          <w:color w:val="auto"/>
          <w:sz w:val="24"/>
          <w:szCs w:val="24"/>
          <w:highlight w:val="none"/>
          <w:u w:val="single"/>
        </w:rPr>
        <w:t xml:space="preserve">  </w:t>
      </w:r>
      <w:r>
        <w:rPr>
          <w:rFonts w:hint="eastAsia" w:ascii="宋体"/>
          <w:color w:val="auto"/>
          <w:sz w:val="24"/>
          <w:szCs w:val="24"/>
          <w:highlight w:val="none"/>
        </w:rPr>
        <w:t>。</w:t>
      </w:r>
    </w:p>
    <w:p w14:paraId="109CAD66">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方式一：评标委员会为综合评标委员会，负责资格审查及评标工作。</w:t>
      </w:r>
    </w:p>
    <w:p w14:paraId="5D57AA0A">
      <w:pPr>
        <w:pStyle w:val="5"/>
        <w:tabs>
          <w:tab w:val="left" w:pos="7380"/>
        </w:tabs>
        <w:snapToGrid w:val="0"/>
        <w:spacing w:after="0" w:line="360" w:lineRule="auto"/>
        <w:rPr>
          <w:rFonts w:ascii="宋体"/>
          <w:strike/>
          <w:dstrike w:val="0"/>
          <w:color w:val="auto"/>
          <w:sz w:val="24"/>
          <w:szCs w:val="24"/>
          <w:highlight w:val="none"/>
        </w:rPr>
      </w:pPr>
      <w:r>
        <w:rPr>
          <w:rFonts w:hint="eastAsia" w:ascii="宋体"/>
          <w:strike/>
          <w:dstrike w:val="0"/>
          <w:color w:val="auto"/>
          <w:sz w:val="24"/>
          <w:szCs w:val="24"/>
          <w:highlight w:val="none"/>
        </w:rPr>
        <w:t>方式二：评标委员会由技术评审组和经济评审组组成。其中：资格审查及技术评审由技术评标组负责，经济评审由经济评审组负责。</w:t>
      </w:r>
    </w:p>
    <w:p w14:paraId="3E9DAA2B">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43．投标人资格审查</w:t>
      </w:r>
    </w:p>
    <w:p w14:paraId="32283F13">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42D69C6E">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43.2汇总资格审查情况，编写资格审查报告。</w:t>
      </w:r>
    </w:p>
    <w:p w14:paraId="325A80DE">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43.3资格审查不合格的投标文件不参加下一阶段的评标，不参与评标参考价的计算。</w:t>
      </w:r>
    </w:p>
    <w:p w14:paraId="755DD0AD">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20FC1A14">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43.5资审合格后，投标人的资格发生变化而不满足投标人合格条件，在发出中标通知书前，资格问题仍未解决的，招标人将取消其中标资格。</w:t>
      </w:r>
    </w:p>
    <w:p w14:paraId="35219987">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43.6资格审查合格的投标人少于3名的（当N个标段同时招标且不允许兼中时，资格审查合格的投标人少于N+2名），则本项目招标失败</w:t>
      </w:r>
      <w:r>
        <w:rPr>
          <w:rFonts w:hint="eastAsia" w:ascii="宋体"/>
          <w:color w:val="auto"/>
          <w:sz w:val="24"/>
          <w:szCs w:val="24"/>
          <w:highlight w:val="none"/>
          <w:lang w:eastAsia="zh-CN"/>
        </w:rPr>
        <w:t>，由招标人依法重新招标</w:t>
      </w:r>
      <w:r>
        <w:rPr>
          <w:rFonts w:hint="eastAsia" w:ascii="宋体"/>
          <w:color w:val="auto"/>
          <w:sz w:val="24"/>
          <w:szCs w:val="24"/>
          <w:highlight w:val="none"/>
        </w:rPr>
        <w:t>。</w:t>
      </w:r>
    </w:p>
    <w:p w14:paraId="1B09662C">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44．技术标评审</w:t>
      </w:r>
    </w:p>
    <w:p w14:paraId="3675720E">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44.1</w:t>
      </w:r>
      <w:r>
        <w:rPr>
          <w:rFonts w:hint="eastAsia" w:ascii="宋体" w:hAnsi="宋体"/>
          <w:color w:val="auto"/>
          <w:sz w:val="24"/>
          <w:szCs w:val="24"/>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w:t>
      </w:r>
      <w:r>
        <w:rPr>
          <w:rFonts w:hint="eastAsia" w:ascii="宋体" w:hAnsi="宋体"/>
          <w:color w:val="auto"/>
          <w:sz w:val="24"/>
          <w:szCs w:val="24"/>
          <w:highlight w:val="none"/>
          <w:lang w:eastAsia="zh-CN"/>
        </w:rPr>
        <w:t>本项目招标失败</w:t>
      </w:r>
      <w:r>
        <w:rPr>
          <w:rFonts w:hint="eastAsia" w:ascii="宋体" w:hAnsi="宋体"/>
          <w:color w:val="auto"/>
          <w:sz w:val="24"/>
          <w:szCs w:val="24"/>
          <w:highlight w:val="none"/>
        </w:rPr>
        <w:t>（当N个标段同时招标且不允许兼中时，通过技术标有效性审查投标人</w:t>
      </w:r>
      <w:r>
        <w:rPr>
          <w:rFonts w:hint="eastAsia" w:ascii="宋体" w:hAnsi="宋体"/>
          <w:color w:val="auto"/>
          <w:sz w:val="24"/>
          <w:szCs w:val="24"/>
          <w:highlight w:val="none"/>
          <w:lang w:eastAsia="zh-CN"/>
        </w:rPr>
        <w:t>应≥</w:t>
      </w:r>
      <w:r>
        <w:rPr>
          <w:rFonts w:hint="eastAsia" w:ascii="宋体" w:hAnsi="宋体"/>
          <w:color w:val="auto"/>
          <w:sz w:val="24"/>
          <w:szCs w:val="24"/>
          <w:highlight w:val="none"/>
        </w:rPr>
        <w:t>N+2）</w:t>
      </w:r>
      <w:r>
        <w:rPr>
          <w:rFonts w:hint="eastAsia" w:ascii="宋体"/>
          <w:color w:val="auto"/>
          <w:sz w:val="24"/>
          <w:szCs w:val="24"/>
          <w:highlight w:val="none"/>
          <w:lang w:eastAsia="zh-CN"/>
        </w:rPr>
        <w:t>，由招标人依法重新招标</w:t>
      </w:r>
      <w:r>
        <w:rPr>
          <w:rFonts w:hint="eastAsia" w:ascii="宋体" w:hAnsi="宋体"/>
          <w:color w:val="auto"/>
          <w:sz w:val="24"/>
          <w:szCs w:val="24"/>
          <w:highlight w:val="none"/>
        </w:rPr>
        <w:t>。评委发现投标文件中含义不明确、对同类问题表述不一致、有明显文字和计算错误的，应当要求投标人作必要的澄清、说明后再判定投标人是否通过有效性审查，不得直接否决投标。</w:t>
      </w:r>
    </w:p>
    <w:p w14:paraId="7A9C96CF">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14:paraId="5598635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经济标的算术校核。评标委员会对进行经济标有效性审查的投标文件投标报价按照就低不就高的原则进行算术校核，具体标准如下：</w:t>
      </w:r>
    </w:p>
    <w:p w14:paraId="145E8D4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45.</w:t>
      </w:r>
      <w:r>
        <w:rPr>
          <w:rFonts w:hint="eastAsia" w:ascii="宋体" w:hAnsi="宋体"/>
          <w:color w:val="auto"/>
          <w:sz w:val="24"/>
          <w:szCs w:val="24"/>
          <w:highlight w:val="none"/>
        </w:rPr>
        <w:t>1如果数字表示的金额和用文字表示的金额不一致时，应以文字表示的金额为准；</w:t>
      </w:r>
    </w:p>
    <w:p w14:paraId="1C8D7FA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45.</w:t>
      </w:r>
      <w:r>
        <w:rPr>
          <w:rFonts w:hint="eastAsia" w:ascii="宋体" w:hAnsi="宋体"/>
          <w:color w:val="auto"/>
          <w:sz w:val="24"/>
          <w:szCs w:val="24"/>
          <w:highlight w:val="none"/>
        </w:rPr>
        <w:t>2经算术复核的投标人报价与其投标报价不一致时，按就低不就高原则确定其最终报价；</w:t>
      </w:r>
    </w:p>
    <w:p w14:paraId="2950E45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45.</w:t>
      </w:r>
      <w:r>
        <w:rPr>
          <w:rFonts w:hint="eastAsia" w:ascii="宋体" w:hAnsi="宋体"/>
          <w:color w:val="auto"/>
          <w:sz w:val="24"/>
          <w:szCs w:val="24"/>
          <w:highlight w:val="none"/>
        </w:rPr>
        <w:t>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12E0F6D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14:paraId="76C5EFA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14:paraId="25081B4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lang w:val="en-US" w:eastAsia="zh-CN"/>
        </w:rPr>
        <w:t>5.</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44AB4A55">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lang w:val="en-US" w:eastAsia="zh-CN"/>
        </w:rPr>
        <w:t>5.</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14:paraId="535FC3BB">
      <w:pPr>
        <w:pStyle w:val="5"/>
        <w:tabs>
          <w:tab w:val="left" w:pos="7380"/>
        </w:tabs>
        <w:snapToGrid w:val="0"/>
        <w:spacing w:after="0"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lang w:val="en-US" w:eastAsia="zh-CN"/>
        </w:rPr>
        <w:t>5.</w:t>
      </w:r>
      <w:r>
        <w:rPr>
          <w:rFonts w:ascii="宋体" w:hAnsi="宋体"/>
          <w:color w:val="auto"/>
          <w:sz w:val="24"/>
          <w:szCs w:val="24"/>
          <w:highlight w:val="none"/>
        </w:rPr>
        <w:t>8</w:t>
      </w:r>
      <w:r>
        <w:rPr>
          <w:rFonts w:hint="eastAsia" w:ascii="宋体" w:hAnsi="宋体"/>
          <w:color w:val="auto"/>
          <w:sz w:val="24"/>
          <w:szCs w:val="24"/>
          <w:highlight w:val="none"/>
        </w:rPr>
        <w:t>评标委员会按上述修正错误的原则及方法调整或修正</w:t>
      </w:r>
      <w:r>
        <w:rPr>
          <w:rFonts w:hint="eastAsia" w:ascii="宋体" w:hAnsi="宋体"/>
          <w:color w:val="auto"/>
          <w:sz w:val="24"/>
          <w:szCs w:val="24"/>
          <w:highlight w:val="none"/>
          <w:lang w:eastAsia="zh-CN"/>
        </w:rPr>
        <w:t>经济标</w:t>
      </w:r>
      <w:r>
        <w:rPr>
          <w:rFonts w:hint="eastAsia" w:ascii="宋体" w:hAnsi="宋体"/>
          <w:color w:val="auto"/>
          <w:sz w:val="24"/>
          <w:szCs w:val="24"/>
          <w:highlight w:val="none"/>
        </w:rPr>
        <w:t>投标文件的投标报价</w:t>
      </w:r>
      <w:r>
        <w:rPr>
          <w:rFonts w:hint="eastAsia" w:ascii="宋体" w:hAnsi="宋体"/>
          <w:color w:val="auto"/>
          <w:sz w:val="24"/>
          <w:szCs w:val="24"/>
          <w:highlight w:val="none"/>
          <w:lang w:eastAsia="zh-CN"/>
        </w:rPr>
        <w:t>。评标委员会应</w:t>
      </w:r>
      <w:r>
        <w:rPr>
          <w:rFonts w:hint="eastAsia" w:ascii="宋体" w:hAnsi="宋体"/>
          <w:color w:val="auto"/>
          <w:sz w:val="24"/>
          <w:szCs w:val="24"/>
          <w:highlight w:val="none"/>
        </w:rPr>
        <w:t>要求投标人以澄清形式进行核实和确认</w:t>
      </w:r>
      <w:r>
        <w:rPr>
          <w:rFonts w:hint="eastAsia" w:ascii="宋体" w:hAnsi="宋体"/>
          <w:color w:val="auto"/>
          <w:sz w:val="24"/>
          <w:szCs w:val="24"/>
          <w:highlight w:val="none"/>
          <w:lang w:eastAsia="zh-CN"/>
        </w:rPr>
        <w:t>调整或修正的经济标投标文件的投标报价，投标人应在评标委员会在评标系统发出要求澄清的通知起</w:t>
      </w:r>
      <w:r>
        <w:rPr>
          <w:rFonts w:hint="eastAsia" w:ascii="宋体" w:hAnsi="宋体"/>
          <w:color w:val="auto"/>
          <w:sz w:val="24"/>
          <w:szCs w:val="24"/>
          <w:highlight w:val="none"/>
          <w:lang w:val="en-US" w:eastAsia="zh-CN"/>
        </w:rPr>
        <w:t>120分钟内将核实和确认结果书面回复评标委员会，逾时不回复视作同意评标委员会调整或修正投标文件的投标报价。</w:t>
      </w:r>
      <w:r>
        <w:rPr>
          <w:rFonts w:hint="eastAsia" w:ascii="宋体" w:hAnsi="宋体"/>
          <w:color w:val="auto"/>
          <w:sz w:val="24"/>
          <w:szCs w:val="24"/>
          <w:highlight w:val="none"/>
        </w:rPr>
        <w:t>调整后的投标报价对投标人起约束作用。如果投标人</w:t>
      </w:r>
      <w:r>
        <w:rPr>
          <w:rFonts w:hint="eastAsia" w:ascii="宋体" w:hAnsi="宋体"/>
          <w:color w:val="auto"/>
          <w:sz w:val="24"/>
          <w:szCs w:val="24"/>
          <w:highlight w:val="none"/>
          <w:lang w:eastAsia="zh-CN"/>
        </w:rPr>
        <w:t>无正当理由</w:t>
      </w:r>
      <w:r>
        <w:rPr>
          <w:rFonts w:hint="eastAsia" w:ascii="宋体" w:hAnsi="宋体"/>
          <w:color w:val="auto"/>
          <w:sz w:val="24"/>
          <w:szCs w:val="24"/>
          <w:highlight w:val="none"/>
        </w:rPr>
        <w:t>不接受修正后的报价，则取消其投标资格</w:t>
      </w:r>
      <w:r>
        <w:rPr>
          <w:rFonts w:hint="eastAsia" w:ascii="宋体" w:hAnsi="宋体"/>
          <w:strike/>
          <w:dstrike w:val="0"/>
          <w:color w:val="auto"/>
          <w:sz w:val="24"/>
          <w:szCs w:val="24"/>
          <w:highlight w:val="none"/>
        </w:rPr>
        <w:t>，并且其投标保证金也将不予退还</w:t>
      </w:r>
      <w:r>
        <w:rPr>
          <w:rFonts w:hint="eastAsia" w:ascii="宋体" w:hAnsi="宋体"/>
          <w:color w:val="auto"/>
          <w:sz w:val="24"/>
          <w:szCs w:val="24"/>
          <w:highlight w:val="none"/>
        </w:rPr>
        <w:t>。</w:t>
      </w:r>
    </w:p>
    <w:p w14:paraId="2D318E9F">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w:t>
      </w:r>
      <w:r>
        <w:rPr>
          <w:rFonts w:hint="eastAsia" w:ascii="宋体"/>
          <w:color w:val="auto"/>
          <w:sz w:val="24"/>
          <w:szCs w:val="24"/>
          <w:highlight w:val="none"/>
          <w:lang w:val="en-US" w:eastAsia="zh-CN"/>
        </w:rPr>
        <w:t>6</w:t>
      </w:r>
      <w:r>
        <w:rPr>
          <w:rFonts w:hint="eastAsia" w:ascii="宋体"/>
          <w:color w:val="auto"/>
          <w:sz w:val="24"/>
          <w:szCs w:val="24"/>
          <w:highlight w:val="none"/>
        </w:rPr>
        <w:t>．经济标评审和得分汇总</w:t>
      </w:r>
    </w:p>
    <w:p w14:paraId="76E52459">
      <w:pPr>
        <w:pStyle w:val="5"/>
        <w:tabs>
          <w:tab w:val="left" w:pos="7380"/>
        </w:tabs>
        <w:snapToGrid w:val="0"/>
        <w:spacing w:after="0" w:line="360" w:lineRule="auto"/>
        <w:ind w:firstLine="480" w:firstLineChars="200"/>
        <w:rPr>
          <w:rFonts w:hint="default" w:ascii="宋体"/>
          <w:color w:val="auto"/>
          <w:sz w:val="24"/>
          <w:szCs w:val="24"/>
          <w:highlight w:val="none"/>
          <w:lang w:val="en-US" w:eastAsia="zh-CN"/>
        </w:rPr>
      </w:pPr>
      <w:r>
        <w:rPr>
          <w:rFonts w:hint="eastAsia" w:ascii="宋体"/>
          <w:color w:val="auto"/>
          <w:sz w:val="24"/>
          <w:szCs w:val="24"/>
          <w:highlight w:val="none"/>
          <w:lang w:val="en-US" w:eastAsia="zh-CN"/>
        </w:rPr>
        <w:t>46.1</w:t>
      </w:r>
      <w:r>
        <w:rPr>
          <w:rFonts w:hint="eastAsia" w:ascii="宋体"/>
          <w:color w:val="auto"/>
          <w:sz w:val="24"/>
          <w:szCs w:val="24"/>
          <w:highlight w:val="none"/>
        </w:rPr>
        <w:t>若通过技术标有效性审查的投标人中所有投标报价均大于等于最高投标限价，则本项目招标失败，由招标人依法</w:t>
      </w:r>
      <w:r>
        <w:rPr>
          <w:rFonts w:hint="eastAsia" w:ascii="宋体"/>
          <w:color w:val="auto"/>
          <w:sz w:val="24"/>
          <w:szCs w:val="24"/>
          <w:highlight w:val="none"/>
          <w:lang w:eastAsia="zh-CN"/>
        </w:rPr>
        <w:t>重新招标</w:t>
      </w:r>
      <w:r>
        <w:rPr>
          <w:rFonts w:hint="eastAsia" w:ascii="宋体"/>
          <w:color w:val="auto"/>
          <w:sz w:val="24"/>
          <w:szCs w:val="24"/>
          <w:highlight w:val="none"/>
        </w:rPr>
        <w:t>。</w:t>
      </w:r>
    </w:p>
    <w:p w14:paraId="079D771C">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按</w:t>
      </w:r>
      <w:r>
        <w:rPr>
          <w:rFonts w:hint="eastAsia" w:ascii="宋体" w:hAnsi="宋体"/>
          <w:color w:val="auto"/>
          <w:sz w:val="24"/>
          <w:szCs w:val="24"/>
          <w:highlight w:val="none"/>
          <w:lang w:eastAsia="zh-CN"/>
        </w:rPr>
        <w:t>以下</w:t>
      </w:r>
      <w:r>
        <w:rPr>
          <w:rFonts w:hint="eastAsia" w:ascii="宋体" w:hAnsi="宋体"/>
          <w:color w:val="auto"/>
          <w:sz w:val="24"/>
          <w:szCs w:val="24"/>
          <w:highlight w:val="none"/>
        </w:rPr>
        <w:t>方法计算评标参考价：</w:t>
      </w:r>
    </w:p>
    <w:p w14:paraId="7964B856">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区间抽取法</w:t>
      </w:r>
    </w:p>
    <w:p w14:paraId="470C7A2D">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w:t>
      </w:r>
      <w:r>
        <w:rPr>
          <w:rFonts w:hint="eastAsia" w:ascii="宋体" w:hAnsi="宋体" w:cs="宋体"/>
          <w:b/>
          <w:bCs/>
          <w:strike w:val="0"/>
          <w:color w:val="auto"/>
          <w:sz w:val="24"/>
          <w:szCs w:val="24"/>
          <w:highlight w:val="none"/>
          <w:u w:val="single"/>
        </w:rPr>
        <w:t>技术标得分</w:t>
      </w:r>
      <w:r>
        <w:rPr>
          <w:rFonts w:hint="eastAsia" w:ascii="宋体" w:hAnsi="宋体" w:cs="宋体"/>
          <w:b/>
          <w:bCs/>
          <w:strike w:val="0"/>
          <w:color w:val="auto"/>
          <w:sz w:val="24"/>
          <w:szCs w:val="24"/>
          <w:highlight w:val="none"/>
          <w:u w:val="single"/>
          <w:lang w:val="en-US" w:eastAsia="zh-CN"/>
        </w:rPr>
        <w:t>85分</w:t>
      </w:r>
      <w:r>
        <w:rPr>
          <w:rFonts w:hint="eastAsia" w:ascii="宋体" w:hAnsi="宋体" w:cs="仿宋"/>
          <w:color w:val="auto"/>
          <w:sz w:val="24"/>
          <w:szCs w:val="24"/>
          <w:highlight w:val="none"/>
        </w:rPr>
        <w:t>），达到或超过及格线的投标人的报价方能参与评标参考价的计算。将达到或超过技术标及格分数线的投标报价由低至高进行排列，按以下公式计算评标参考价，计算公式如下：</w:t>
      </w:r>
    </w:p>
    <w:p w14:paraId="678FE308">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14:paraId="218E3A2C">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14:paraId="0096D950">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w:t>
      </w:r>
      <w:r>
        <w:rPr>
          <w:rFonts w:hint="eastAsia" w:ascii="宋体" w:hAnsi="宋体" w:cs="仿宋"/>
          <w:color w:val="auto"/>
          <w:sz w:val="24"/>
          <w:szCs w:val="24"/>
          <w:highlight w:val="none"/>
          <w:u w:val="single"/>
        </w:rPr>
        <w:t>为</w:t>
      </w:r>
      <w:r>
        <w:rPr>
          <w:rFonts w:hint="eastAsia" w:ascii="宋体" w:hAnsi="宋体" w:cs="仿宋"/>
          <w:color w:val="auto"/>
          <w:sz w:val="24"/>
          <w:szCs w:val="24"/>
          <w:highlight w:val="none"/>
          <w:u w:val="single"/>
          <w:lang w:eastAsia="zh-CN"/>
        </w:rPr>
        <w:t>最</w:t>
      </w:r>
      <w:r>
        <w:rPr>
          <w:rFonts w:hint="eastAsia" w:ascii="宋体" w:hAnsi="宋体" w:cs="仿宋"/>
          <w:color w:val="auto"/>
          <w:sz w:val="24"/>
          <w:szCs w:val="24"/>
          <w:highlight w:val="none"/>
          <w:u w:val="single"/>
        </w:rPr>
        <w:t>高投标限价</w:t>
      </w:r>
      <w:r>
        <w:rPr>
          <w:rFonts w:hint="eastAsia" w:ascii="宋体" w:hAnsi="宋体" w:cs="仿宋"/>
          <w:color w:val="auto"/>
          <w:sz w:val="24"/>
          <w:szCs w:val="24"/>
          <w:highlight w:val="none"/>
          <w:u w:val="single"/>
          <w:lang w:val="en-US" w:eastAsia="zh-CN"/>
        </w:rPr>
        <w:t>。</w:t>
      </w:r>
    </w:p>
    <w:p w14:paraId="49C41F38">
      <w:pPr>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14:paraId="1A095701">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14:paraId="063D0FEB">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4</w:t>
      </w:r>
      <w:r>
        <w:rPr>
          <w:rFonts w:hint="eastAsia" w:ascii="宋体"/>
          <w:color w:val="auto"/>
          <w:sz w:val="24"/>
          <w:szCs w:val="24"/>
          <w:highlight w:val="none"/>
          <w:u w:val="single"/>
        </w:rPr>
        <w:t>计算通过技术标有效性审查的投标人总得分。</w:t>
      </w:r>
      <w:r>
        <w:rPr>
          <w:rFonts w:hint="eastAsia" w:ascii="宋体" w:hAnsi="宋体" w:cs="宋体"/>
          <w:b/>
          <w:bCs/>
          <w:color w:val="auto"/>
          <w:sz w:val="24"/>
          <w:szCs w:val="24"/>
          <w:highlight w:val="none"/>
          <w:u w:val="single"/>
        </w:rPr>
        <w:t>投标人总得分（满分100分）=技术得分（</w:t>
      </w:r>
      <w:r>
        <w:rPr>
          <w:rFonts w:hint="eastAsia" w:ascii="宋体" w:hAnsi="宋体" w:cs="宋体"/>
          <w:b/>
          <w:bCs/>
          <w:color w:val="auto"/>
          <w:sz w:val="24"/>
          <w:szCs w:val="24"/>
          <w:highlight w:val="none"/>
          <w:u w:val="single"/>
          <w:lang w:val="en-US" w:eastAsia="zh-CN"/>
        </w:rPr>
        <w:t>100</w:t>
      </w:r>
      <w:r>
        <w:rPr>
          <w:rFonts w:hint="eastAsia" w:ascii="宋体" w:hAnsi="宋体" w:cs="宋体"/>
          <w:b/>
          <w:bCs/>
          <w:color w:val="auto"/>
          <w:sz w:val="24"/>
          <w:szCs w:val="24"/>
          <w:highlight w:val="none"/>
          <w:u w:val="single"/>
        </w:rPr>
        <w:t>分）×</w:t>
      </w:r>
      <w:r>
        <w:rPr>
          <w:rFonts w:hint="eastAsia" w:ascii="宋体" w:hAnsi="宋体" w:cs="宋体"/>
          <w:b/>
          <w:bCs/>
          <w:color w:val="auto"/>
          <w:sz w:val="24"/>
          <w:szCs w:val="24"/>
          <w:highlight w:val="none"/>
          <w:u w:val="single"/>
          <w:lang w:val="en-US" w:eastAsia="zh-CN"/>
        </w:rPr>
        <w:t>技术</w:t>
      </w:r>
      <w:r>
        <w:rPr>
          <w:rFonts w:hint="eastAsia" w:ascii="宋体" w:hAnsi="宋体" w:cs="宋体"/>
          <w:b/>
          <w:bCs/>
          <w:color w:val="auto"/>
          <w:sz w:val="24"/>
          <w:szCs w:val="24"/>
          <w:highlight w:val="none"/>
          <w:u w:val="single"/>
        </w:rPr>
        <w:t>得分权重（</w:t>
      </w:r>
      <w:r>
        <w:rPr>
          <w:rFonts w:hint="eastAsia" w:ascii="宋体" w:hAnsi="宋体" w:cs="宋体"/>
          <w:b/>
          <w:bCs/>
          <w:color w:val="auto"/>
          <w:sz w:val="24"/>
          <w:szCs w:val="24"/>
          <w:highlight w:val="none"/>
          <w:u w:val="single"/>
          <w:lang w:val="en-US" w:eastAsia="zh-CN"/>
        </w:rPr>
        <w:t>20</w:t>
      </w:r>
      <w:r>
        <w:rPr>
          <w:rFonts w:hint="eastAsia" w:ascii="宋体" w:hAnsi="宋体" w:cs="宋体"/>
          <w:b/>
          <w:bCs/>
          <w:color w:val="auto"/>
          <w:sz w:val="24"/>
          <w:szCs w:val="24"/>
          <w:highlight w:val="none"/>
          <w:u w:val="single"/>
        </w:rPr>
        <w:t>%）＋经济得分(100分)×经济得分权重（80%）。</w:t>
      </w:r>
      <w:r>
        <w:rPr>
          <w:rFonts w:hint="eastAsia" w:ascii="宋体"/>
          <w:color w:val="auto"/>
          <w:sz w:val="24"/>
          <w:szCs w:val="24"/>
          <w:highlight w:val="none"/>
        </w:rPr>
        <w:t>总得分四舍五入保留两位小数。</w:t>
      </w:r>
      <w:r>
        <w:rPr>
          <w:rFonts w:hint="eastAsia" w:ascii="宋体"/>
          <w:color w:val="auto"/>
          <w:sz w:val="24"/>
          <w:szCs w:val="24"/>
          <w:highlight w:val="none"/>
        </w:rPr>
        <w:br w:type="textWrapping"/>
      </w:r>
      <w:r>
        <w:rPr>
          <w:rFonts w:hint="eastAsia" w:ascii="宋体"/>
          <w:color w:val="auto"/>
          <w:sz w:val="24"/>
          <w:szCs w:val="24"/>
          <w:highlight w:val="none"/>
          <w:lang w:val="en-US" w:eastAsia="zh-CN"/>
        </w:rPr>
        <w:t xml:space="preserve">   </w:t>
      </w:r>
      <w:r>
        <w:rPr>
          <w:rFonts w:hint="eastAsia" w:ascii="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rPr>
        <w:t>4</w:t>
      </w:r>
      <w:r>
        <w:rPr>
          <w:rFonts w:hint="eastAsia" w:ascii="宋体" w:hAnsi="宋体" w:cs="宋体"/>
          <w:b/>
          <w:bCs/>
          <w:color w:val="auto"/>
          <w:sz w:val="24"/>
          <w:szCs w:val="24"/>
          <w:highlight w:val="none"/>
          <w:u w:val="single"/>
          <w:lang w:val="en-US" w:eastAsia="zh-CN"/>
        </w:rPr>
        <w:t>6</w:t>
      </w:r>
      <w:r>
        <w:rPr>
          <w:rFonts w:hint="eastAsia" w:ascii="宋体" w:hAnsi="宋体" w:cs="宋体"/>
          <w:b/>
          <w:bCs/>
          <w:color w:val="auto"/>
          <w:sz w:val="24"/>
          <w:szCs w:val="24"/>
          <w:highlight w:val="none"/>
          <w:u w:val="single"/>
        </w:rPr>
        <w:t>.5总得分相同的，以技术标得分较高的排前；总得分与技术标得分均相同的投标文件，则对具有相同情况的投标人，按中标候选人数量规定，由评标委员会采用随机抽取方式，确定中标候选人的排序。随机方式确定排序的具体操作步骤为：由评标会对出现该情况的投标人进行编号，然后通过记名投票方式，以得票多的排前确定排序。</w:t>
      </w:r>
    </w:p>
    <w:p w14:paraId="3E6D8942">
      <w:pPr>
        <w:pStyle w:val="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.经济标的有效性审查</w:t>
      </w:r>
    </w:p>
    <w:p w14:paraId="2EDC7CB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r>
        <w:rPr>
          <w:rFonts w:hint="eastAsia" w:ascii="宋体" w:hAnsi="宋体" w:cs="Times New Roman"/>
          <w:color w:val="auto"/>
          <w:sz w:val="24"/>
          <w:szCs w:val="24"/>
          <w:highlight w:val="none"/>
          <w:lang w:eastAsia="zh-CN"/>
        </w:rPr>
        <w:t>属于经济标算术校核范围的不得作为否决投标的情形。</w:t>
      </w:r>
    </w:p>
    <w:p w14:paraId="08B09BD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48</w:t>
      </w:r>
      <w:r>
        <w:rPr>
          <w:rFonts w:hint="eastAsia" w:ascii="宋体" w:hAnsi="宋体"/>
          <w:color w:val="auto"/>
          <w:sz w:val="24"/>
          <w:szCs w:val="24"/>
          <w:highlight w:val="none"/>
        </w:rPr>
        <w:t>.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4007C98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.评标委员会应在通过投标文件经济标有效性审查的投标人中，按步骤45.4确定的投标人第二阶段排序，推荐前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14:paraId="58A3D85B">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50</w:t>
      </w:r>
      <w:r>
        <w:rPr>
          <w:rFonts w:hint="eastAsia" w:ascii="宋体" w:hAnsi="宋体"/>
          <w:color w:val="auto"/>
          <w:sz w:val="24"/>
          <w:szCs w:val="24"/>
          <w:highlight w:val="none"/>
        </w:rPr>
        <w:t>.若通过经济标有效性审查的投标人不足三家，</w:t>
      </w:r>
      <w:r>
        <w:rPr>
          <w:rFonts w:hint="eastAsia" w:ascii="宋体" w:hAnsi="宋体"/>
          <w:color w:val="auto"/>
          <w:sz w:val="24"/>
          <w:szCs w:val="24"/>
          <w:highlight w:val="none"/>
          <w:lang w:eastAsia="zh-CN"/>
        </w:rPr>
        <w:t>则本项目招标失败，由招标人依法重新招标</w:t>
      </w:r>
      <w:r>
        <w:rPr>
          <w:rFonts w:hint="eastAsia" w:ascii="宋体" w:hAnsi="宋体"/>
          <w:color w:val="auto"/>
          <w:sz w:val="24"/>
          <w:szCs w:val="24"/>
          <w:highlight w:val="none"/>
        </w:rPr>
        <w:t>（当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个标段同时招标且不允许兼中时，有效投标人</w:t>
      </w:r>
      <w:r>
        <w:rPr>
          <w:rFonts w:hint="eastAsia" w:ascii="宋体" w:hAnsi="宋体"/>
          <w:color w:val="auto"/>
          <w:sz w:val="24"/>
          <w:szCs w:val="24"/>
          <w:highlight w:val="none"/>
          <w:lang w:eastAsia="zh-CN"/>
        </w:rPr>
        <w:t>应≥</w:t>
      </w:r>
      <w:r>
        <w:rPr>
          <w:rFonts w:ascii="宋体" w:hAnsi="宋体"/>
          <w:color w:val="auto"/>
          <w:sz w:val="24"/>
          <w:szCs w:val="24"/>
          <w:highlight w:val="none"/>
        </w:rPr>
        <w:t>N+2</w:t>
      </w:r>
      <w:r>
        <w:rPr>
          <w:rFonts w:hint="eastAsia" w:ascii="宋体" w:hAnsi="宋体"/>
          <w:color w:val="auto"/>
          <w:sz w:val="24"/>
          <w:szCs w:val="24"/>
          <w:highlight w:val="none"/>
        </w:rPr>
        <w:t>家）</w:t>
      </w:r>
      <w:r>
        <w:rPr>
          <w:rFonts w:hint="eastAsia" w:ascii="宋体" w:hAnsi="宋体"/>
          <w:color w:val="auto"/>
          <w:sz w:val="24"/>
          <w:szCs w:val="24"/>
          <w:highlight w:val="none"/>
          <w:lang w:eastAsia="zh-CN"/>
        </w:rPr>
        <w:t>。</w:t>
      </w:r>
    </w:p>
    <w:bookmarkEnd w:id="57"/>
    <w:bookmarkEnd w:id="60"/>
    <w:bookmarkEnd w:id="61"/>
    <w:p w14:paraId="223D7447">
      <w:pPr>
        <w:tabs>
          <w:tab w:val="left" w:pos="720"/>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2AA28D54">
      <w:pPr>
        <w:widowControl/>
        <w:snapToGrid w:val="0"/>
        <w:spacing w:line="360" w:lineRule="auto"/>
        <w:ind w:right="102"/>
        <w:jc w:val="left"/>
        <w:rPr>
          <w:rFonts w:ascii="宋体"/>
          <w:color w:val="auto"/>
          <w:sz w:val="28"/>
          <w:szCs w:val="28"/>
          <w:highlight w:val="none"/>
        </w:rPr>
      </w:pPr>
      <w:r>
        <w:rPr>
          <w:rFonts w:hint="eastAsia" w:ascii="宋体" w:hAnsi="宋体"/>
          <w:color w:val="auto"/>
          <w:sz w:val="28"/>
          <w:szCs w:val="28"/>
          <w:highlight w:val="none"/>
        </w:rPr>
        <w:t>附表一</w:t>
      </w:r>
    </w:p>
    <w:p w14:paraId="39149892">
      <w:pPr>
        <w:jc w:val="center"/>
        <w:rPr>
          <w:b/>
          <w:color w:val="auto"/>
          <w:sz w:val="32"/>
          <w:szCs w:val="32"/>
          <w:highlight w:val="none"/>
        </w:rPr>
      </w:pPr>
      <w:r>
        <w:rPr>
          <w:rFonts w:hint="eastAsia"/>
          <w:b/>
          <w:color w:val="auto"/>
          <w:sz w:val="32"/>
          <w:szCs w:val="32"/>
          <w:highlight w:val="none"/>
        </w:rPr>
        <w:t>资格审查表</w:t>
      </w:r>
    </w:p>
    <w:p w14:paraId="662DF6B3">
      <w:pPr>
        <w:spacing w:line="480" w:lineRule="auto"/>
        <w:rPr>
          <w:color w:val="auto"/>
          <w:sz w:val="24"/>
          <w:szCs w:val="24"/>
          <w:highlight w:val="none"/>
        </w:rPr>
      </w:pPr>
      <w:r>
        <w:rPr>
          <w:rFonts w:hint="eastAsia"/>
          <w:color w:val="auto"/>
          <w:sz w:val="24"/>
          <w:szCs w:val="24"/>
          <w:highlight w:val="none"/>
        </w:rPr>
        <w:t>招标项目名称：</w:t>
      </w:r>
    </w:p>
    <w:p w14:paraId="0C5E0CD1">
      <w:pPr>
        <w:spacing w:line="480" w:lineRule="auto"/>
        <w:rPr>
          <w:color w:val="auto"/>
          <w:sz w:val="24"/>
          <w:szCs w:val="24"/>
          <w:highlight w:val="none"/>
        </w:rPr>
      </w:pPr>
      <w:r>
        <w:rPr>
          <w:rFonts w:hint="eastAsia"/>
          <w:color w:val="auto"/>
          <w:sz w:val="24"/>
          <w:szCs w:val="24"/>
          <w:highlight w:val="none"/>
        </w:rPr>
        <w:t>投标人名称：</w:t>
      </w:r>
    </w:p>
    <w:tbl>
      <w:tblPr>
        <w:tblStyle w:val="36"/>
        <w:tblW w:w="9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3884"/>
        <w:gridCol w:w="3294"/>
        <w:gridCol w:w="1287"/>
      </w:tblGrid>
      <w:tr w14:paraId="7BAD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0F1E74F6">
            <w:pPr>
              <w:spacing w:before="120" w:after="60"/>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3884" w:type="dxa"/>
            <w:tcBorders>
              <w:top w:val="single" w:color="auto" w:sz="4" w:space="0"/>
              <w:left w:val="single" w:color="auto" w:sz="4" w:space="0"/>
              <w:bottom w:val="single" w:color="auto" w:sz="4" w:space="0"/>
              <w:right w:val="single" w:color="auto" w:sz="4" w:space="0"/>
            </w:tcBorders>
            <w:vAlign w:val="center"/>
          </w:tcPr>
          <w:p w14:paraId="1E79BC57">
            <w:pPr>
              <w:spacing w:before="120" w:after="60"/>
              <w:jc w:val="center"/>
              <w:rPr>
                <w:rFonts w:hint="eastAsia" w:ascii="宋体" w:hAnsi="宋体"/>
                <w:b/>
                <w:color w:val="auto"/>
                <w:szCs w:val="21"/>
                <w:highlight w:val="none"/>
              </w:rPr>
            </w:pPr>
            <w:r>
              <w:rPr>
                <w:rFonts w:hint="eastAsia" w:ascii="宋体" w:hAnsi="宋体"/>
                <w:b/>
                <w:color w:val="auto"/>
                <w:szCs w:val="21"/>
                <w:highlight w:val="none"/>
              </w:rPr>
              <w:t>审查项目</w:t>
            </w:r>
          </w:p>
        </w:tc>
        <w:tc>
          <w:tcPr>
            <w:tcW w:w="3294" w:type="dxa"/>
            <w:tcBorders>
              <w:top w:val="single" w:color="auto" w:sz="4" w:space="0"/>
              <w:left w:val="single" w:color="auto" w:sz="4" w:space="0"/>
              <w:bottom w:val="single" w:color="auto" w:sz="4" w:space="0"/>
              <w:right w:val="single" w:color="auto" w:sz="4" w:space="0"/>
            </w:tcBorders>
            <w:vAlign w:val="center"/>
          </w:tcPr>
          <w:p w14:paraId="3F3B0735">
            <w:pPr>
              <w:spacing w:before="120" w:after="60"/>
              <w:jc w:val="center"/>
              <w:rPr>
                <w:rFonts w:hint="eastAsia" w:ascii="宋体" w:hAnsi="宋体"/>
                <w:b/>
                <w:color w:val="auto"/>
                <w:szCs w:val="21"/>
                <w:highlight w:val="none"/>
              </w:rPr>
            </w:pPr>
            <w:r>
              <w:rPr>
                <w:rFonts w:hint="eastAsia" w:ascii="宋体" w:hAnsi="宋体"/>
                <w:b/>
                <w:color w:val="auto"/>
                <w:szCs w:val="21"/>
                <w:highlight w:val="none"/>
              </w:rPr>
              <w:t>须审查的资料</w:t>
            </w:r>
          </w:p>
        </w:tc>
        <w:tc>
          <w:tcPr>
            <w:tcW w:w="1287" w:type="dxa"/>
            <w:tcBorders>
              <w:top w:val="single" w:color="auto" w:sz="4" w:space="0"/>
              <w:left w:val="single" w:color="auto" w:sz="4" w:space="0"/>
              <w:bottom w:val="single" w:color="auto" w:sz="4" w:space="0"/>
              <w:right w:val="single" w:color="auto" w:sz="4" w:space="0"/>
            </w:tcBorders>
            <w:vAlign w:val="center"/>
          </w:tcPr>
          <w:p w14:paraId="56905F88">
            <w:pPr>
              <w:spacing w:before="120" w:after="60"/>
              <w:jc w:val="center"/>
              <w:rPr>
                <w:rFonts w:hint="eastAsia" w:ascii="宋体" w:hAnsi="宋体"/>
                <w:b/>
                <w:color w:val="auto"/>
                <w:szCs w:val="21"/>
                <w:highlight w:val="none"/>
              </w:rPr>
            </w:pPr>
            <w:r>
              <w:rPr>
                <w:rFonts w:hint="eastAsia" w:ascii="宋体" w:hAnsi="宋体"/>
                <w:b/>
                <w:color w:val="auto"/>
                <w:szCs w:val="21"/>
                <w:highlight w:val="none"/>
              </w:rPr>
              <w:t>审查结果</w:t>
            </w:r>
          </w:p>
        </w:tc>
      </w:tr>
      <w:tr w14:paraId="57DF9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5747FBF1">
            <w:pPr>
              <w:spacing w:before="120" w:after="60"/>
              <w:jc w:val="center"/>
              <w:rPr>
                <w:rFonts w:hint="eastAsia" w:ascii="宋体" w:hAnsi="宋体"/>
                <w:color w:val="auto"/>
                <w:szCs w:val="21"/>
                <w:highlight w:val="none"/>
              </w:rPr>
            </w:pPr>
            <w:r>
              <w:rPr>
                <w:rFonts w:ascii="宋体" w:hAnsi="宋体"/>
                <w:color w:val="auto"/>
                <w:szCs w:val="21"/>
                <w:highlight w:val="none"/>
              </w:rPr>
              <w:t>1</w:t>
            </w:r>
          </w:p>
        </w:tc>
        <w:tc>
          <w:tcPr>
            <w:tcW w:w="3884" w:type="dxa"/>
            <w:tcBorders>
              <w:top w:val="single" w:color="auto" w:sz="4" w:space="0"/>
              <w:left w:val="single" w:color="auto" w:sz="4" w:space="0"/>
              <w:bottom w:val="single" w:color="auto" w:sz="4" w:space="0"/>
              <w:right w:val="single" w:color="auto" w:sz="4" w:space="0"/>
            </w:tcBorders>
            <w:vAlign w:val="center"/>
          </w:tcPr>
          <w:p w14:paraId="7F9923B0">
            <w:pPr>
              <w:spacing w:before="120" w:after="60"/>
              <w:jc w:val="center"/>
              <w:rPr>
                <w:rFonts w:hint="eastAsia" w:ascii="宋体" w:hAnsi="宋体"/>
                <w:color w:val="auto"/>
                <w:szCs w:val="21"/>
                <w:highlight w:val="none"/>
              </w:rPr>
            </w:pPr>
            <w:r>
              <w:rPr>
                <w:rFonts w:hint="eastAsia" w:ascii="宋体" w:hAnsi="宋体"/>
                <w:color w:val="auto"/>
                <w:szCs w:val="21"/>
                <w:highlight w:val="none"/>
              </w:rPr>
              <w:t>投标人参加投标的意思表达清楚，投标人代表被授权有效</w:t>
            </w:r>
          </w:p>
        </w:tc>
        <w:tc>
          <w:tcPr>
            <w:tcW w:w="3294" w:type="dxa"/>
            <w:tcBorders>
              <w:top w:val="single" w:color="auto" w:sz="4" w:space="0"/>
              <w:left w:val="single" w:color="auto" w:sz="4" w:space="0"/>
              <w:bottom w:val="single" w:color="auto" w:sz="4" w:space="0"/>
              <w:right w:val="single" w:color="auto" w:sz="4" w:space="0"/>
            </w:tcBorders>
            <w:vAlign w:val="center"/>
          </w:tcPr>
          <w:p w14:paraId="30FB20A8">
            <w:pPr>
              <w:spacing w:before="120" w:after="60"/>
              <w:jc w:val="center"/>
              <w:rPr>
                <w:rFonts w:hint="eastAsia" w:ascii="宋体" w:hAnsi="宋体"/>
                <w:color w:val="auto"/>
                <w:szCs w:val="21"/>
                <w:highlight w:val="none"/>
              </w:rPr>
            </w:pPr>
            <w:r>
              <w:rPr>
                <w:rFonts w:hint="eastAsia" w:ascii="宋体" w:hAnsi="宋体"/>
                <w:color w:val="auto"/>
                <w:szCs w:val="21"/>
                <w:highlight w:val="none"/>
              </w:rPr>
              <w:t>投标人声明、法定代表人证明书；委托投标的还应提供法人授权委托证明书</w:t>
            </w:r>
          </w:p>
        </w:tc>
        <w:tc>
          <w:tcPr>
            <w:tcW w:w="1287" w:type="dxa"/>
            <w:tcBorders>
              <w:top w:val="single" w:color="auto" w:sz="4" w:space="0"/>
              <w:left w:val="single" w:color="auto" w:sz="4" w:space="0"/>
              <w:bottom w:val="single" w:color="auto" w:sz="4" w:space="0"/>
              <w:right w:val="single" w:color="auto" w:sz="4" w:space="0"/>
            </w:tcBorders>
            <w:vAlign w:val="center"/>
          </w:tcPr>
          <w:p w14:paraId="2D20A17A">
            <w:pPr>
              <w:spacing w:before="120" w:after="60"/>
              <w:jc w:val="center"/>
              <w:rPr>
                <w:rFonts w:hint="eastAsia" w:ascii="宋体" w:hAnsi="宋体"/>
                <w:color w:val="auto"/>
                <w:szCs w:val="21"/>
                <w:highlight w:val="none"/>
              </w:rPr>
            </w:pPr>
          </w:p>
        </w:tc>
      </w:tr>
      <w:tr w14:paraId="639D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373D6CD6">
            <w:pPr>
              <w:spacing w:before="120" w:after="60"/>
              <w:jc w:val="center"/>
              <w:rPr>
                <w:rFonts w:hint="eastAsia" w:ascii="宋体" w:hAnsi="宋体"/>
                <w:color w:val="auto"/>
                <w:szCs w:val="21"/>
                <w:highlight w:val="none"/>
              </w:rPr>
            </w:pPr>
            <w:r>
              <w:rPr>
                <w:rFonts w:ascii="宋体" w:hAnsi="宋体"/>
                <w:color w:val="auto"/>
                <w:szCs w:val="21"/>
                <w:highlight w:val="none"/>
              </w:rPr>
              <w:t>2</w:t>
            </w:r>
          </w:p>
        </w:tc>
        <w:tc>
          <w:tcPr>
            <w:tcW w:w="3884" w:type="dxa"/>
            <w:tcBorders>
              <w:top w:val="single" w:color="auto" w:sz="4" w:space="0"/>
              <w:left w:val="single" w:color="auto" w:sz="4" w:space="0"/>
              <w:bottom w:val="single" w:color="auto" w:sz="4" w:space="0"/>
              <w:right w:val="single" w:color="auto" w:sz="4" w:space="0"/>
            </w:tcBorders>
            <w:vAlign w:val="center"/>
          </w:tcPr>
          <w:p w14:paraId="4A85275B">
            <w:pPr>
              <w:spacing w:before="120" w:after="60"/>
              <w:jc w:val="center"/>
              <w:rPr>
                <w:rFonts w:hint="eastAsia" w:ascii="宋体" w:hAnsi="宋体"/>
                <w:color w:val="auto"/>
                <w:szCs w:val="21"/>
                <w:highlight w:val="none"/>
              </w:rPr>
            </w:pPr>
            <w:r>
              <w:rPr>
                <w:rFonts w:hint="eastAsia" w:ascii="宋体" w:hAnsi="宋体"/>
                <w:color w:val="auto"/>
                <w:szCs w:val="21"/>
                <w:highlight w:val="none"/>
              </w:rPr>
              <w:t>投标人均具有独立法人资格，按国家法律经营</w:t>
            </w:r>
          </w:p>
        </w:tc>
        <w:tc>
          <w:tcPr>
            <w:tcW w:w="3294" w:type="dxa"/>
            <w:tcBorders>
              <w:top w:val="single" w:color="auto" w:sz="4" w:space="0"/>
              <w:left w:val="single" w:color="auto" w:sz="4" w:space="0"/>
              <w:bottom w:val="single" w:color="auto" w:sz="4" w:space="0"/>
              <w:right w:val="single" w:color="auto" w:sz="4" w:space="0"/>
            </w:tcBorders>
            <w:vAlign w:val="center"/>
          </w:tcPr>
          <w:p w14:paraId="7143B130">
            <w:pPr>
              <w:spacing w:before="120" w:after="60"/>
              <w:jc w:val="center"/>
              <w:rPr>
                <w:rFonts w:hint="eastAsia" w:ascii="宋体" w:hAnsi="宋体"/>
                <w:color w:val="auto"/>
                <w:szCs w:val="21"/>
                <w:highlight w:val="none"/>
              </w:rPr>
            </w:pPr>
            <w:r>
              <w:rPr>
                <w:rFonts w:hint="eastAsia" w:ascii="宋体" w:hAnsi="宋体"/>
                <w:color w:val="auto"/>
                <w:szCs w:val="21"/>
                <w:highlight w:val="none"/>
              </w:rPr>
              <w:t>营业执照扫描件或电子证照</w:t>
            </w:r>
          </w:p>
        </w:tc>
        <w:tc>
          <w:tcPr>
            <w:tcW w:w="1287" w:type="dxa"/>
            <w:tcBorders>
              <w:top w:val="single" w:color="auto" w:sz="4" w:space="0"/>
              <w:left w:val="single" w:color="auto" w:sz="4" w:space="0"/>
              <w:bottom w:val="single" w:color="auto" w:sz="4" w:space="0"/>
              <w:right w:val="single" w:color="auto" w:sz="4" w:space="0"/>
            </w:tcBorders>
            <w:vAlign w:val="center"/>
          </w:tcPr>
          <w:p w14:paraId="4CF16431">
            <w:pPr>
              <w:spacing w:before="120" w:after="60"/>
              <w:jc w:val="center"/>
              <w:rPr>
                <w:rFonts w:hint="eastAsia" w:ascii="宋体" w:hAnsi="宋体"/>
                <w:color w:val="auto"/>
                <w:szCs w:val="21"/>
                <w:highlight w:val="none"/>
              </w:rPr>
            </w:pPr>
          </w:p>
        </w:tc>
      </w:tr>
      <w:tr w14:paraId="3AB1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2B39CBFA">
            <w:pPr>
              <w:spacing w:before="120" w:after="60"/>
              <w:jc w:val="center"/>
              <w:rPr>
                <w:rFonts w:hint="eastAsia" w:ascii="宋体" w:hAnsi="宋体"/>
                <w:color w:val="auto"/>
                <w:szCs w:val="21"/>
                <w:highlight w:val="none"/>
              </w:rPr>
            </w:pPr>
            <w:r>
              <w:rPr>
                <w:rFonts w:ascii="宋体" w:hAnsi="宋体"/>
                <w:color w:val="auto"/>
                <w:szCs w:val="21"/>
                <w:highlight w:val="none"/>
              </w:rPr>
              <w:t>3</w:t>
            </w:r>
          </w:p>
        </w:tc>
        <w:tc>
          <w:tcPr>
            <w:tcW w:w="3884" w:type="dxa"/>
            <w:tcBorders>
              <w:top w:val="single" w:color="auto" w:sz="4" w:space="0"/>
              <w:left w:val="single" w:color="auto" w:sz="4" w:space="0"/>
              <w:bottom w:val="single" w:color="auto" w:sz="4" w:space="0"/>
              <w:right w:val="single" w:color="auto" w:sz="4" w:space="0"/>
            </w:tcBorders>
            <w:vAlign w:val="center"/>
          </w:tcPr>
          <w:p w14:paraId="63531102">
            <w:pPr>
              <w:spacing w:before="120" w:after="60"/>
              <w:jc w:val="center"/>
              <w:rPr>
                <w:rFonts w:hint="eastAsia" w:ascii="宋体" w:hAnsi="宋体"/>
                <w:color w:val="auto"/>
                <w:szCs w:val="21"/>
                <w:highlight w:val="none"/>
              </w:rPr>
            </w:pPr>
            <w:r>
              <w:rPr>
                <w:rFonts w:hint="eastAsia" w:ascii="宋体" w:hAnsi="宋体"/>
                <w:color w:val="auto"/>
                <w:szCs w:val="21"/>
                <w:highlight w:val="none"/>
              </w:rPr>
              <w:t>投标人均持有建设行政主管部门颁发有效期内的企业资质证书及安全生产许可证；投标人资质符合公告要求</w:t>
            </w:r>
          </w:p>
        </w:tc>
        <w:tc>
          <w:tcPr>
            <w:tcW w:w="3294" w:type="dxa"/>
            <w:tcBorders>
              <w:top w:val="single" w:color="auto" w:sz="4" w:space="0"/>
              <w:left w:val="single" w:color="auto" w:sz="4" w:space="0"/>
              <w:bottom w:val="single" w:color="auto" w:sz="4" w:space="0"/>
              <w:right w:val="single" w:color="auto" w:sz="4" w:space="0"/>
            </w:tcBorders>
            <w:vAlign w:val="center"/>
          </w:tcPr>
          <w:p w14:paraId="04C055BE">
            <w:pPr>
              <w:spacing w:before="120" w:after="60"/>
              <w:jc w:val="center"/>
              <w:rPr>
                <w:rFonts w:hint="eastAsia" w:ascii="宋体" w:hAnsi="宋体"/>
                <w:color w:val="auto"/>
                <w:szCs w:val="21"/>
                <w:highlight w:val="none"/>
              </w:rPr>
            </w:pPr>
            <w:r>
              <w:rPr>
                <w:rFonts w:hint="eastAsia" w:ascii="宋体" w:hAnsi="宋体"/>
                <w:color w:val="auto"/>
                <w:szCs w:val="21"/>
                <w:highlight w:val="none"/>
              </w:rPr>
              <w:t>资质证书扫描件或电子证照、安全生产许可证扫描件或电子证照</w:t>
            </w:r>
          </w:p>
        </w:tc>
        <w:tc>
          <w:tcPr>
            <w:tcW w:w="1287" w:type="dxa"/>
            <w:tcBorders>
              <w:top w:val="single" w:color="auto" w:sz="4" w:space="0"/>
              <w:left w:val="single" w:color="auto" w:sz="4" w:space="0"/>
              <w:bottom w:val="single" w:color="auto" w:sz="4" w:space="0"/>
              <w:right w:val="single" w:color="auto" w:sz="4" w:space="0"/>
            </w:tcBorders>
            <w:vAlign w:val="center"/>
          </w:tcPr>
          <w:p w14:paraId="61A60F98">
            <w:pPr>
              <w:spacing w:before="120" w:after="60"/>
              <w:jc w:val="center"/>
              <w:rPr>
                <w:rFonts w:hint="eastAsia" w:ascii="宋体" w:hAnsi="宋体"/>
                <w:color w:val="auto"/>
                <w:szCs w:val="21"/>
                <w:highlight w:val="none"/>
              </w:rPr>
            </w:pPr>
          </w:p>
        </w:tc>
      </w:tr>
      <w:tr w14:paraId="19CA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3B603B50">
            <w:pPr>
              <w:spacing w:before="120" w:after="60"/>
              <w:jc w:val="center"/>
              <w:rPr>
                <w:rFonts w:hint="eastAsia" w:ascii="宋体" w:hAnsi="宋体"/>
                <w:color w:val="auto"/>
                <w:szCs w:val="21"/>
                <w:highlight w:val="none"/>
              </w:rPr>
            </w:pPr>
            <w:r>
              <w:rPr>
                <w:rFonts w:ascii="宋体" w:hAnsi="宋体"/>
                <w:color w:val="auto"/>
                <w:szCs w:val="21"/>
                <w:highlight w:val="none"/>
              </w:rPr>
              <w:t>4</w:t>
            </w:r>
          </w:p>
        </w:tc>
        <w:tc>
          <w:tcPr>
            <w:tcW w:w="3884" w:type="dxa"/>
            <w:tcBorders>
              <w:top w:val="single" w:color="auto" w:sz="4" w:space="0"/>
              <w:left w:val="single" w:color="auto" w:sz="4" w:space="0"/>
              <w:bottom w:val="single" w:color="auto" w:sz="4" w:space="0"/>
              <w:right w:val="single" w:color="auto" w:sz="4" w:space="0"/>
            </w:tcBorders>
            <w:vAlign w:val="center"/>
          </w:tcPr>
          <w:p w14:paraId="75D044C6">
            <w:pPr>
              <w:spacing w:before="120" w:after="60"/>
              <w:jc w:val="center"/>
              <w:rPr>
                <w:rFonts w:hint="eastAsia" w:ascii="宋体" w:hAnsi="宋体"/>
                <w:color w:val="auto"/>
                <w:szCs w:val="21"/>
                <w:highlight w:val="none"/>
              </w:rPr>
            </w:pPr>
            <w:r>
              <w:rPr>
                <w:rFonts w:hint="eastAsia" w:ascii="宋体" w:hAnsi="宋体"/>
                <w:color w:val="auto"/>
                <w:szCs w:val="21"/>
                <w:highlight w:val="none"/>
              </w:rPr>
              <w:t>投标人拟担任本工程项目负责人符合公告要求</w:t>
            </w:r>
          </w:p>
        </w:tc>
        <w:tc>
          <w:tcPr>
            <w:tcW w:w="3294" w:type="dxa"/>
            <w:tcBorders>
              <w:top w:val="single" w:color="auto" w:sz="4" w:space="0"/>
              <w:left w:val="single" w:color="auto" w:sz="4" w:space="0"/>
              <w:bottom w:val="single" w:color="auto" w:sz="4" w:space="0"/>
              <w:right w:val="single" w:color="auto" w:sz="4" w:space="0"/>
            </w:tcBorders>
            <w:vAlign w:val="center"/>
          </w:tcPr>
          <w:p w14:paraId="51EB6287">
            <w:pPr>
              <w:spacing w:before="120" w:after="60"/>
              <w:jc w:val="center"/>
              <w:rPr>
                <w:rFonts w:hint="eastAsia" w:ascii="宋体" w:hAnsi="宋体"/>
                <w:color w:val="auto"/>
                <w:szCs w:val="21"/>
                <w:highlight w:val="none"/>
              </w:rPr>
            </w:pPr>
            <w:r>
              <w:rPr>
                <w:rFonts w:hint="eastAsia" w:ascii="宋体" w:hAnsi="宋体"/>
                <w:color w:val="auto"/>
                <w:szCs w:val="21"/>
                <w:highlight w:val="none"/>
              </w:rPr>
              <w:t>使用有效期内的注册建造师注册证书。（注：打印建造师电子证书后，在个人签名处手写本人签名再扫描提交。）</w:t>
            </w:r>
          </w:p>
        </w:tc>
        <w:tc>
          <w:tcPr>
            <w:tcW w:w="1287" w:type="dxa"/>
            <w:tcBorders>
              <w:top w:val="single" w:color="auto" w:sz="4" w:space="0"/>
              <w:left w:val="single" w:color="auto" w:sz="4" w:space="0"/>
              <w:bottom w:val="single" w:color="auto" w:sz="4" w:space="0"/>
              <w:right w:val="single" w:color="auto" w:sz="4" w:space="0"/>
            </w:tcBorders>
            <w:vAlign w:val="center"/>
          </w:tcPr>
          <w:p w14:paraId="4E2FC5F6">
            <w:pPr>
              <w:spacing w:before="120" w:after="60"/>
              <w:jc w:val="center"/>
              <w:rPr>
                <w:rFonts w:hint="eastAsia" w:ascii="宋体" w:hAnsi="宋体"/>
                <w:color w:val="auto"/>
                <w:szCs w:val="21"/>
                <w:highlight w:val="none"/>
              </w:rPr>
            </w:pPr>
          </w:p>
        </w:tc>
      </w:tr>
      <w:tr w14:paraId="14F3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7EB71CA4">
            <w:pPr>
              <w:spacing w:before="120" w:after="60"/>
              <w:jc w:val="center"/>
              <w:rPr>
                <w:rFonts w:hint="eastAsia" w:ascii="宋体" w:hAnsi="宋体"/>
                <w:color w:val="auto"/>
                <w:szCs w:val="21"/>
                <w:highlight w:val="none"/>
              </w:rPr>
            </w:pPr>
            <w:r>
              <w:rPr>
                <w:rFonts w:ascii="宋体" w:hAnsi="宋体"/>
                <w:color w:val="auto"/>
                <w:szCs w:val="21"/>
                <w:highlight w:val="none"/>
              </w:rPr>
              <w:t>5</w:t>
            </w:r>
          </w:p>
        </w:tc>
        <w:tc>
          <w:tcPr>
            <w:tcW w:w="3884" w:type="dxa"/>
            <w:tcBorders>
              <w:top w:val="single" w:color="auto" w:sz="4" w:space="0"/>
              <w:left w:val="single" w:color="auto" w:sz="4" w:space="0"/>
              <w:bottom w:val="single" w:color="auto" w:sz="4" w:space="0"/>
              <w:right w:val="single" w:color="auto" w:sz="4" w:space="0"/>
            </w:tcBorders>
            <w:vAlign w:val="center"/>
          </w:tcPr>
          <w:p w14:paraId="51D2B477">
            <w:pPr>
              <w:spacing w:before="120" w:after="60"/>
              <w:jc w:val="center"/>
              <w:rPr>
                <w:rFonts w:hint="eastAsia" w:ascii="宋体" w:hAnsi="宋体"/>
                <w:color w:val="auto"/>
                <w:szCs w:val="21"/>
                <w:highlight w:val="none"/>
              </w:rPr>
            </w:pPr>
            <w:r>
              <w:rPr>
                <w:rFonts w:hint="eastAsia" w:ascii="宋体" w:hAnsi="宋体"/>
                <w:color w:val="auto"/>
                <w:szCs w:val="21"/>
                <w:highlight w:val="none"/>
              </w:rPr>
              <w:t>持有项目负责人安全生产考核合格证（B类）或建筑施工企业项目负责人安全生产考核合格证</w:t>
            </w:r>
          </w:p>
        </w:tc>
        <w:tc>
          <w:tcPr>
            <w:tcW w:w="3294" w:type="dxa"/>
            <w:tcBorders>
              <w:top w:val="single" w:color="auto" w:sz="4" w:space="0"/>
              <w:left w:val="single" w:color="auto" w:sz="4" w:space="0"/>
              <w:bottom w:val="single" w:color="auto" w:sz="4" w:space="0"/>
              <w:right w:val="single" w:color="auto" w:sz="4" w:space="0"/>
            </w:tcBorders>
            <w:vAlign w:val="center"/>
          </w:tcPr>
          <w:p w14:paraId="1B6220DC">
            <w:pPr>
              <w:spacing w:before="120" w:after="60"/>
              <w:jc w:val="center"/>
              <w:rPr>
                <w:rFonts w:hint="eastAsia" w:ascii="宋体" w:hAnsi="宋体"/>
                <w:color w:val="auto"/>
                <w:szCs w:val="21"/>
                <w:highlight w:val="none"/>
              </w:rPr>
            </w:pPr>
            <w:r>
              <w:rPr>
                <w:rFonts w:hint="eastAsia" w:ascii="宋体" w:hAnsi="宋体"/>
                <w:color w:val="auto"/>
                <w:szCs w:val="21"/>
                <w:highlight w:val="none"/>
              </w:rPr>
              <w:t>项目负责人安全生产考核合格证（B类）或建筑施工企业项目负责人安全生产考核合格证扫描件或电子证书</w:t>
            </w:r>
          </w:p>
        </w:tc>
        <w:tc>
          <w:tcPr>
            <w:tcW w:w="1287" w:type="dxa"/>
            <w:tcBorders>
              <w:top w:val="single" w:color="auto" w:sz="4" w:space="0"/>
              <w:left w:val="single" w:color="auto" w:sz="4" w:space="0"/>
              <w:bottom w:val="single" w:color="auto" w:sz="4" w:space="0"/>
              <w:right w:val="single" w:color="auto" w:sz="4" w:space="0"/>
            </w:tcBorders>
            <w:vAlign w:val="center"/>
          </w:tcPr>
          <w:p w14:paraId="1E93536B">
            <w:pPr>
              <w:spacing w:before="120" w:after="60"/>
              <w:jc w:val="center"/>
              <w:rPr>
                <w:rFonts w:hint="eastAsia" w:ascii="宋体" w:hAnsi="宋体"/>
                <w:color w:val="auto"/>
                <w:szCs w:val="21"/>
                <w:highlight w:val="none"/>
              </w:rPr>
            </w:pPr>
          </w:p>
        </w:tc>
      </w:tr>
      <w:tr w14:paraId="2968F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6CAD5042">
            <w:pPr>
              <w:spacing w:before="120" w:after="60"/>
              <w:jc w:val="center"/>
              <w:rPr>
                <w:rFonts w:hint="eastAsia" w:ascii="宋体" w:hAnsi="宋体"/>
                <w:color w:val="auto"/>
                <w:szCs w:val="21"/>
                <w:highlight w:val="none"/>
              </w:rPr>
            </w:pPr>
            <w:r>
              <w:rPr>
                <w:rFonts w:hint="eastAsia" w:ascii="宋体" w:hAnsi="宋体"/>
                <w:color w:val="auto"/>
                <w:szCs w:val="21"/>
                <w:highlight w:val="none"/>
              </w:rPr>
              <w:t>6</w:t>
            </w:r>
          </w:p>
        </w:tc>
        <w:tc>
          <w:tcPr>
            <w:tcW w:w="3884" w:type="dxa"/>
            <w:tcBorders>
              <w:top w:val="single" w:color="auto" w:sz="4" w:space="0"/>
              <w:left w:val="single" w:color="auto" w:sz="4" w:space="0"/>
              <w:bottom w:val="single" w:color="auto" w:sz="4" w:space="0"/>
              <w:right w:val="single" w:color="auto" w:sz="4" w:space="0"/>
            </w:tcBorders>
            <w:vAlign w:val="center"/>
          </w:tcPr>
          <w:p w14:paraId="4FECEA4A">
            <w:pPr>
              <w:spacing w:before="120" w:after="60"/>
              <w:jc w:val="center"/>
              <w:rPr>
                <w:rFonts w:hint="eastAsia" w:ascii="宋体" w:hAnsi="宋体"/>
                <w:color w:val="auto"/>
                <w:szCs w:val="21"/>
                <w:highlight w:val="none"/>
              </w:rPr>
            </w:pPr>
            <w:r>
              <w:rPr>
                <w:rFonts w:hint="eastAsia" w:ascii="宋体" w:hAnsi="宋体"/>
                <w:color w:val="auto"/>
                <w:szCs w:val="21"/>
                <w:highlight w:val="none"/>
              </w:rPr>
              <w:t>拟配备的专职安全员不少于 1 人，专职安全员须具有安全生产考核合格证（C类）或建筑施工企业专职安全生产管理人员安全生产考核合格证书（C3）</w:t>
            </w:r>
          </w:p>
        </w:tc>
        <w:tc>
          <w:tcPr>
            <w:tcW w:w="3294" w:type="dxa"/>
            <w:tcBorders>
              <w:top w:val="single" w:color="auto" w:sz="4" w:space="0"/>
              <w:left w:val="single" w:color="auto" w:sz="4" w:space="0"/>
              <w:bottom w:val="single" w:color="auto" w:sz="4" w:space="0"/>
              <w:right w:val="single" w:color="auto" w:sz="4" w:space="0"/>
            </w:tcBorders>
            <w:vAlign w:val="center"/>
          </w:tcPr>
          <w:p w14:paraId="4EE4EB87">
            <w:pPr>
              <w:spacing w:before="120" w:after="60"/>
              <w:jc w:val="center"/>
              <w:rPr>
                <w:rFonts w:hint="eastAsia" w:ascii="宋体" w:hAnsi="宋体"/>
                <w:color w:val="auto"/>
                <w:szCs w:val="21"/>
                <w:highlight w:val="none"/>
              </w:rPr>
            </w:pPr>
            <w:r>
              <w:rPr>
                <w:rFonts w:hint="eastAsia" w:ascii="宋体" w:hAnsi="宋体"/>
                <w:color w:val="auto"/>
                <w:szCs w:val="21"/>
                <w:highlight w:val="none"/>
              </w:rPr>
              <w:t>专职安全员的安全生产考核合格证（</w:t>
            </w:r>
            <w:r>
              <w:rPr>
                <w:rFonts w:ascii="宋体" w:hAnsi="宋体"/>
                <w:color w:val="auto"/>
                <w:szCs w:val="21"/>
                <w:highlight w:val="none"/>
              </w:rPr>
              <w:t>C</w:t>
            </w:r>
            <w:r>
              <w:rPr>
                <w:rFonts w:hint="eastAsia" w:ascii="宋体" w:hAnsi="宋体"/>
                <w:color w:val="auto"/>
                <w:szCs w:val="21"/>
                <w:highlight w:val="none"/>
              </w:rPr>
              <w:t>证）或建筑施工企业专职安全生产管理人员安全生产考核合格证（C3）扫描件或电子证书</w:t>
            </w:r>
          </w:p>
        </w:tc>
        <w:tc>
          <w:tcPr>
            <w:tcW w:w="1287" w:type="dxa"/>
            <w:tcBorders>
              <w:top w:val="single" w:color="auto" w:sz="4" w:space="0"/>
              <w:left w:val="single" w:color="auto" w:sz="4" w:space="0"/>
              <w:bottom w:val="single" w:color="auto" w:sz="4" w:space="0"/>
              <w:right w:val="single" w:color="auto" w:sz="4" w:space="0"/>
            </w:tcBorders>
            <w:vAlign w:val="center"/>
          </w:tcPr>
          <w:p w14:paraId="3F2C814B">
            <w:pPr>
              <w:spacing w:before="120" w:after="60"/>
              <w:jc w:val="center"/>
              <w:rPr>
                <w:rFonts w:hint="eastAsia" w:ascii="宋体" w:hAnsi="宋体"/>
                <w:color w:val="auto"/>
                <w:szCs w:val="21"/>
                <w:highlight w:val="none"/>
              </w:rPr>
            </w:pPr>
          </w:p>
        </w:tc>
      </w:tr>
      <w:tr w14:paraId="513E5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3C236DC0">
            <w:pPr>
              <w:spacing w:before="120" w:after="60"/>
              <w:jc w:val="center"/>
              <w:rPr>
                <w:rFonts w:hint="eastAsia" w:ascii="宋体" w:hAnsi="宋体"/>
                <w:color w:val="auto"/>
                <w:szCs w:val="21"/>
                <w:highlight w:val="none"/>
              </w:rPr>
            </w:pPr>
            <w:r>
              <w:rPr>
                <w:rFonts w:hint="eastAsia" w:ascii="宋体" w:hAnsi="宋体"/>
                <w:color w:val="auto"/>
                <w:szCs w:val="21"/>
                <w:highlight w:val="none"/>
              </w:rPr>
              <w:t>7</w:t>
            </w:r>
          </w:p>
        </w:tc>
        <w:tc>
          <w:tcPr>
            <w:tcW w:w="3884" w:type="dxa"/>
            <w:tcBorders>
              <w:top w:val="single" w:color="auto" w:sz="4" w:space="0"/>
              <w:left w:val="single" w:color="auto" w:sz="4" w:space="0"/>
              <w:bottom w:val="single" w:color="auto" w:sz="4" w:space="0"/>
              <w:right w:val="single" w:color="auto" w:sz="4" w:space="0"/>
            </w:tcBorders>
            <w:vAlign w:val="center"/>
          </w:tcPr>
          <w:p w14:paraId="3636234F">
            <w:pPr>
              <w:spacing w:before="120" w:after="60"/>
              <w:jc w:val="center"/>
              <w:rPr>
                <w:rFonts w:hint="eastAsia" w:ascii="宋体" w:hAnsi="宋体"/>
                <w:color w:val="auto"/>
                <w:szCs w:val="21"/>
                <w:highlight w:val="none"/>
              </w:rPr>
            </w:pPr>
            <w:r>
              <w:rPr>
                <w:rFonts w:hint="eastAsia" w:ascii="宋体" w:hAnsi="宋体"/>
                <w:color w:val="auto"/>
                <w:szCs w:val="21"/>
                <w:highlight w:val="none"/>
              </w:rPr>
              <w:t>投标人提供的投标人声明符合公告要求</w:t>
            </w:r>
          </w:p>
        </w:tc>
        <w:tc>
          <w:tcPr>
            <w:tcW w:w="3294" w:type="dxa"/>
            <w:tcBorders>
              <w:top w:val="single" w:color="auto" w:sz="4" w:space="0"/>
              <w:left w:val="single" w:color="auto" w:sz="4" w:space="0"/>
              <w:bottom w:val="single" w:color="auto" w:sz="4" w:space="0"/>
              <w:right w:val="single" w:color="auto" w:sz="4" w:space="0"/>
            </w:tcBorders>
            <w:vAlign w:val="center"/>
          </w:tcPr>
          <w:p w14:paraId="55F56F41">
            <w:pPr>
              <w:spacing w:before="120" w:after="60"/>
              <w:jc w:val="center"/>
              <w:rPr>
                <w:rFonts w:hint="eastAsia" w:ascii="宋体" w:hAnsi="宋体"/>
                <w:color w:val="auto"/>
                <w:szCs w:val="21"/>
                <w:highlight w:val="none"/>
              </w:rPr>
            </w:pPr>
            <w:r>
              <w:rPr>
                <w:rFonts w:hint="eastAsia" w:ascii="宋体" w:hAnsi="宋体" w:cs="宋体"/>
                <w:color w:val="auto"/>
                <w:szCs w:val="21"/>
                <w:highlight w:val="none"/>
              </w:rPr>
              <w:t>投标人声明（一）、投标人声明（二）、投标人声明（三）</w:t>
            </w:r>
          </w:p>
        </w:tc>
        <w:tc>
          <w:tcPr>
            <w:tcW w:w="1287" w:type="dxa"/>
            <w:tcBorders>
              <w:top w:val="single" w:color="auto" w:sz="4" w:space="0"/>
              <w:left w:val="single" w:color="auto" w:sz="4" w:space="0"/>
              <w:bottom w:val="single" w:color="auto" w:sz="4" w:space="0"/>
              <w:right w:val="single" w:color="auto" w:sz="4" w:space="0"/>
            </w:tcBorders>
            <w:vAlign w:val="center"/>
          </w:tcPr>
          <w:p w14:paraId="43B9FD7C">
            <w:pPr>
              <w:spacing w:before="120" w:after="60"/>
              <w:jc w:val="center"/>
              <w:rPr>
                <w:rFonts w:hint="eastAsia" w:ascii="宋体" w:hAnsi="宋体"/>
                <w:color w:val="auto"/>
                <w:szCs w:val="21"/>
                <w:highlight w:val="none"/>
              </w:rPr>
            </w:pPr>
          </w:p>
        </w:tc>
      </w:tr>
      <w:tr w14:paraId="3453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5F4E562E">
            <w:pPr>
              <w:spacing w:before="120" w:after="60"/>
              <w:jc w:val="center"/>
              <w:rPr>
                <w:rFonts w:hint="eastAsia" w:ascii="宋体" w:hAnsi="宋体"/>
                <w:color w:val="auto"/>
                <w:szCs w:val="21"/>
                <w:highlight w:val="none"/>
              </w:rPr>
            </w:pPr>
            <w:r>
              <w:rPr>
                <w:rFonts w:hint="eastAsia" w:ascii="宋体" w:hAnsi="宋体"/>
                <w:color w:val="auto"/>
                <w:szCs w:val="21"/>
                <w:highlight w:val="none"/>
              </w:rPr>
              <w:t>8</w:t>
            </w:r>
          </w:p>
        </w:tc>
        <w:tc>
          <w:tcPr>
            <w:tcW w:w="3884" w:type="dxa"/>
            <w:tcBorders>
              <w:top w:val="single" w:color="auto" w:sz="4" w:space="0"/>
              <w:left w:val="single" w:color="auto" w:sz="4" w:space="0"/>
              <w:bottom w:val="single" w:color="auto" w:sz="4" w:space="0"/>
              <w:right w:val="single" w:color="auto" w:sz="4" w:space="0"/>
            </w:tcBorders>
            <w:vAlign w:val="center"/>
          </w:tcPr>
          <w:p w14:paraId="5B4D035E">
            <w:pPr>
              <w:spacing w:before="120" w:after="60"/>
              <w:jc w:val="center"/>
              <w:rPr>
                <w:rFonts w:hint="eastAsia" w:ascii="宋体" w:hAnsi="宋体"/>
                <w:color w:val="auto"/>
                <w:szCs w:val="21"/>
                <w:highlight w:val="none"/>
              </w:rPr>
            </w:pPr>
            <w:r>
              <w:rPr>
                <w:rFonts w:hint="eastAsia" w:ascii="宋体" w:hAnsi="宋体"/>
                <w:color w:val="auto"/>
                <w:szCs w:val="21"/>
                <w:highlight w:val="none"/>
              </w:rPr>
              <w:t>投标人声明中签字的项目负责人和技术负责人与本项目拟派的项目负责人和技术负责人一致</w:t>
            </w:r>
          </w:p>
        </w:tc>
        <w:tc>
          <w:tcPr>
            <w:tcW w:w="3294" w:type="dxa"/>
            <w:tcBorders>
              <w:top w:val="single" w:color="auto" w:sz="4" w:space="0"/>
              <w:left w:val="single" w:color="auto" w:sz="4" w:space="0"/>
              <w:bottom w:val="single" w:color="auto" w:sz="4" w:space="0"/>
              <w:right w:val="single" w:color="auto" w:sz="4" w:space="0"/>
            </w:tcBorders>
            <w:vAlign w:val="center"/>
          </w:tcPr>
          <w:p w14:paraId="34871320">
            <w:pPr>
              <w:spacing w:before="120" w:after="60"/>
              <w:jc w:val="center"/>
              <w:rPr>
                <w:rFonts w:hint="eastAsia" w:ascii="宋体" w:hAnsi="宋体"/>
                <w:color w:val="auto"/>
                <w:szCs w:val="21"/>
                <w:highlight w:val="none"/>
              </w:rPr>
            </w:pPr>
            <w:r>
              <w:rPr>
                <w:rFonts w:hint="eastAsia" w:ascii="宋体" w:hAnsi="宋体"/>
                <w:color w:val="auto"/>
                <w:szCs w:val="21"/>
                <w:highlight w:val="none"/>
              </w:rPr>
              <w:t>网上投标时选择拟投标的项目负责人、资格审查文件中拟委派的技术负责人及投标人声明</w:t>
            </w:r>
          </w:p>
        </w:tc>
        <w:tc>
          <w:tcPr>
            <w:tcW w:w="1287" w:type="dxa"/>
            <w:tcBorders>
              <w:top w:val="single" w:color="auto" w:sz="4" w:space="0"/>
              <w:left w:val="single" w:color="auto" w:sz="4" w:space="0"/>
              <w:bottom w:val="single" w:color="auto" w:sz="4" w:space="0"/>
              <w:right w:val="single" w:color="auto" w:sz="4" w:space="0"/>
            </w:tcBorders>
            <w:vAlign w:val="center"/>
          </w:tcPr>
          <w:p w14:paraId="3CF594A2">
            <w:pPr>
              <w:spacing w:before="120" w:after="60"/>
              <w:jc w:val="center"/>
              <w:rPr>
                <w:rFonts w:hint="eastAsia" w:ascii="宋体" w:hAnsi="宋体"/>
                <w:color w:val="auto"/>
                <w:szCs w:val="21"/>
                <w:highlight w:val="none"/>
              </w:rPr>
            </w:pPr>
          </w:p>
        </w:tc>
      </w:tr>
      <w:tr w14:paraId="5797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0F17C765">
            <w:pPr>
              <w:spacing w:before="120" w:after="60"/>
              <w:jc w:val="center"/>
              <w:rPr>
                <w:rFonts w:hint="eastAsia" w:ascii="宋体" w:hAnsi="宋体"/>
                <w:color w:val="auto"/>
                <w:szCs w:val="21"/>
                <w:highlight w:val="none"/>
              </w:rPr>
            </w:pPr>
            <w:r>
              <w:rPr>
                <w:rFonts w:hint="eastAsia" w:ascii="宋体" w:hAnsi="宋体"/>
                <w:color w:val="auto"/>
                <w:szCs w:val="21"/>
                <w:highlight w:val="none"/>
              </w:rPr>
              <w:t>9</w:t>
            </w:r>
          </w:p>
        </w:tc>
        <w:tc>
          <w:tcPr>
            <w:tcW w:w="3884" w:type="dxa"/>
            <w:tcBorders>
              <w:top w:val="single" w:color="auto" w:sz="4" w:space="0"/>
              <w:left w:val="single" w:color="auto" w:sz="4" w:space="0"/>
              <w:bottom w:val="single" w:color="auto" w:sz="4" w:space="0"/>
              <w:right w:val="single" w:color="auto" w:sz="4" w:space="0"/>
            </w:tcBorders>
            <w:vAlign w:val="center"/>
          </w:tcPr>
          <w:p w14:paraId="1E491807">
            <w:pPr>
              <w:spacing w:before="120" w:after="60"/>
              <w:jc w:val="center"/>
              <w:rPr>
                <w:rFonts w:hint="eastAsia" w:ascii="宋体" w:hAnsi="宋体"/>
                <w:color w:val="auto"/>
                <w:szCs w:val="21"/>
                <w:highlight w:val="none"/>
              </w:rPr>
            </w:pPr>
            <w:r>
              <w:rPr>
                <w:rFonts w:hint="eastAsia" w:ascii="宋体" w:hAnsi="宋体"/>
                <w:color w:val="auto"/>
                <w:szCs w:val="21"/>
                <w:highlight w:val="none"/>
              </w:rPr>
              <w:t>在投标截止时间前，</w:t>
            </w:r>
            <w:r>
              <w:rPr>
                <w:rFonts w:ascii="宋体" w:hAnsi="宋体"/>
                <w:color w:val="auto"/>
                <w:szCs w:val="21"/>
                <w:highlight w:val="none"/>
              </w:rPr>
              <w:t>投标人未被列入“</w:t>
            </w:r>
            <w:r>
              <w:rPr>
                <w:rFonts w:hint="eastAsia" w:ascii="宋体" w:hAnsi="宋体"/>
                <w:color w:val="auto"/>
                <w:szCs w:val="21"/>
                <w:highlight w:val="none"/>
              </w:rPr>
              <w:t>失信被执行人</w:t>
            </w:r>
            <w:r>
              <w:rPr>
                <w:rFonts w:ascii="宋体" w:hAnsi="宋体"/>
                <w:color w:val="auto"/>
                <w:szCs w:val="21"/>
                <w:highlight w:val="none"/>
              </w:rPr>
              <w:t>”</w:t>
            </w:r>
            <w:r>
              <w:rPr>
                <w:rFonts w:hint="eastAsia" w:ascii="宋体" w:hAnsi="宋体"/>
                <w:color w:val="auto"/>
                <w:szCs w:val="21"/>
                <w:highlight w:val="none"/>
              </w:rPr>
              <w:t>名单</w:t>
            </w:r>
          </w:p>
        </w:tc>
        <w:tc>
          <w:tcPr>
            <w:tcW w:w="3294" w:type="dxa"/>
            <w:tcBorders>
              <w:top w:val="single" w:color="auto" w:sz="4" w:space="0"/>
              <w:left w:val="single" w:color="auto" w:sz="4" w:space="0"/>
              <w:bottom w:val="single" w:color="auto" w:sz="4" w:space="0"/>
              <w:right w:val="single" w:color="auto" w:sz="4" w:space="0"/>
            </w:tcBorders>
            <w:vAlign w:val="center"/>
          </w:tcPr>
          <w:p w14:paraId="752B9011">
            <w:pPr>
              <w:spacing w:before="120" w:after="60"/>
              <w:jc w:val="center"/>
              <w:rPr>
                <w:rFonts w:hint="eastAsia" w:ascii="宋体" w:hAnsi="宋体"/>
                <w:color w:val="auto"/>
                <w:szCs w:val="21"/>
                <w:highlight w:val="none"/>
              </w:rPr>
            </w:pPr>
            <w:r>
              <w:rPr>
                <w:rFonts w:hint="eastAsia" w:ascii="宋体" w:hAnsi="宋体"/>
                <w:color w:val="auto"/>
                <w:szCs w:val="21"/>
                <w:highlight w:val="none"/>
              </w:rPr>
              <w:t>投标人无需提供资料，按投标截止时间交易系统比对的结果进行评审</w:t>
            </w:r>
          </w:p>
        </w:tc>
        <w:tc>
          <w:tcPr>
            <w:tcW w:w="1287" w:type="dxa"/>
            <w:tcBorders>
              <w:top w:val="single" w:color="auto" w:sz="4" w:space="0"/>
              <w:left w:val="single" w:color="auto" w:sz="4" w:space="0"/>
              <w:bottom w:val="single" w:color="auto" w:sz="4" w:space="0"/>
              <w:right w:val="single" w:color="auto" w:sz="4" w:space="0"/>
            </w:tcBorders>
            <w:vAlign w:val="center"/>
          </w:tcPr>
          <w:p w14:paraId="2342DFFA">
            <w:pPr>
              <w:spacing w:before="120" w:after="60"/>
              <w:jc w:val="center"/>
              <w:rPr>
                <w:rFonts w:hint="eastAsia" w:ascii="宋体" w:hAnsi="宋体"/>
                <w:color w:val="auto"/>
                <w:szCs w:val="21"/>
                <w:highlight w:val="none"/>
              </w:rPr>
            </w:pPr>
          </w:p>
        </w:tc>
      </w:tr>
      <w:tr w14:paraId="1718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609CECA8">
            <w:pPr>
              <w:spacing w:before="120" w:after="60"/>
              <w:jc w:val="center"/>
              <w:rPr>
                <w:rFonts w:hint="eastAsia" w:ascii="宋体" w:hAnsi="宋体"/>
                <w:color w:val="auto"/>
                <w:szCs w:val="21"/>
                <w:highlight w:val="none"/>
              </w:rPr>
            </w:pPr>
            <w:r>
              <w:rPr>
                <w:rFonts w:hint="eastAsia" w:ascii="宋体" w:hAnsi="宋体"/>
                <w:color w:val="auto"/>
                <w:szCs w:val="21"/>
                <w:highlight w:val="none"/>
              </w:rPr>
              <w:t>10</w:t>
            </w:r>
          </w:p>
        </w:tc>
        <w:tc>
          <w:tcPr>
            <w:tcW w:w="3884" w:type="dxa"/>
            <w:tcBorders>
              <w:top w:val="single" w:color="auto" w:sz="4" w:space="0"/>
              <w:left w:val="single" w:color="auto" w:sz="4" w:space="0"/>
              <w:bottom w:val="single" w:color="auto" w:sz="4" w:space="0"/>
              <w:right w:val="single" w:color="auto" w:sz="4" w:space="0"/>
            </w:tcBorders>
            <w:vAlign w:val="center"/>
          </w:tcPr>
          <w:p w14:paraId="7F2FC51D">
            <w:pPr>
              <w:spacing w:before="120" w:after="60"/>
              <w:jc w:val="center"/>
              <w:rPr>
                <w:rFonts w:hint="eastAsia" w:ascii="宋体" w:hAnsi="宋体"/>
                <w:color w:val="auto"/>
                <w:szCs w:val="21"/>
                <w:highlight w:val="none"/>
              </w:rPr>
            </w:pPr>
            <w:r>
              <w:rPr>
                <w:rFonts w:hint="eastAsia" w:ascii="宋体" w:hAnsi="宋体"/>
                <w:color w:val="auto"/>
                <w:szCs w:val="21"/>
                <w:highlight w:val="none"/>
              </w:rPr>
              <w:t>投标人未出现以下情形：与其它投标人的单位负责人为同一人或者存在控股、管理关系的（按投标人提供的《投标人声明（一）》</w:t>
            </w:r>
            <w:r>
              <w:rPr>
                <w:rFonts w:hint="eastAsia" w:ascii="宋体" w:hAnsi="宋体"/>
                <w:color w:val="auto"/>
                <w:szCs w:val="21"/>
                <w:highlight w:val="none"/>
                <w:lang w:eastAsia="zh-CN"/>
              </w:rPr>
              <w:t>第九条</w:t>
            </w:r>
            <w:r>
              <w:rPr>
                <w:rFonts w:hint="eastAsia" w:ascii="宋体" w:hAnsi="宋体"/>
                <w:color w:val="auto"/>
                <w:szCs w:val="21"/>
                <w:highlight w:val="none"/>
              </w:rPr>
              <w:t>内容进行评审）</w:t>
            </w:r>
          </w:p>
        </w:tc>
        <w:tc>
          <w:tcPr>
            <w:tcW w:w="3294" w:type="dxa"/>
            <w:tcBorders>
              <w:top w:val="single" w:color="auto" w:sz="4" w:space="0"/>
              <w:left w:val="single" w:color="auto" w:sz="4" w:space="0"/>
              <w:bottom w:val="single" w:color="auto" w:sz="4" w:space="0"/>
              <w:right w:val="single" w:color="auto" w:sz="4" w:space="0"/>
            </w:tcBorders>
            <w:vAlign w:val="center"/>
          </w:tcPr>
          <w:p w14:paraId="66A9F2CD">
            <w:pPr>
              <w:spacing w:before="120" w:after="60"/>
              <w:jc w:val="center"/>
              <w:rPr>
                <w:rFonts w:hint="eastAsia" w:ascii="宋体" w:hAnsi="宋体"/>
                <w:color w:val="auto"/>
                <w:szCs w:val="21"/>
                <w:highlight w:val="none"/>
              </w:rPr>
            </w:pPr>
            <w:r>
              <w:rPr>
                <w:rFonts w:hint="eastAsia" w:ascii="宋体" w:hAnsi="宋体"/>
                <w:color w:val="auto"/>
                <w:szCs w:val="21"/>
                <w:highlight w:val="none"/>
              </w:rPr>
              <w:t>投标人声明（一）</w:t>
            </w:r>
          </w:p>
        </w:tc>
        <w:tc>
          <w:tcPr>
            <w:tcW w:w="1287" w:type="dxa"/>
            <w:tcBorders>
              <w:top w:val="single" w:color="auto" w:sz="4" w:space="0"/>
              <w:left w:val="single" w:color="auto" w:sz="4" w:space="0"/>
              <w:bottom w:val="single" w:color="auto" w:sz="4" w:space="0"/>
              <w:right w:val="single" w:color="auto" w:sz="4" w:space="0"/>
            </w:tcBorders>
            <w:vAlign w:val="center"/>
          </w:tcPr>
          <w:p w14:paraId="20D499B0">
            <w:pPr>
              <w:spacing w:before="120" w:after="60"/>
              <w:jc w:val="center"/>
              <w:rPr>
                <w:rFonts w:hint="eastAsia" w:ascii="宋体" w:hAnsi="宋体"/>
                <w:color w:val="auto"/>
                <w:szCs w:val="21"/>
                <w:highlight w:val="none"/>
              </w:rPr>
            </w:pPr>
          </w:p>
        </w:tc>
      </w:tr>
      <w:tr w14:paraId="52EA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27F35CD4">
            <w:pPr>
              <w:spacing w:before="120" w:after="60"/>
              <w:jc w:val="center"/>
              <w:rPr>
                <w:rFonts w:hint="eastAsia" w:ascii="宋体" w:hAnsi="宋体"/>
                <w:color w:val="auto"/>
                <w:szCs w:val="21"/>
                <w:highlight w:val="none"/>
              </w:rPr>
            </w:pPr>
            <w:r>
              <w:rPr>
                <w:rFonts w:hint="eastAsia" w:ascii="宋体" w:hAnsi="宋体"/>
                <w:color w:val="auto"/>
                <w:szCs w:val="21"/>
                <w:highlight w:val="none"/>
              </w:rPr>
              <w:t>11</w:t>
            </w:r>
          </w:p>
        </w:tc>
        <w:tc>
          <w:tcPr>
            <w:tcW w:w="3884" w:type="dxa"/>
            <w:tcBorders>
              <w:top w:val="single" w:color="auto" w:sz="4" w:space="0"/>
              <w:left w:val="single" w:color="auto" w:sz="4" w:space="0"/>
              <w:bottom w:val="single" w:color="auto" w:sz="4" w:space="0"/>
              <w:right w:val="single" w:color="auto" w:sz="4" w:space="0"/>
            </w:tcBorders>
            <w:vAlign w:val="center"/>
          </w:tcPr>
          <w:p w14:paraId="3E3CF8A6">
            <w:pPr>
              <w:spacing w:before="120" w:after="60"/>
              <w:jc w:val="center"/>
              <w:rPr>
                <w:rFonts w:hint="eastAsia" w:ascii="宋体" w:hAnsi="宋体"/>
                <w:color w:val="auto"/>
                <w:szCs w:val="21"/>
                <w:highlight w:val="none"/>
              </w:rPr>
            </w:pPr>
            <w:r>
              <w:rPr>
                <w:rFonts w:hint="eastAsia" w:ascii="宋体" w:hAnsi="宋体"/>
                <w:color w:val="auto"/>
                <w:szCs w:val="21"/>
                <w:highlight w:val="none"/>
              </w:rPr>
              <w:t>未被列入拖欠农民工工资失信联合惩戒对象名单</w:t>
            </w:r>
          </w:p>
        </w:tc>
        <w:tc>
          <w:tcPr>
            <w:tcW w:w="3294" w:type="dxa"/>
            <w:tcBorders>
              <w:top w:val="single" w:color="auto" w:sz="4" w:space="0"/>
              <w:left w:val="single" w:color="auto" w:sz="4" w:space="0"/>
              <w:bottom w:val="single" w:color="auto" w:sz="4" w:space="0"/>
              <w:right w:val="single" w:color="auto" w:sz="4" w:space="0"/>
            </w:tcBorders>
            <w:vAlign w:val="center"/>
          </w:tcPr>
          <w:p w14:paraId="441BC4A8">
            <w:pPr>
              <w:spacing w:before="120" w:after="60"/>
              <w:jc w:val="center"/>
              <w:rPr>
                <w:rFonts w:hint="eastAsia" w:ascii="宋体" w:hAnsi="宋体"/>
                <w:color w:val="auto"/>
                <w:szCs w:val="21"/>
                <w:highlight w:val="none"/>
              </w:rPr>
            </w:pPr>
            <w:r>
              <w:rPr>
                <w:rFonts w:hint="eastAsia" w:ascii="宋体" w:hAnsi="宋体"/>
                <w:color w:val="auto"/>
                <w:szCs w:val="21"/>
                <w:highlight w:val="none"/>
              </w:rPr>
              <w:t>投标人无需提供资料，按投标截止时间交易系统比对的结果进行评审</w:t>
            </w:r>
          </w:p>
        </w:tc>
        <w:tc>
          <w:tcPr>
            <w:tcW w:w="1287" w:type="dxa"/>
            <w:tcBorders>
              <w:top w:val="single" w:color="auto" w:sz="4" w:space="0"/>
              <w:left w:val="single" w:color="auto" w:sz="4" w:space="0"/>
              <w:bottom w:val="single" w:color="auto" w:sz="4" w:space="0"/>
              <w:right w:val="single" w:color="auto" w:sz="4" w:space="0"/>
            </w:tcBorders>
            <w:vAlign w:val="center"/>
          </w:tcPr>
          <w:p w14:paraId="78543E64">
            <w:pPr>
              <w:spacing w:before="120" w:after="60"/>
              <w:jc w:val="center"/>
              <w:rPr>
                <w:rFonts w:hint="eastAsia" w:ascii="宋体" w:hAnsi="宋体"/>
                <w:color w:val="auto"/>
                <w:szCs w:val="21"/>
                <w:highlight w:val="none"/>
              </w:rPr>
            </w:pPr>
          </w:p>
        </w:tc>
      </w:tr>
      <w:tr w14:paraId="452D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05BBD9E7">
            <w:pPr>
              <w:spacing w:before="120" w:after="60"/>
              <w:jc w:val="center"/>
              <w:rPr>
                <w:rFonts w:hint="eastAsia" w:ascii="宋体" w:hAnsi="宋体"/>
                <w:color w:val="auto"/>
                <w:szCs w:val="21"/>
                <w:highlight w:val="none"/>
              </w:rPr>
            </w:pPr>
            <w:r>
              <w:rPr>
                <w:rFonts w:hint="eastAsia" w:ascii="宋体" w:hAnsi="宋体"/>
                <w:color w:val="auto"/>
                <w:szCs w:val="21"/>
                <w:highlight w:val="none"/>
              </w:rPr>
              <w:t>12</w:t>
            </w:r>
          </w:p>
        </w:tc>
        <w:tc>
          <w:tcPr>
            <w:tcW w:w="3884" w:type="dxa"/>
            <w:tcBorders>
              <w:top w:val="single" w:color="auto" w:sz="4" w:space="0"/>
              <w:left w:val="single" w:color="auto" w:sz="4" w:space="0"/>
              <w:bottom w:val="single" w:color="auto" w:sz="4" w:space="0"/>
              <w:right w:val="single" w:color="auto" w:sz="4" w:space="0"/>
            </w:tcBorders>
            <w:vAlign w:val="center"/>
          </w:tcPr>
          <w:p w14:paraId="12A3335C">
            <w:pPr>
              <w:spacing w:before="120" w:after="60"/>
              <w:jc w:val="center"/>
              <w:rPr>
                <w:rFonts w:hint="eastAsia" w:ascii="宋体" w:hAnsi="宋体"/>
                <w:color w:val="auto"/>
                <w:szCs w:val="21"/>
                <w:highlight w:val="none"/>
              </w:rPr>
            </w:pPr>
            <w:r>
              <w:rPr>
                <w:rFonts w:hint="eastAsia" w:ascii="宋体" w:hAnsi="宋体"/>
                <w:color w:val="auto"/>
                <w:szCs w:val="21"/>
                <w:highlight w:val="none"/>
              </w:rPr>
              <w:t>资格审查前，投标人须</w:t>
            </w:r>
            <w:r>
              <w:rPr>
                <w:rFonts w:ascii="宋体" w:hAnsi="宋体"/>
                <w:color w:val="auto"/>
                <w:szCs w:val="21"/>
                <w:highlight w:val="none"/>
              </w:rPr>
              <w:t>在</w:t>
            </w:r>
            <w:r>
              <w:rPr>
                <w:rFonts w:hint="eastAsia" w:ascii="宋体" w:hAnsi="宋体"/>
                <w:color w:val="auto"/>
                <w:szCs w:val="21"/>
                <w:highlight w:val="none"/>
              </w:rPr>
              <w:t>广州交易集团有限公司（广州公共资源交易中心）建立企业信用档案及拟担任本工程项目负责人、专职安全员须是本企业中的在册人员</w:t>
            </w:r>
          </w:p>
        </w:tc>
        <w:tc>
          <w:tcPr>
            <w:tcW w:w="3294" w:type="dxa"/>
            <w:tcBorders>
              <w:top w:val="single" w:color="auto" w:sz="4" w:space="0"/>
              <w:left w:val="single" w:color="auto" w:sz="4" w:space="0"/>
              <w:bottom w:val="single" w:color="auto" w:sz="4" w:space="0"/>
              <w:right w:val="single" w:color="auto" w:sz="4" w:space="0"/>
            </w:tcBorders>
            <w:vAlign w:val="center"/>
          </w:tcPr>
          <w:p w14:paraId="19F60BFE">
            <w:pPr>
              <w:spacing w:before="120" w:after="60"/>
              <w:jc w:val="center"/>
              <w:rPr>
                <w:rFonts w:hint="eastAsia" w:ascii="宋体" w:hAnsi="宋体"/>
                <w:color w:val="auto"/>
                <w:szCs w:val="21"/>
                <w:highlight w:val="none"/>
              </w:rPr>
            </w:pPr>
            <w:r>
              <w:rPr>
                <w:rFonts w:hint="eastAsia" w:ascii="宋体" w:hAnsi="宋体"/>
                <w:color w:val="auto"/>
                <w:szCs w:val="21"/>
                <w:highlight w:val="none"/>
              </w:rPr>
              <w:t>投标人在广州交易集团有限公司（广州公共资源交易中心）内企业信用档案的企业和人员信息</w:t>
            </w:r>
          </w:p>
        </w:tc>
        <w:tc>
          <w:tcPr>
            <w:tcW w:w="1287" w:type="dxa"/>
            <w:tcBorders>
              <w:top w:val="single" w:color="auto" w:sz="4" w:space="0"/>
              <w:left w:val="single" w:color="auto" w:sz="4" w:space="0"/>
              <w:bottom w:val="single" w:color="auto" w:sz="4" w:space="0"/>
              <w:right w:val="single" w:color="auto" w:sz="4" w:space="0"/>
            </w:tcBorders>
            <w:vAlign w:val="center"/>
          </w:tcPr>
          <w:p w14:paraId="0F36D243">
            <w:pPr>
              <w:spacing w:before="120" w:after="60"/>
              <w:jc w:val="center"/>
              <w:rPr>
                <w:rFonts w:hint="eastAsia" w:ascii="宋体" w:hAnsi="宋体"/>
                <w:color w:val="auto"/>
                <w:szCs w:val="21"/>
                <w:highlight w:val="none"/>
              </w:rPr>
            </w:pPr>
          </w:p>
        </w:tc>
      </w:tr>
      <w:tr w14:paraId="4835D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6DCAD4FD">
            <w:pPr>
              <w:spacing w:before="120" w:after="60"/>
              <w:jc w:val="center"/>
              <w:rPr>
                <w:rFonts w:hint="eastAsia" w:ascii="宋体" w:hAnsi="宋体"/>
                <w:strike w:val="0"/>
                <w:color w:val="auto"/>
                <w:szCs w:val="21"/>
                <w:highlight w:val="none"/>
              </w:rPr>
            </w:pPr>
            <w:r>
              <w:rPr>
                <w:rFonts w:hint="eastAsia" w:ascii="宋体" w:hAnsi="宋体"/>
                <w:strike w:val="0"/>
                <w:color w:val="auto"/>
                <w:szCs w:val="21"/>
                <w:highlight w:val="none"/>
              </w:rPr>
              <w:t>13</w:t>
            </w:r>
          </w:p>
        </w:tc>
        <w:tc>
          <w:tcPr>
            <w:tcW w:w="3884" w:type="dxa"/>
            <w:tcBorders>
              <w:top w:val="single" w:color="auto" w:sz="4" w:space="0"/>
              <w:left w:val="single" w:color="auto" w:sz="4" w:space="0"/>
              <w:bottom w:val="single" w:color="auto" w:sz="4" w:space="0"/>
              <w:right w:val="single" w:color="auto" w:sz="4" w:space="0"/>
            </w:tcBorders>
            <w:shd w:val="clear" w:color="auto" w:fill="auto"/>
            <w:vAlign w:val="center"/>
          </w:tcPr>
          <w:p w14:paraId="1959E353">
            <w:pPr>
              <w:spacing w:before="120" w:after="60"/>
              <w:jc w:val="center"/>
              <w:rPr>
                <w:rFonts w:hint="eastAsia" w:ascii="宋体" w:hAnsi="宋体"/>
                <w:strike w:val="0"/>
                <w:color w:val="auto"/>
                <w:szCs w:val="21"/>
                <w:highlight w:val="none"/>
              </w:rPr>
            </w:pPr>
            <w:r>
              <w:rPr>
                <w:rFonts w:hint="eastAsia" w:ascii="宋体" w:hAnsi="宋体"/>
                <w:strike w:val="0"/>
                <w:color w:val="auto"/>
                <w:szCs w:val="21"/>
                <w:highlight w:val="none"/>
              </w:rPr>
              <w:t>投标人完成过的类似工程业绩符合公告要求</w:t>
            </w:r>
          </w:p>
        </w:tc>
        <w:tc>
          <w:tcPr>
            <w:tcW w:w="3294" w:type="dxa"/>
            <w:tcBorders>
              <w:top w:val="single" w:color="auto" w:sz="4" w:space="0"/>
              <w:left w:val="single" w:color="auto" w:sz="4" w:space="0"/>
              <w:bottom w:val="single" w:color="auto" w:sz="4" w:space="0"/>
              <w:right w:val="single" w:color="auto" w:sz="4" w:space="0"/>
            </w:tcBorders>
            <w:shd w:val="clear" w:color="auto" w:fill="auto"/>
            <w:vAlign w:val="center"/>
          </w:tcPr>
          <w:p w14:paraId="2872B2E8">
            <w:pPr>
              <w:spacing w:before="120" w:after="60"/>
              <w:jc w:val="center"/>
              <w:rPr>
                <w:rFonts w:hint="eastAsia" w:ascii="宋体" w:hAnsi="宋体"/>
                <w:strike w:val="0"/>
                <w:color w:val="auto"/>
                <w:szCs w:val="21"/>
                <w:highlight w:val="none"/>
              </w:rPr>
            </w:pPr>
            <w:r>
              <w:rPr>
                <w:rFonts w:hint="eastAsia" w:ascii="宋体" w:hAnsi="宋体"/>
                <w:strike w:val="0"/>
                <w:color w:val="auto"/>
                <w:szCs w:val="21"/>
                <w:highlight w:val="none"/>
                <w:u w:val="single"/>
              </w:rPr>
              <w:t>类似工程业绩材料按招标公告第九条第7点要求提供审查资料扫描件</w:t>
            </w:r>
          </w:p>
        </w:tc>
        <w:tc>
          <w:tcPr>
            <w:tcW w:w="1287" w:type="dxa"/>
            <w:tcBorders>
              <w:top w:val="single" w:color="auto" w:sz="4" w:space="0"/>
              <w:left w:val="single" w:color="auto" w:sz="4" w:space="0"/>
              <w:bottom w:val="single" w:color="auto" w:sz="4" w:space="0"/>
              <w:right w:val="single" w:color="auto" w:sz="4" w:space="0"/>
            </w:tcBorders>
            <w:vAlign w:val="center"/>
          </w:tcPr>
          <w:p w14:paraId="53463A42">
            <w:pPr>
              <w:spacing w:before="120" w:after="60"/>
              <w:jc w:val="center"/>
              <w:rPr>
                <w:rFonts w:hint="eastAsia" w:ascii="宋体" w:hAnsi="宋体"/>
                <w:color w:val="auto"/>
                <w:szCs w:val="21"/>
                <w:highlight w:val="none"/>
              </w:rPr>
            </w:pPr>
          </w:p>
        </w:tc>
      </w:tr>
      <w:tr w14:paraId="2265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54808A71">
            <w:pPr>
              <w:spacing w:before="120" w:after="60"/>
              <w:jc w:val="center"/>
              <w:rPr>
                <w:rFonts w:hint="eastAsia" w:ascii="宋体" w:hAnsi="宋体"/>
                <w:color w:val="auto"/>
                <w:szCs w:val="21"/>
                <w:highlight w:val="none"/>
              </w:rPr>
            </w:pPr>
            <w:r>
              <w:rPr>
                <w:rFonts w:hint="eastAsia" w:ascii="宋体" w:hAnsi="宋体"/>
                <w:color w:val="auto"/>
                <w:szCs w:val="21"/>
                <w:highlight w:val="none"/>
              </w:rPr>
              <w:t>14</w:t>
            </w:r>
          </w:p>
        </w:tc>
        <w:tc>
          <w:tcPr>
            <w:tcW w:w="3884" w:type="dxa"/>
            <w:tcBorders>
              <w:top w:val="single" w:color="auto" w:sz="4" w:space="0"/>
              <w:left w:val="single" w:color="auto" w:sz="4" w:space="0"/>
              <w:bottom w:val="single" w:color="auto" w:sz="4" w:space="0"/>
              <w:right w:val="single" w:color="auto" w:sz="4" w:space="0"/>
            </w:tcBorders>
            <w:shd w:val="clear" w:color="auto" w:fill="auto"/>
            <w:vAlign w:val="center"/>
          </w:tcPr>
          <w:p w14:paraId="624BE6B1">
            <w:pPr>
              <w:spacing w:before="120" w:after="60"/>
              <w:jc w:val="center"/>
              <w:rPr>
                <w:rFonts w:hint="eastAsia" w:ascii="宋体" w:hAnsi="宋体"/>
                <w:color w:val="auto"/>
                <w:szCs w:val="21"/>
                <w:highlight w:val="none"/>
              </w:rPr>
            </w:pPr>
            <w:r>
              <w:rPr>
                <w:rFonts w:hint="eastAsia" w:ascii="宋体" w:hAnsi="宋体"/>
                <w:color w:val="auto"/>
                <w:szCs w:val="21"/>
                <w:highlight w:val="none"/>
              </w:rPr>
              <w:t>关于联合体投标：本项目不接受联合体投标。</w:t>
            </w:r>
          </w:p>
        </w:tc>
        <w:tc>
          <w:tcPr>
            <w:tcW w:w="3294" w:type="dxa"/>
            <w:tcBorders>
              <w:top w:val="single" w:color="auto" w:sz="4" w:space="0"/>
              <w:left w:val="single" w:color="auto" w:sz="4" w:space="0"/>
              <w:bottom w:val="single" w:color="auto" w:sz="4" w:space="0"/>
              <w:right w:val="single" w:color="auto" w:sz="4" w:space="0"/>
            </w:tcBorders>
            <w:shd w:val="clear" w:color="auto" w:fill="auto"/>
            <w:vAlign w:val="center"/>
          </w:tcPr>
          <w:p w14:paraId="14DE05BF">
            <w:pPr>
              <w:spacing w:before="120" w:after="60"/>
              <w:jc w:val="center"/>
              <w:rPr>
                <w:rFonts w:hint="eastAsia" w:ascii="宋体" w:hAnsi="宋体"/>
                <w:color w:val="auto"/>
                <w:szCs w:val="21"/>
                <w:highlight w:val="none"/>
              </w:rPr>
            </w:pPr>
            <w:r>
              <w:rPr>
                <w:rFonts w:hint="eastAsia" w:ascii="宋体" w:hAnsi="宋体"/>
                <w:color w:val="auto"/>
                <w:szCs w:val="21"/>
                <w:highlight w:val="none"/>
              </w:rPr>
              <w:t>本项目不接受联合体投标。</w:t>
            </w:r>
          </w:p>
        </w:tc>
        <w:tc>
          <w:tcPr>
            <w:tcW w:w="1287" w:type="dxa"/>
            <w:tcBorders>
              <w:top w:val="single" w:color="auto" w:sz="4" w:space="0"/>
              <w:left w:val="single" w:color="auto" w:sz="4" w:space="0"/>
              <w:bottom w:val="single" w:color="auto" w:sz="4" w:space="0"/>
              <w:right w:val="single" w:color="auto" w:sz="4" w:space="0"/>
            </w:tcBorders>
            <w:vAlign w:val="center"/>
          </w:tcPr>
          <w:p w14:paraId="248F2404">
            <w:pPr>
              <w:spacing w:before="120" w:after="60"/>
              <w:jc w:val="center"/>
              <w:rPr>
                <w:rFonts w:hint="eastAsia" w:ascii="宋体" w:hAnsi="宋体"/>
                <w:color w:val="auto"/>
                <w:szCs w:val="21"/>
                <w:highlight w:val="none"/>
              </w:rPr>
            </w:pPr>
          </w:p>
        </w:tc>
      </w:tr>
    </w:tbl>
    <w:p w14:paraId="2721B22D">
      <w:pPr>
        <w:spacing w:line="480" w:lineRule="auto"/>
        <w:ind w:firstLine="470" w:firstLineChars="224"/>
        <w:rPr>
          <w:rFonts w:hint="eastAsia" w:ascii="宋体" w:hAnsi="宋体"/>
          <w:color w:val="auto"/>
          <w:szCs w:val="21"/>
          <w:highlight w:val="none"/>
        </w:rPr>
      </w:pPr>
      <w:r>
        <w:rPr>
          <w:rFonts w:hint="eastAsia" w:ascii="宋体" w:hAnsi="宋体"/>
          <w:color w:val="auto"/>
          <w:szCs w:val="21"/>
          <w:highlight w:val="none"/>
        </w:rPr>
        <w:t>备注：</w:t>
      </w:r>
    </w:p>
    <w:p w14:paraId="52BD3752">
      <w:pPr>
        <w:spacing w:line="480" w:lineRule="auto"/>
        <w:ind w:firstLine="470" w:firstLineChars="224"/>
        <w:rPr>
          <w:rFonts w:hint="eastAsia" w:ascii="宋体" w:hAnsi="宋体"/>
          <w:color w:val="auto"/>
          <w:szCs w:val="21"/>
          <w:highlight w:val="none"/>
        </w:rPr>
      </w:pPr>
      <w:r>
        <w:rPr>
          <w:rFonts w:hint="eastAsia" w:ascii="宋体" w:hAnsi="宋体"/>
          <w:color w:val="auto"/>
          <w:szCs w:val="21"/>
          <w:highlight w:val="none"/>
        </w:rPr>
        <w:t xml:space="preserve">1、每一项目符合的打“○”，不符合的打“×”； </w:t>
      </w:r>
    </w:p>
    <w:p w14:paraId="40002FDD">
      <w:pPr>
        <w:spacing w:line="480" w:lineRule="auto"/>
        <w:ind w:firstLine="470" w:firstLineChars="224"/>
        <w:rPr>
          <w:rFonts w:hint="eastAsia" w:ascii="宋体" w:hAnsi="宋体"/>
          <w:color w:val="auto"/>
          <w:szCs w:val="21"/>
          <w:highlight w:val="none"/>
        </w:rPr>
      </w:pPr>
      <w:r>
        <w:rPr>
          <w:rFonts w:hint="eastAsia" w:ascii="宋体" w:hAnsi="宋体"/>
          <w:color w:val="auto"/>
          <w:szCs w:val="21"/>
          <w:highlight w:val="none"/>
        </w:rPr>
        <w:t>2、若评委意见不一致时，则按少数服从多数的原则，作出评审结论。汇总后，出现一个“×”的结论为“不通过”。</w:t>
      </w:r>
    </w:p>
    <w:p w14:paraId="6238FA6A">
      <w:pPr>
        <w:spacing w:line="480" w:lineRule="auto"/>
        <w:ind w:firstLine="470" w:firstLineChars="224"/>
        <w:rPr>
          <w:rFonts w:hint="eastAsia" w:ascii="宋体" w:hAnsi="宋体"/>
          <w:color w:val="auto"/>
          <w:szCs w:val="21"/>
          <w:highlight w:val="none"/>
        </w:rPr>
      </w:pPr>
      <w:r>
        <w:rPr>
          <w:rFonts w:hint="eastAsia" w:ascii="宋体" w:hAnsi="宋体"/>
          <w:color w:val="auto"/>
          <w:szCs w:val="21"/>
          <w:highlight w:val="none"/>
        </w:rPr>
        <w:t>3.不得将文件顺序、明显的格式或文字错误等列为否决投标的情形。评委发现资格审查文件中含义不明确、对同类问题表述不一致、有明显格式或文字、计算错误的，应当要求投标人作必要的澄清、说明后再判定投标人是否通过资格审查，不得直接认定其不通过资格审查。</w:t>
      </w:r>
    </w:p>
    <w:p w14:paraId="3EEB9923">
      <w:pPr>
        <w:rPr>
          <w:color w:val="auto"/>
          <w:highlight w:val="none"/>
        </w:rPr>
        <w:sectPr>
          <w:headerReference r:id="rId4" w:type="first"/>
          <w:footerReference r:id="rId6" w:type="first"/>
          <w:headerReference r:id="rId3" w:type="default"/>
          <w:footerReference r:id="rId5" w:type="default"/>
          <w:endnotePr>
            <w:numFmt w:val="decimal"/>
          </w:endnotePr>
          <w:pgSz w:w="11906" w:h="16838"/>
          <w:pgMar w:top="1134" w:right="1418" w:bottom="1247" w:left="1418" w:header="851" w:footer="907" w:gutter="0"/>
          <w:pgBorders>
            <w:top w:val="none" w:sz="0" w:space="0"/>
            <w:left w:val="none" w:sz="0" w:space="0"/>
            <w:bottom w:val="none" w:sz="0" w:space="0"/>
            <w:right w:val="none" w:sz="0" w:space="0"/>
          </w:pgBorders>
          <w:pgNumType w:start="1"/>
          <w:cols w:space="425" w:num="1"/>
          <w:titlePg/>
          <w:docGrid w:type="lines" w:linePitch="312" w:charSpace="0"/>
        </w:sectPr>
      </w:pPr>
    </w:p>
    <w:p w14:paraId="6F5EAB61">
      <w:pPr>
        <w:rPr>
          <w:color w:val="auto"/>
          <w:sz w:val="28"/>
          <w:szCs w:val="28"/>
          <w:highlight w:val="none"/>
        </w:rPr>
      </w:pPr>
      <w:r>
        <w:rPr>
          <w:rFonts w:hint="eastAsia"/>
          <w:color w:val="auto"/>
          <w:sz w:val="28"/>
          <w:szCs w:val="28"/>
          <w:highlight w:val="none"/>
        </w:rPr>
        <w:t>附表二</w:t>
      </w:r>
    </w:p>
    <w:p w14:paraId="1DE19603">
      <w:pPr>
        <w:jc w:val="center"/>
        <w:rPr>
          <w:b/>
          <w:color w:val="auto"/>
          <w:sz w:val="36"/>
          <w:szCs w:val="36"/>
          <w:highlight w:val="none"/>
        </w:rPr>
      </w:pPr>
      <w:r>
        <w:rPr>
          <w:rFonts w:hint="eastAsia"/>
          <w:b/>
          <w:color w:val="auto"/>
          <w:sz w:val="36"/>
          <w:szCs w:val="36"/>
          <w:highlight w:val="none"/>
        </w:rPr>
        <w:t>技术标有效性审查表</w:t>
      </w:r>
    </w:p>
    <w:p w14:paraId="7244A89C">
      <w:pPr>
        <w:rPr>
          <w:color w:val="auto"/>
          <w:szCs w:val="21"/>
          <w:highlight w:val="none"/>
        </w:rPr>
      </w:pPr>
      <w:r>
        <w:rPr>
          <w:rFonts w:hint="eastAsia"/>
          <w:color w:val="auto"/>
          <w:szCs w:val="21"/>
          <w:highlight w:val="none"/>
        </w:rPr>
        <w:t>工程名称：</w:t>
      </w:r>
    </w:p>
    <w:tbl>
      <w:tblPr>
        <w:tblStyle w:val="36"/>
        <w:tblW w:w="14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6467"/>
        <w:gridCol w:w="1430"/>
        <w:gridCol w:w="1430"/>
        <w:gridCol w:w="1430"/>
        <w:gridCol w:w="1430"/>
        <w:gridCol w:w="1430"/>
      </w:tblGrid>
      <w:tr w14:paraId="24272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531" w:type="dxa"/>
            <w:tcBorders>
              <w:top w:val="single" w:color="auto" w:sz="4" w:space="0"/>
              <w:left w:val="single" w:color="auto" w:sz="4" w:space="0"/>
              <w:bottom w:val="single" w:color="auto" w:sz="4" w:space="0"/>
              <w:right w:val="single" w:color="auto" w:sz="4" w:space="0"/>
            </w:tcBorders>
            <w:vAlign w:val="center"/>
          </w:tcPr>
          <w:p w14:paraId="4F05595D">
            <w:pPr>
              <w:adjustRightInd w:val="0"/>
              <w:rPr>
                <w:rFonts w:hint="eastAsia" w:ascii="宋体" w:hAnsi="宋体"/>
                <w:color w:val="auto"/>
                <w:szCs w:val="21"/>
                <w:highlight w:val="none"/>
              </w:rPr>
            </w:pPr>
            <w:r>
              <w:rPr>
                <w:rFonts w:hint="eastAsia" w:ascii="宋体" w:hAnsi="宋体"/>
                <w:color w:val="auto"/>
                <w:szCs w:val="21"/>
                <w:highlight w:val="none"/>
              </w:rPr>
              <w:t>序号</w:t>
            </w:r>
          </w:p>
        </w:tc>
        <w:tc>
          <w:tcPr>
            <w:tcW w:w="5129" w:type="dxa"/>
            <w:tcBorders>
              <w:top w:val="single" w:color="auto" w:sz="4" w:space="0"/>
              <w:left w:val="single" w:color="auto" w:sz="4" w:space="0"/>
              <w:bottom w:val="single" w:color="auto" w:sz="4" w:space="0"/>
              <w:right w:val="single" w:color="auto" w:sz="4" w:space="0"/>
              <w:tl2br w:val="single" w:color="auto" w:sz="4" w:space="0"/>
            </w:tcBorders>
          </w:tcPr>
          <w:p w14:paraId="1B4225D2">
            <w:pPr>
              <w:adjustRightInd w:val="0"/>
              <w:rPr>
                <w:rFonts w:hint="eastAsia"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投标人</w:t>
            </w:r>
          </w:p>
          <w:p w14:paraId="53B1A561">
            <w:pPr>
              <w:adjustRightInd w:val="0"/>
              <w:rPr>
                <w:rFonts w:hint="eastAsia" w:ascii="宋体" w:hAnsi="宋体"/>
                <w:color w:val="auto"/>
                <w:szCs w:val="21"/>
                <w:highlight w:val="none"/>
              </w:rPr>
            </w:pPr>
          </w:p>
          <w:p w14:paraId="61226E00">
            <w:pPr>
              <w:adjustRightInd w:val="0"/>
              <w:rPr>
                <w:rFonts w:hint="eastAsia" w:ascii="宋体" w:hAnsi="宋体"/>
                <w:color w:val="auto"/>
                <w:szCs w:val="21"/>
                <w:highlight w:val="none"/>
              </w:rPr>
            </w:pPr>
            <w:r>
              <w:rPr>
                <w:rFonts w:hint="eastAsia" w:ascii="宋体" w:hAnsi="宋体"/>
                <w:color w:val="auto"/>
                <w:szCs w:val="21"/>
                <w:highlight w:val="none"/>
              </w:rPr>
              <w:t>评审内容</w:t>
            </w:r>
          </w:p>
        </w:tc>
        <w:tc>
          <w:tcPr>
            <w:tcW w:w="1134" w:type="dxa"/>
            <w:tcBorders>
              <w:top w:val="single" w:color="auto" w:sz="4" w:space="0"/>
              <w:left w:val="single" w:color="auto" w:sz="4" w:space="0"/>
              <w:bottom w:val="single" w:color="auto" w:sz="4" w:space="0"/>
              <w:right w:val="single" w:color="auto" w:sz="4" w:space="0"/>
            </w:tcBorders>
          </w:tcPr>
          <w:p w14:paraId="00E2E832">
            <w:pPr>
              <w:adjustRightInd w:val="0"/>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1BF272C0">
            <w:pPr>
              <w:adjustRightInd w:val="0"/>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3F28E626">
            <w:pPr>
              <w:adjustRightInd w:val="0"/>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1F122034">
            <w:pPr>
              <w:adjustRightInd w:val="0"/>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156A2556">
            <w:pPr>
              <w:adjustRightInd w:val="0"/>
              <w:rPr>
                <w:rFonts w:hint="eastAsia" w:ascii="宋体" w:hAnsi="宋体"/>
                <w:color w:val="auto"/>
                <w:szCs w:val="21"/>
                <w:highlight w:val="none"/>
              </w:rPr>
            </w:pPr>
          </w:p>
        </w:tc>
      </w:tr>
      <w:tr w14:paraId="04B5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0C484283">
            <w:pPr>
              <w:adjustRightInd w:val="0"/>
              <w:jc w:val="center"/>
              <w:rPr>
                <w:rFonts w:hint="eastAsia" w:ascii="宋体" w:hAnsi="宋体"/>
                <w:color w:val="auto"/>
                <w:szCs w:val="21"/>
                <w:highlight w:val="none"/>
              </w:rPr>
            </w:pPr>
            <w:r>
              <w:rPr>
                <w:rFonts w:hint="eastAsia" w:ascii="宋体" w:hAnsi="宋体"/>
                <w:color w:val="auto"/>
                <w:szCs w:val="21"/>
                <w:highlight w:val="none"/>
              </w:rPr>
              <w:t>1</w:t>
            </w:r>
          </w:p>
        </w:tc>
        <w:tc>
          <w:tcPr>
            <w:tcW w:w="5129" w:type="dxa"/>
            <w:tcBorders>
              <w:top w:val="single" w:color="auto" w:sz="4" w:space="0"/>
              <w:left w:val="single" w:color="auto" w:sz="4" w:space="0"/>
              <w:bottom w:val="single" w:color="auto" w:sz="4" w:space="0"/>
              <w:right w:val="single" w:color="auto" w:sz="4" w:space="0"/>
            </w:tcBorders>
            <w:vAlign w:val="center"/>
          </w:tcPr>
          <w:p w14:paraId="4B2C664B">
            <w:pPr>
              <w:adjustRightInd w:val="0"/>
              <w:rPr>
                <w:rFonts w:hint="eastAsia" w:ascii="宋体" w:hAnsi="宋体"/>
                <w:color w:val="auto"/>
                <w:szCs w:val="21"/>
                <w:highlight w:val="none"/>
              </w:rPr>
            </w:pPr>
            <w:r>
              <w:rPr>
                <w:rFonts w:hint="eastAsia" w:ascii="宋体" w:hAnsi="宋体" w:cs="宋体"/>
                <w:color w:val="auto"/>
                <w:szCs w:val="21"/>
                <w:highlight w:val="none"/>
                <w:u w:val="single"/>
              </w:rPr>
              <w:t>《广州建设工程施工招标投标书》中的投标总工期不符合招标文件要求的；</w:t>
            </w:r>
          </w:p>
        </w:tc>
        <w:tc>
          <w:tcPr>
            <w:tcW w:w="1134" w:type="dxa"/>
            <w:tcBorders>
              <w:top w:val="single" w:color="auto" w:sz="4" w:space="0"/>
              <w:left w:val="single" w:color="auto" w:sz="4" w:space="0"/>
              <w:bottom w:val="single" w:color="auto" w:sz="4" w:space="0"/>
              <w:right w:val="single" w:color="auto" w:sz="4" w:space="0"/>
            </w:tcBorders>
          </w:tcPr>
          <w:p w14:paraId="015D28C3">
            <w:pPr>
              <w:adjustRightInd w:val="0"/>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6DF16853">
            <w:pPr>
              <w:adjustRightInd w:val="0"/>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613C2DCA">
            <w:pPr>
              <w:adjustRightInd w:val="0"/>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5CB58A81">
            <w:pPr>
              <w:adjustRightInd w:val="0"/>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3B8F54D3">
            <w:pPr>
              <w:adjustRightInd w:val="0"/>
              <w:rPr>
                <w:rFonts w:hint="eastAsia" w:ascii="宋体" w:hAnsi="宋体"/>
                <w:color w:val="auto"/>
                <w:szCs w:val="21"/>
                <w:highlight w:val="none"/>
              </w:rPr>
            </w:pPr>
          </w:p>
        </w:tc>
      </w:tr>
      <w:tr w14:paraId="21F88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535C8E30">
            <w:pPr>
              <w:adjustRightInd w:val="0"/>
              <w:jc w:val="center"/>
              <w:rPr>
                <w:rFonts w:hint="eastAsia" w:ascii="宋体" w:hAnsi="宋体"/>
                <w:color w:val="auto"/>
                <w:szCs w:val="21"/>
                <w:highlight w:val="none"/>
              </w:rPr>
            </w:pPr>
            <w:r>
              <w:rPr>
                <w:rFonts w:hint="eastAsia" w:ascii="宋体" w:hAnsi="宋体"/>
                <w:color w:val="auto"/>
                <w:szCs w:val="21"/>
                <w:highlight w:val="none"/>
              </w:rPr>
              <w:t>2</w:t>
            </w:r>
          </w:p>
        </w:tc>
        <w:tc>
          <w:tcPr>
            <w:tcW w:w="5129" w:type="dxa"/>
            <w:tcBorders>
              <w:top w:val="single" w:color="auto" w:sz="4" w:space="0"/>
              <w:left w:val="single" w:color="auto" w:sz="4" w:space="0"/>
              <w:bottom w:val="single" w:color="auto" w:sz="4" w:space="0"/>
              <w:right w:val="single" w:color="auto" w:sz="4" w:space="0"/>
            </w:tcBorders>
            <w:vAlign w:val="center"/>
          </w:tcPr>
          <w:p w14:paraId="20C7AA45">
            <w:pPr>
              <w:adjustRightInd w:val="0"/>
              <w:rPr>
                <w:rFonts w:hint="eastAsia" w:ascii="宋体" w:hAnsi="宋体"/>
                <w:color w:val="auto"/>
                <w:szCs w:val="21"/>
                <w:highlight w:val="none"/>
              </w:rPr>
            </w:pPr>
            <w:r>
              <w:rPr>
                <w:rFonts w:hint="eastAsia" w:ascii="宋体" w:hAnsi="宋体" w:cs="宋体"/>
                <w:color w:val="auto"/>
                <w:szCs w:val="21"/>
                <w:highlight w:val="none"/>
                <w:u w:val="single"/>
              </w:rPr>
              <w:t>《广州建设工程施工招标投标书》中的工程质量标准不符合招标文件要求的；</w:t>
            </w:r>
          </w:p>
        </w:tc>
        <w:tc>
          <w:tcPr>
            <w:tcW w:w="1134" w:type="dxa"/>
            <w:tcBorders>
              <w:top w:val="single" w:color="auto" w:sz="4" w:space="0"/>
              <w:left w:val="single" w:color="auto" w:sz="4" w:space="0"/>
              <w:bottom w:val="single" w:color="auto" w:sz="4" w:space="0"/>
              <w:right w:val="single" w:color="auto" w:sz="4" w:space="0"/>
            </w:tcBorders>
          </w:tcPr>
          <w:p w14:paraId="26DBE2F3">
            <w:pPr>
              <w:adjustRightInd w:val="0"/>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5C9E3B80">
            <w:pPr>
              <w:adjustRightInd w:val="0"/>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3D5D7252">
            <w:pPr>
              <w:adjustRightInd w:val="0"/>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44F77EF1">
            <w:pPr>
              <w:adjustRightInd w:val="0"/>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65CDC482">
            <w:pPr>
              <w:adjustRightInd w:val="0"/>
              <w:rPr>
                <w:rFonts w:hint="eastAsia" w:ascii="宋体" w:hAnsi="宋体"/>
                <w:color w:val="auto"/>
                <w:szCs w:val="21"/>
                <w:highlight w:val="none"/>
              </w:rPr>
            </w:pPr>
          </w:p>
        </w:tc>
      </w:tr>
      <w:tr w14:paraId="4CE40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56EE6000">
            <w:pPr>
              <w:adjustRightInd w:val="0"/>
              <w:jc w:val="center"/>
              <w:rPr>
                <w:rFonts w:hint="eastAsia" w:ascii="宋体" w:hAnsi="宋体"/>
                <w:color w:val="auto"/>
                <w:szCs w:val="21"/>
                <w:highlight w:val="none"/>
              </w:rPr>
            </w:pPr>
            <w:r>
              <w:rPr>
                <w:rFonts w:hint="eastAsia" w:ascii="宋体" w:hAnsi="宋体"/>
                <w:color w:val="auto"/>
                <w:szCs w:val="21"/>
                <w:highlight w:val="none"/>
              </w:rPr>
              <w:t>3</w:t>
            </w:r>
          </w:p>
        </w:tc>
        <w:tc>
          <w:tcPr>
            <w:tcW w:w="5129" w:type="dxa"/>
            <w:tcBorders>
              <w:top w:val="single" w:color="auto" w:sz="4" w:space="0"/>
              <w:left w:val="single" w:color="auto" w:sz="4" w:space="0"/>
              <w:bottom w:val="single" w:color="auto" w:sz="4" w:space="0"/>
              <w:right w:val="single" w:color="auto" w:sz="4" w:space="0"/>
            </w:tcBorders>
            <w:vAlign w:val="center"/>
          </w:tcPr>
          <w:p w14:paraId="11E5D1D2">
            <w:pPr>
              <w:adjustRightInd w:val="0"/>
              <w:rPr>
                <w:rFonts w:hint="eastAsia" w:ascii="宋体" w:hAnsi="宋体"/>
                <w:color w:val="auto"/>
                <w:szCs w:val="21"/>
                <w:highlight w:val="none"/>
              </w:rPr>
            </w:pPr>
            <w:r>
              <w:rPr>
                <w:rFonts w:hint="eastAsia" w:ascii="宋体" w:hAnsi="宋体"/>
                <w:color w:val="auto"/>
                <w:szCs w:val="21"/>
                <w:highlight w:val="none"/>
              </w:rPr>
              <w:t>投标文件中没有有效的法定代表人证明书，或由委托代理人签署的投标文件中没有法定代表人授权书；</w:t>
            </w:r>
          </w:p>
        </w:tc>
        <w:tc>
          <w:tcPr>
            <w:tcW w:w="1134" w:type="dxa"/>
            <w:tcBorders>
              <w:top w:val="single" w:color="auto" w:sz="4" w:space="0"/>
              <w:left w:val="single" w:color="auto" w:sz="4" w:space="0"/>
              <w:bottom w:val="single" w:color="auto" w:sz="4" w:space="0"/>
              <w:right w:val="single" w:color="auto" w:sz="4" w:space="0"/>
            </w:tcBorders>
          </w:tcPr>
          <w:p w14:paraId="38AF1565">
            <w:pPr>
              <w:adjustRightInd w:val="0"/>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2FD48EB2">
            <w:pPr>
              <w:adjustRightInd w:val="0"/>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087315B0">
            <w:pPr>
              <w:adjustRightInd w:val="0"/>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4213BE4E">
            <w:pPr>
              <w:adjustRightInd w:val="0"/>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0A78871D">
            <w:pPr>
              <w:adjustRightInd w:val="0"/>
              <w:rPr>
                <w:rFonts w:hint="eastAsia" w:ascii="宋体" w:hAnsi="宋体"/>
                <w:color w:val="auto"/>
                <w:szCs w:val="21"/>
                <w:highlight w:val="none"/>
              </w:rPr>
            </w:pPr>
          </w:p>
        </w:tc>
      </w:tr>
      <w:tr w14:paraId="4662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6439EC6F">
            <w:pPr>
              <w:adjustRightInd w:val="0"/>
              <w:jc w:val="center"/>
              <w:rPr>
                <w:rFonts w:hint="eastAsia" w:ascii="宋体" w:hAnsi="宋体"/>
                <w:color w:val="auto"/>
                <w:szCs w:val="21"/>
                <w:highlight w:val="none"/>
              </w:rPr>
            </w:pPr>
            <w:r>
              <w:rPr>
                <w:rFonts w:hint="eastAsia" w:ascii="宋体" w:hAnsi="宋体"/>
                <w:color w:val="auto"/>
                <w:szCs w:val="21"/>
                <w:highlight w:val="none"/>
              </w:rPr>
              <w:t>4</w:t>
            </w:r>
          </w:p>
        </w:tc>
        <w:tc>
          <w:tcPr>
            <w:tcW w:w="5129" w:type="dxa"/>
            <w:tcBorders>
              <w:top w:val="single" w:color="auto" w:sz="4" w:space="0"/>
              <w:left w:val="single" w:color="auto" w:sz="4" w:space="0"/>
              <w:bottom w:val="single" w:color="auto" w:sz="4" w:space="0"/>
              <w:right w:val="single" w:color="auto" w:sz="4" w:space="0"/>
            </w:tcBorders>
            <w:vAlign w:val="center"/>
          </w:tcPr>
          <w:p w14:paraId="1D304BF2">
            <w:pPr>
              <w:adjustRightInd w:val="0"/>
              <w:rPr>
                <w:rFonts w:hint="eastAsia" w:ascii="宋体" w:hAnsi="宋体"/>
                <w:color w:val="auto"/>
                <w:szCs w:val="21"/>
                <w:highlight w:val="none"/>
              </w:rPr>
            </w:pPr>
            <w:r>
              <w:rPr>
                <w:rFonts w:hint="eastAsia" w:ascii="宋体" w:hAnsi="宋体"/>
                <w:color w:val="auto"/>
                <w:szCs w:val="21"/>
                <w:highlight w:val="none"/>
              </w:rPr>
              <w:t>投标文件未按规定的格式</w:t>
            </w:r>
            <w:r>
              <w:rPr>
                <w:rFonts w:hint="eastAsia" w:ascii="宋体" w:hAnsi="宋体" w:cs="宋体"/>
                <w:color w:val="auto"/>
                <w:szCs w:val="21"/>
                <w:highlight w:val="none"/>
                <w:u w:val="single"/>
              </w:rPr>
              <w:t>（指第四章投标文件格式中的参考格式一：广州建设工程施工招标投标书）</w:t>
            </w:r>
            <w:r>
              <w:rPr>
                <w:rFonts w:hint="eastAsia" w:ascii="宋体" w:hAnsi="宋体"/>
                <w:color w:val="auto"/>
                <w:szCs w:val="21"/>
                <w:highlight w:val="none"/>
              </w:rPr>
              <w:t>填写，或主要内容不全，或关键字迹模糊、无法辨认的；</w:t>
            </w:r>
          </w:p>
        </w:tc>
        <w:tc>
          <w:tcPr>
            <w:tcW w:w="1134" w:type="dxa"/>
            <w:tcBorders>
              <w:top w:val="single" w:color="auto" w:sz="4" w:space="0"/>
              <w:left w:val="single" w:color="auto" w:sz="4" w:space="0"/>
              <w:bottom w:val="single" w:color="auto" w:sz="4" w:space="0"/>
              <w:right w:val="single" w:color="auto" w:sz="4" w:space="0"/>
            </w:tcBorders>
          </w:tcPr>
          <w:p w14:paraId="60DE52C9">
            <w:pPr>
              <w:adjustRightInd w:val="0"/>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4C1ADAFC">
            <w:pPr>
              <w:adjustRightInd w:val="0"/>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3D4FD9F4">
            <w:pPr>
              <w:adjustRightInd w:val="0"/>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3B692867">
            <w:pPr>
              <w:adjustRightInd w:val="0"/>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4C3FCB30">
            <w:pPr>
              <w:adjustRightInd w:val="0"/>
              <w:rPr>
                <w:rFonts w:hint="eastAsia" w:ascii="宋体" w:hAnsi="宋体"/>
                <w:color w:val="auto"/>
                <w:szCs w:val="21"/>
                <w:highlight w:val="none"/>
              </w:rPr>
            </w:pPr>
          </w:p>
        </w:tc>
      </w:tr>
      <w:tr w14:paraId="199D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5764128D">
            <w:pPr>
              <w:adjustRightInd w:val="0"/>
              <w:jc w:val="center"/>
              <w:rPr>
                <w:rFonts w:hint="eastAsia" w:ascii="宋体" w:hAnsi="宋体"/>
                <w:color w:val="auto"/>
                <w:szCs w:val="21"/>
                <w:highlight w:val="none"/>
              </w:rPr>
            </w:pPr>
            <w:r>
              <w:rPr>
                <w:rFonts w:hint="eastAsia" w:ascii="宋体" w:hAnsi="宋体"/>
                <w:color w:val="auto"/>
                <w:szCs w:val="21"/>
                <w:highlight w:val="none"/>
              </w:rPr>
              <w:t>5</w:t>
            </w:r>
          </w:p>
        </w:tc>
        <w:tc>
          <w:tcPr>
            <w:tcW w:w="5129" w:type="dxa"/>
            <w:tcBorders>
              <w:top w:val="single" w:color="auto" w:sz="4" w:space="0"/>
              <w:left w:val="single" w:color="auto" w:sz="4" w:space="0"/>
              <w:bottom w:val="single" w:color="auto" w:sz="4" w:space="0"/>
              <w:right w:val="single" w:color="auto" w:sz="4" w:space="0"/>
            </w:tcBorders>
            <w:vAlign w:val="center"/>
          </w:tcPr>
          <w:p w14:paraId="35288177">
            <w:pPr>
              <w:adjustRightInd w:val="0"/>
              <w:rPr>
                <w:rFonts w:hint="eastAsia"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134" w:type="dxa"/>
            <w:tcBorders>
              <w:top w:val="single" w:color="auto" w:sz="4" w:space="0"/>
              <w:left w:val="single" w:color="auto" w:sz="4" w:space="0"/>
              <w:bottom w:val="single" w:color="auto" w:sz="4" w:space="0"/>
              <w:right w:val="single" w:color="auto" w:sz="4" w:space="0"/>
            </w:tcBorders>
          </w:tcPr>
          <w:p w14:paraId="6DFB8EB1">
            <w:pPr>
              <w:adjustRightInd w:val="0"/>
              <w:rPr>
                <w:rFonts w:hint="eastAsia" w:ascii="宋体" w:hAnsi="宋体"/>
                <w:color w:val="auto"/>
                <w:szCs w:val="21"/>
                <w:highlight w:val="none"/>
                <w:shd w:val="pct10" w:color="auto" w:fill="FFFFFF"/>
              </w:rPr>
            </w:pPr>
          </w:p>
        </w:tc>
        <w:tc>
          <w:tcPr>
            <w:tcW w:w="1134" w:type="dxa"/>
            <w:tcBorders>
              <w:top w:val="single" w:color="auto" w:sz="4" w:space="0"/>
              <w:left w:val="single" w:color="auto" w:sz="4" w:space="0"/>
              <w:bottom w:val="single" w:color="auto" w:sz="4" w:space="0"/>
              <w:right w:val="single" w:color="auto" w:sz="4" w:space="0"/>
            </w:tcBorders>
          </w:tcPr>
          <w:p w14:paraId="669DFBAF">
            <w:pPr>
              <w:adjustRightInd w:val="0"/>
              <w:rPr>
                <w:rFonts w:hint="eastAsia" w:ascii="宋体" w:hAnsi="宋体"/>
                <w:color w:val="auto"/>
                <w:szCs w:val="21"/>
                <w:highlight w:val="none"/>
                <w:shd w:val="pct10" w:color="auto" w:fill="FFFFFF"/>
              </w:rPr>
            </w:pPr>
          </w:p>
        </w:tc>
        <w:tc>
          <w:tcPr>
            <w:tcW w:w="1134" w:type="dxa"/>
            <w:tcBorders>
              <w:top w:val="single" w:color="auto" w:sz="4" w:space="0"/>
              <w:left w:val="single" w:color="auto" w:sz="4" w:space="0"/>
              <w:bottom w:val="single" w:color="auto" w:sz="4" w:space="0"/>
              <w:right w:val="single" w:color="auto" w:sz="4" w:space="0"/>
            </w:tcBorders>
          </w:tcPr>
          <w:p w14:paraId="55CD4B41">
            <w:pPr>
              <w:adjustRightInd w:val="0"/>
              <w:rPr>
                <w:rFonts w:hint="eastAsia" w:ascii="宋体" w:hAnsi="宋体"/>
                <w:color w:val="auto"/>
                <w:szCs w:val="21"/>
                <w:highlight w:val="none"/>
                <w:shd w:val="pct10" w:color="auto" w:fill="FFFFFF"/>
              </w:rPr>
            </w:pPr>
          </w:p>
        </w:tc>
        <w:tc>
          <w:tcPr>
            <w:tcW w:w="1134" w:type="dxa"/>
            <w:tcBorders>
              <w:top w:val="single" w:color="auto" w:sz="4" w:space="0"/>
              <w:left w:val="single" w:color="auto" w:sz="4" w:space="0"/>
              <w:bottom w:val="single" w:color="auto" w:sz="4" w:space="0"/>
              <w:right w:val="single" w:color="auto" w:sz="4" w:space="0"/>
            </w:tcBorders>
          </w:tcPr>
          <w:p w14:paraId="3FCCDEEB">
            <w:pPr>
              <w:adjustRightInd w:val="0"/>
              <w:rPr>
                <w:rFonts w:hint="eastAsia" w:ascii="宋体" w:hAnsi="宋体"/>
                <w:color w:val="auto"/>
                <w:szCs w:val="21"/>
                <w:highlight w:val="none"/>
                <w:shd w:val="pct10" w:color="auto" w:fill="FFFFFF"/>
              </w:rPr>
            </w:pPr>
          </w:p>
        </w:tc>
        <w:tc>
          <w:tcPr>
            <w:tcW w:w="1134" w:type="dxa"/>
            <w:tcBorders>
              <w:top w:val="single" w:color="auto" w:sz="4" w:space="0"/>
              <w:left w:val="single" w:color="auto" w:sz="4" w:space="0"/>
              <w:bottom w:val="single" w:color="auto" w:sz="4" w:space="0"/>
              <w:right w:val="single" w:color="auto" w:sz="4" w:space="0"/>
            </w:tcBorders>
          </w:tcPr>
          <w:p w14:paraId="3190C333">
            <w:pPr>
              <w:adjustRightInd w:val="0"/>
              <w:rPr>
                <w:rFonts w:hint="eastAsia" w:ascii="宋体" w:hAnsi="宋体"/>
                <w:color w:val="auto"/>
                <w:szCs w:val="21"/>
                <w:highlight w:val="none"/>
                <w:shd w:val="pct10" w:color="auto" w:fill="FFFFFF"/>
              </w:rPr>
            </w:pPr>
          </w:p>
        </w:tc>
      </w:tr>
      <w:tr w14:paraId="0C62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430372C7">
            <w:pPr>
              <w:adjustRightInd w:val="0"/>
              <w:jc w:val="center"/>
              <w:rPr>
                <w:rFonts w:hint="eastAsia" w:ascii="宋体" w:hAnsi="宋体"/>
                <w:color w:val="auto"/>
                <w:szCs w:val="21"/>
                <w:highlight w:val="none"/>
              </w:rPr>
            </w:pPr>
            <w:r>
              <w:rPr>
                <w:rFonts w:hint="eastAsia" w:ascii="宋体" w:hAnsi="宋体"/>
                <w:color w:val="auto"/>
                <w:szCs w:val="21"/>
                <w:highlight w:val="none"/>
              </w:rPr>
              <w:t>6</w:t>
            </w:r>
          </w:p>
        </w:tc>
        <w:tc>
          <w:tcPr>
            <w:tcW w:w="5129" w:type="dxa"/>
            <w:tcBorders>
              <w:top w:val="single" w:color="auto" w:sz="4" w:space="0"/>
              <w:left w:val="single" w:color="auto" w:sz="4" w:space="0"/>
              <w:bottom w:val="single" w:color="auto" w:sz="4" w:space="0"/>
              <w:right w:val="single" w:color="auto" w:sz="4" w:space="0"/>
            </w:tcBorders>
            <w:vAlign w:val="center"/>
          </w:tcPr>
          <w:p w14:paraId="76572018">
            <w:pPr>
              <w:adjustRightInd w:val="0"/>
              <w:rPr>
                <w:rFonts w:hint="eastAsia" w:ascii="宋体" w:hAnsi="宋体"/>
                <w:color w:val="auto"/>
                <w:szCs w:val="21"/>
                <w:highlight w:val="none"/>
              </w:rPr>
            </w:pPr>
            <w:r>
              <w:rPr>
                <w:rFonts w:hint="eastAsia" w:ascii="宋体" w:hAnsi="宋体"/>
                <w:color w:val="auto"/>
                <w:szCs w:val="21"/>
                <w:highlight w:val="none"/>
              </w:rPr>
              <w:t>无《参与编制技术标投标文件人员名单》的</w:t>
            </w:r>
          </w:p>
        </w:tc>
        <w:tc>
          <w:tcPr>
            <w:tcW w:w="1134" w:type="dxa"/>
            <w:tcBorders>
              <w:top w:val="single" w:color="auto" w:sz="4" w:space="0"/>
              <w:left w:val="single" w:color="auto" w:sz="4" w:space="0"/>
              <w:bottom w:val="single" w:color="auto" w:sz="4" w:space="0"/>
              <w:right w:val="single" w:color="auto" w:sz="4" w:space="0"/>
            </w:tcBorders>
          </w:tcPr>
          <w:p w14:paraId="077736D4">
            <w:pPr>
              <w:adjustRightInd w:val="0"/>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037F0B1B">
            <w:pPr>
              <w:adjustRightInd w:val="0"/>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3BD9C51A">
            <w:pPr>
              <w:adjustRightInd w:val="0"/>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2C6B5C6D">
            <w:pPr>
              <w:adjustRightInd w:val="0"/>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2DC57D3E">
            <w:pPr>
              <w:adjustRightInd w:val="0"/>
              <w:rPr>
                <w:rFonts w:hint="eastAsia" w:ascii="宋体" w:hAnsi="宋体"/>
                <w:color w:val="auto"/>
                <w:szCs w:val="21"/>
                <w:highlight w:val="none"/>
              </w:rPr>
            </w:pPr>
          </w:p>
        </w:tc>
      </w:tr>
      <w:tr w14:paraId="77428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397495E0">
            <w:pPr>
              <w:adjustRightInd w:val="0"/>
              <w:jc w:val="center"/>
              <w:rPr>
                <w:rFonts w:hint="eastAsia" w:ascii="宋体" w:hAnsi="宋体"/>
                <w:color w:val="auto"/>
                <w:szCs w:val="21"/>
                <w:highlight w:val="none"/>
              </w:rPr>
            </w:pPr>
            <w:r>
              <w:rPr>
                <w:rFonts w:hint="eastAsia" w:ascii="宋体" w:hAnsi="宋体"/>
                <w:color w:val="auto"/>
                <w:szCs w:val="21"/>
                <w:highlight w:val="none"/>
              </w:rPr>
              <w:t>7</w:t>
            </w:r>
          </w:p>
        </w:tc>
        <w:tc>
          <w:tcPr>
            <w:tcW w:w="5129" w:type="dxa"/>
            <w:tcBorders>
              <w:top w:val="single" w:color="auto" w:sz="4" w:space="0"/>
              <w:left w:val="single" w:color="auto" w:sz="4" w:space="0"/>
              <w:bottom w:val="single" w:color="auto" w:sz="4" w:space="0"/>
              <w:right w:val="single" w:color="auto" w:sz="4" w:space="0"/>
            </w:tcBorders>
            <w:vAlign w:val="center"/>
          </w:tcPr>
          <w:p w14:paraId="48A68313">
            <w:pPr>
              <w:adjustRightInd w:val="0"/>
              <w:rPr>
                <w:rFonts w:hint="eastAsia" w:ascii="宋体" w:hAnsi="宋体"/>
                <w:color w:val="auto"/>
                <w:szCs w:val="21"/>
                <w:highlight w:val="none"/>
              </w:rPr>
            </w:pPr>
            <w:r>
              <w:rPr>
                <w:rFonts w:hint="eastAsia" w:ascii="宋体" w:hAnsi="宋体"/>
                <w:color w:val="auto"/>
                <w:szCs w:val="21"/>
                <w:highlight w:val="none"/>
              </w:rPr>
              <w:t>投标人与本项目其他投标人加密打包投标文件硬件机器特征码一致的</w:t>
            </w:r>
            <w:r>
              <w:rPr>
                <w:rFonts w:ascii="宋体" w:hAnsi="宋体"/>
                <w:color w:val="auto"/>
                <w:szCs w:val="21"/>
                <w:highlight w:val="none"/>
              </w:rPr>
              <w:t>(以交易平台评标系统的检索信息为准)</w:t>
            </w:r>
          </w:p>
        </w:tc>
        <w:tc>
          <w:tcPr>
            <w:tcW w:w="1134" w:type="dxa"/>
            <w:tcBorders>
              <w:top w:val="single" w:color="auto" w:sz="4" w:space="0"/>
              <w:left w:val="single" w:color="auto" w:sz="4" w:space="0"/>
              <w:bottom w:val="single" w:color="auto" w:sz="4" w:space="0"/>
              <w:right w:val="single" w:color="auto" w:sz="4" w:space="0"/>
            </w:tcBorders>
          </w:tcPr>
          <w:p w14:paraId="36FF3B6E">
            <w:pPr>
              <w:adjustRightInd w:val="0"/>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7897C865">
            <w:pPr>
              <w:adjustRightInd w:val="0"/>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71EFB7EF">
            <w:pPr>
              <w:adjustRightInd w:val="0"/>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147045BC">
            <w:pPr>
              <w:adjustRightInd w:val="0"/>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32300527">
            <w:pPr>
              <w:adjustRightInd w:val="0"/>
              <w:rPr>
                <w:rFonts w:hint="eastAsia" w:ascii="宋体" w:hAnsi="宋体"/>
                <w:color w:val="auto"/>
                <w:szCs w:val="21"/>
                <w:highlight w:val="none"/>
              </w:rPr>
            </w:pPr>
          </w:p>
        </w:tc>
      </w:tr>
    </w:tbl>
    <w:p w14:paraId="4EC54898">
      <w:pPr>
        <w:spacing w:line="300" w:lineRule="exact"/>
        <w:rPr>
          <w:rFonts w:hint="eastAsia" w:ascii="宋体" w:hAnsi="宋体"/>
          <w:color w:val="auto"/>
          <w:szCs w:val="21"/>
          <w:highlight w:val="none"/>
        </w:rPr>
      </w:pPr>
      <w:r>
        <w:rPr>
          <w:rFonts w:hint="eastAsia" w:ascii="宋体" w:hAnsi="宋体"/>
          <w:color w:val="auto"/>
          <w:szCs w:val="21"/>
          <w:highlight w:val="none"/>
        </w:rPr>
        <w:t>注：1.本表使用招标文件范本，与范本内容不同之处均以下划线标明。技术标评审中，响应性、承诺性内容不应作为评分因素，可在该表中对上述内容进行符合性审查。审查标准须具备可操作性。</w:t>
      </w:r>
    </w:p>
    <w:p w14:paraId="017ED6B3">
      <w:pPr>
        <w:spacing w:line="300" w:lineRule="exact"/>
        <w:rPr>
          <w:rFonts w:hint="eastAsia" w:ascii="宋体" w:hAnsi="宋体"/>
          <w:color w:val="auto"/>
          <w:szCs w:val="21"/>
          <w:highlight w:val="none"/>
        </w:rPr>
      </w:pPr>
      <w:r>
        <w:rPr>
          <w:rFonts w:hint="eastAsia" w:ascii="宋体" w:hAnsi="宋体"/>
          <w:color w:val="auto"/>
          <w:szCs w:val="21"/>
          <w:highlight w:val="none"/>
        </w:rPr>
        <w:t>2.不得将文件顺序、明显的文字错误等列为否决投标的情形。评委发现投标文件中含义不明确、对同类问题表述不一致、有明显格式或文字、计算错误的，应当要求投标人作必要的澄清、说明后再判定投标人是否通过有效性审查，不得直接否决投标，若出现评标委员会否决投标的，应在评标报告中载明否决投标的具体情形、原因；</w:t>
      </w:r>
    </w:p>
    <w:p w14:paraId="79FF3E95">
      <w:pPr>
        <w:spacing w:line="300" w:lineRule="exact"/>
        <w:rPr>
          <w:rFonts w:hint="eastAsia" w:ascii="宋体" w:hAnsi="宋体"/>
          <w:color w:val="auto"/>
          <w:szCs w:val="21"/>
          <w:highlight w:val="none"/>
        </w:rPr>
      </w:pPr>
      <w:r>
        <w:rPr>
          <w:rFonts w:hint="eastAsia" w:ascii="宋体" w:hAnsi="宋体"/>
          <w:color w:val="auto"/>
          <w:szCs w:val="21"/>
          <w:highlight w:val="none"/>
        </w:rPr>
        <w:t>3.凡出现以上任何一项情形，结论均为无效，否则就为有效。</w:t>
      </w:r>
    </w:p>
    <w:p w14:paraId="5010C4C1">
      <w:pPr>
        <w:spacing w:line="300" w:lineRule="exact"/>
        <w:rPr>
          <w:color w:val="auto"/>
          <w:szCs w:val="21"/>
          <w:highlight w:val="none"/>
        </w:rPr>
      </w:pPr>
      <w:r>
        <w:rPr>
          <w:rFonts w:hint="eastAsia" w:ascii="宋体" w:hAnsi="宋体"/>
          <w:color w:val="auto"/>
          <w:szCs w:val="21"/>
          <w:highlight w:val="none"/>
        </w:rPr>
        <w:t>4.如对本表中某种情形的评审意见不一致时，以评标委员会过半数成员的意见作为评标委员会对该情形的认定结论。</w:t>
      </w:r>
      <w:r>
        <w:rPr>
          <w:color w:val="auto"/>
          <w:highlight w:val="none"/>
        </w:rPr>
        <w:br w:type="page"/>
      </w:r>
      <w:r>
        <w:rPr>
          <w:rFonts w:hint="eastAsia"/>
          <w:color w:val="auto"/>
          <w:sz w:val="28"/>
          <w:szCs w:val="28"/>
          <w:highlight w:val="none"/>
        </w:rPr>
        <w:t>附表三</w:t>
      </w:r>
    </w:p>
    <w:p w14:paraId="2E58F169">
      <w:pPr>
        <w:jc w:val="center"/>
        <w:rPr>
          <w:b/>
          <w:color w:val="auto"/>
          <w:sz w:val="36"/>
          <w:szCs w:val="36"/>
          <w:highlight w:val="none"/>
        </w:rPr>
      </w:pPr>
      <w:r>
        <w:rPr>
          <w:rFonts w:hint="eastAsia"/>
          <w:b/>
          <w:color w:val="auto"/>
          <w:sz w:val="36"/>
          <w:szCs w:val="36"/>
          <w:highlight w:val="none"/>
        </w:rPr>
        <w:t>经济标有效性审查表</w:t>
      </w:r>
    </w:p>
    <w:p w14:paraId="2532260F">
      <w:pPr>
        <w:rPr>
          <w:color w:val="auto"/>
          <w:szCs w:val="21"/>
          <w:highlight w:val="none"/>
        </w:rPr>
      </w:pPr>
      <w:r>
        <w:rPr>
          <w:rFonts w:hint="eastAsia"/>
          <w:color w:val="auto"/>
          <w:szCs w:val="21"/>
          <w:highlight w:val="none"/>
        </w:rPr>
        <w:t>工程名称：</w:t>
      </w:r>
    </w:p>
    <w:tbl>
      <w:tblPr>
        <w:tblStyle w:val="36"/>
        <w:tblW w:w="143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7467"/>
        <w:gridCol w:w="1254"/>
        <w:gridCol w:w="1254"/>
        <w:gridCol w:w="1254"/>
        <w:gridCol w:w="1254"/>
        <w:gridCol w:w="1254"/>
      </w:tblGrid>
      <w:tr w14:paraId="6CDAB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89" w:type="dxa"/>
            <w:tcBorders>
              <w:top w:val="single" w:color="auto" w:sz="4" w:space="0"/>
              <w:left w:val="single" w:color="auto" w:sz="4" w:space="0"/>
              <w:bottom w:val="single" w:color="auto" w:sz="4" w:space="0"/>
              <w:right w:val="single" w:color="auto" w:sz="4" w:space="0"/>
            </w:tcBorders>
            <w:vAlign w:val="center"/>
          </w:tcPr>
          <w:p w14:paraId="0FEAC9EB">
            <w:pPr>
              <w:rPr>
                <w:rFonts w:hint="eastAsia" w:ascii="宋体" w:hAnsi="宋体"/>
                <w:color w:val="auto"/>
                <w:szCs w:val="21"/>
                <w:highlight w:val="none"/>
              </w:rPr>
            </w:pPr>
            <w:r>
              <w:rPr>
                <w:rFonts w:hint="eastAsia" w:ascii="宋体" w:hAnsi="宋体"/>
                <w:color w:val="auto"/>
                <w:szCs w:val="21"/>
                <w:highlight w:val="none"/>
              </w:rPr>
              <w:t>序号</w:t>
            </w:r>
          </w:p>
        </w:tc>
        <w:tc>
          <w:tcPr>
            <w:tcW w:w="6754" w:type="dxa"/>
            <w:tcBorders>
              <w:top w:val="single" w:color="auto" w:sz="4" w:space="0"/>
              <w:left w:val="single" w:color="auto" w:sz="4" w:space="0"/>
              <w:bottom w:val="single" w:color="auto" w:sz="4" w:space="0"/>
              <w:right w:val="single" w:color="auto" w:sz="4" w:space="0"/>
              <w:tl2br w:val="single" w:color="auto" w:sz="4" w:space="0"/>
            </w:tcBorders>
          </w:tcPr>
          <w:p w14:paraId="3D510640">
            <w:pPr>
              <w:rPr>
                <w:rFonts w:hint="eastAsia"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投标人</w:t>
            </w:r>
          </w:p>
          <w:p w14:paraId="6869A2D5">
            <w:pPr>
              <w:rPr>
                <w:rFonts w:hint="eastAsia" w:ascii="宋体" w:hAnsi="宋体"/>
                <w:color w:val="auto"/>
                <w:szCs w:val="21"/>
                <w:highlight w:val="none"/>
              </w:rPr>
            </w:pPr>
          </w:p>
          <w:p w14:paraId="3798C090">
            <w:pPr>
              <w:rPr>
                <w:rFonts w:hint="eastAsia" w:ascii="宋体" w:hAnsi="宋体"/>
                <w:color w:val="auto"/>
                <w:szCs w:val="21"/>
                <w:highlight w:val="none"/>
              </w:rPr>
            </w:pPr>
            <w:r>
              <w:rPr>
                <w:rFonts w:hint="eastAsia" w:ascii="宋体" w:hAnsi="宋体"/>
                <w:color w:val="auto"/>
                <w:szCs w:val="21"/>
                <w:highlight w:val="none"/>
              </w:rPr>
              <w:t>评审内容</w:t>
            </w:r>
          </w:p>
        </w:tc>
        <w:tc>
          <w:tcPr>
            <w:tcW w:w="1134" w:type="dxa"/>
            <w:tcBorders>
              <w:top w:val="single" w:color="auto" w:sz="4" w:space="0"/>
              <w:left w:val="single" w:color="auto" w:sz="4" w:space="0"/>
              <w:bottom w:val="single" w:color="auto" w:sz="4" w:space="0"/>
              <w:right w:val="single" w:color="auto" w:sz="4" w:space="0"/>
            </w:tcBorders>
          </w:tcPr>
          <w:p w14:paraId="7A201F76">
            <w:pPr>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3D63F930">
            <w:pPr>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3F5B8213">
            <w:pPr>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3499F25D">
            <w:pPr>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10F39D00">
            <w:pPr>
              <w:rPr>
                <w:rFonts w:hint="eastAsia" w:ascii="宋体" w:hAnsi="宋体"/>
                <w:color w:val="auto"/>
                <w:szCs w:val="21"/>
                <w:highlight w:val="none"/>
              </w:rPr>
            </w:pPr>
          </w:p>
        </w:tc>
      </w:tr>
      <w:tr w14:paraId="68B9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9" w:type="dxa"/>
            <w:tcBorders>
              <w:top w:val="single" w:color="auto" w:sz="4" w:space="0"/>
              <w:left w:val="single" w:color="auto" w:sz="4" w:space="0"/>
              <w:bottom w:val="single" w:color="auto" w:sz="4" w:space="0"/>
              <w:right w:val="single" w:color="auto" w:sz="4" w:space="0"/>
            </w:tcBorders>
            <w:vAlign w:val="center"/>
          </w:tcPr>
          <w:p w14:paraId="1E18CA85">
            <w:pPr>
              <w:jc w:val="center"/>
              <w:rPr>
                <w:rFonts w:hint="eastAsia" w:ascii="宋体" w:hAnsi="宋体"/>
                <w:color w:val="auto"/>
                <w:szCs w:val="21"/>
                <w:highlight w:val="none"/>
              </w:rPr>
            </w:pPr>
            <w:r>
              <w:rPr>
                <w:rFonts w:ascii="宋体" w:hAnsi="宋体"/>
                <w:color w:val="auto"/>
                <w:szCs w:val="21"/>
                <w:highlight w:val="none"/>
              </w:rPr>
              <w:t>1</w:t>
            </w:r>
          </w:p>
        </w:tc>
        <w:tc>
          <w:tcPr>
            <w:tcW w:w="6754" w:type="dxa"/>
            <w:tcBorders>
              <w:top w:val="single" w:color="auto" w:sz="4" w:space="0"/>
              <w:left w:val="single" w:color="auto" w:sz="4" w:space="0"/>
              <w:bottom w:val="single" w:color="auto" w:sz="4" w:space="0"/>
              <w:right w:val="single" w:color="auto" w:sz="4" w:space="0"/>
            </w:tcBorders>
            <w:vAlign w:val="center"/>
          </w:tcPr>
          <w:p w14:paraId="381E2091">
            <w:pPr>
              <w:rPr>
                <w:rFonts w:hint="eastAsia"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134" w:type="dxa"/>
            <w:tcBorders>
              <w:top w:val="single" w:color="auto" w:sz="4" w:space="0"/>
              <w:left w:val="single" w:color="auto" w:sz="4" w:space="0"/>
              <w:bottom w:val="single" w:color="auto" w:sz="4" w:space="0"/>
              <w:right w:val="single" w:color="auto" w:sz="4" w:space="0"/>
            </w:tcBorders>
          </w:tcPr>
          <w:p w14:paraId="76D422C1">
            <w:pPr>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43463C46">
            <w:pPr>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78833480">
            <w:pPr>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5C8201FE">
            <w:pPr>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029351E8">
            <w:pPr>
              <w:rPr>
                <w:rFonts w:hint="eastAsia" w:ascii="宋体" w:hAnsi="宋体"/>
                <w:color w:val="auto"/>
                <w:szCs w:val="21"/>
                <w:highlight w:val="none"/>
              </w:rPr>
            </w:pPr>
          </w:p>
        </w:tc>
      </w:tr>
      <w:tr w14:paraId="00C5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9" w:type="dxa"/>
            <w:tcBorders>
              <w:top w:val="single" w:color="auto" w:sz="4" w:space="0"/>
              <w:left w:val="single" w:color="auto" w:sz="4" w:space="0"/>
              <w:bottom w:val="single" w:color="auto" w:sz="4" w:space="0"/>
              <w:right w:val="single" w:color="auto" w:sz="4" w:space="0"/>
            </w:tcBorders>
            <w:vAlign w:val="center"/>
          </w:tcPr>
          <w:p w14:paraId="3E365BE7">
            <w:pPr>
              <w:jc w:val="center"/>
              <w:rPr>
                <w:rFonts w:hint="eastAsia" w:ascii="宋体" w:hAnsi="宋体"/>
                <w:color w:val="auto"/>
                <w:szCs w:val="21"/>
                <w:highlight w:val="none"/>
              </w:rPr>
            </w:pPr>
            <w:r>
              <w:rPr>
                <w:rFonts w:ascii="宋体" w:hAnsi="宋体"/>
                <w:color w:val="auto"/>
                <w:szCs w:val="21"/>
                <w:highlight w:val="none"/>
              </w:rPr>
              <w:t>2</w:t>
            </w:r>
          </w:p>
        </w:tc>
        <w:tc>
          <w:tcPr>
            <w:tcW w:w="6754" w:type="dxa"/>
            <w:tcBorders>
              <w:top w:val="single" w:color="auto" w:sz="4" w:space="0"/>
              <w:left w:val="single" w:color="auto" w:sz="4" w:space="0"/>
              <w:bottom w:val="single" w:color="auto" w:sz="4" w:space="0"/>
              <w:right w:val="single" w:color="auto" w:sz="4" w:space="0"/>
            </w:tcBorders>
            <w:vAlign w:val="center"/>
          </w:tcPr>
          <w:p w14:paraId="46707B5E">
            <w:pPr>
              <w:rPr>
                <w:rFonts w:hint="eastAsia" w:ascii="宋体" w:hAnsi="宋体"/>
                <w:color w:val="auto"/>
                <w:szCs w:val="21"/>
                <w:highlight w:val="none"/>
              </w:rPr>
            </w:pPr>
            <w:r>
              <w:rPr>
                <w:rFonts w:hint="eastAsia" w:ascii="宋体" w:hAnsi="宋体"/>
                <w:color w:val="auto"/>
                <w:szCs w:val="21"/>
                <w:highlight w:val="none"/>
              </w:rPr>
              <w:t>投标报价高于最高投标限价的；</w:t>
            </w:r>
          </w:p>
        </w:tc>
        <w:tc>
          <w:tcPr>
            <w:tcW w:w="1134" w:type="dxa"/>
            <w:tcBorders>
              <w:top w:val="single" w:color="auto" w:sz="4" w:space="0"/>
              <w:left w:val="single" w:color="auto" w:sz="4" w:space="0"/>
              <w:bottom w:val="single" w:color="auto" w:sz="4" w:space="0"/>
              <w:right w:val="single" w:color="auto" w:sz="4" w:space="0"/>
            </w:tcBorders>
          </w:tcPr>
          <w:p w14:paraId="6439A5CE">
            <w:pPr>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129AB5D1">
            <w:pPr>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543DCE91">
            <w:pPr>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622A80FE">
            <w:pPr>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13A374D5">
            <w:pPr>
              <w:rPr>
                <w:rFonts w:hint="eastAsia" w:ascii="宋体" w:hAnsi="宋体"/>
                <w:color w:val="auto"/>
                <w:szCs w:val="21"/>
                <w:highlight w:val="none"/>
              </w:rPr>
            </w:pPr>
          </w:p>
        </w:tc>
      </w:tr>
      <w:tr w14:paraId="2114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9" w:type="dxa"/>
            <w:tcBorders>
              <w:top w:val="single" w:color="auto" w:sz="4" w:space="0"/>
              <w:left w:val="single" w:color="auto" w:sz="4" w:space="0"/>
              <w:bottom w:val="single" w:color="auto" w:sz="4" w:space="0"/>
              <w:right w:val="single" w:color="auto" w:sz="4" w:space="0"/>
            </w:tcBorders>
            <w:vAlign w:val="center"/>
          </w:tcPr>
          <w:p w14:paraId="3C726D02">
            <w:pPr>
              <w:jc w:val="center"/>
              <w:rPr>
                <w:rFonts w:hint="eastAsia" w:ascii="宋体" w:hAnsi="宋体"/>
                <w:color w:val="auto"/>
                <w:szCs w:val="21"/>
                <w:highlight w:val="none"/>
              </w:rPr>
            </w:pPr>
            <w:r>
              <w:rPr>
                <w:rFonts w:ascii="宋体" w:hAnsi="宋体"/>
                <w:color w:val="auto"/>
                <w:szCs w:val="21"/>
                <w:highlight w:val="none"/>
              </w:rPr>
              <w:t>3</w:t>
            </w:r>
          </w:p>
        </w:tc>
        <w:tc>
          <w:tcPr>
            <w:tcW w:w="6754" w:type="dxa"/>
            <w:tcBorders>
              <w:top w:val="single" w:color="auto" w:sz="4" w:space="0"/>
              <w:left w:val="single" w:color="auto" w:sz="4" w:space="0"/>
              <w:bottom w:val="single" w:color="auto" w:sz="4" w:space="0"/>
              <w:right w:val="single" w:color="auto" w:sz="4" w:space="0"/>
            </w:tcBorders>
            <w:vAlign w:val="center"/>
          </w:tcPr>
          <w:p w14:paraId="0CCCC32B">
            <w:pPr>
              <w:autoSpaceDE w:val="0"/>
              <w:autoSpaceDN w:val="0"/>
              <w:adjustRightInd w:val="0"/>
              <w:ind w:left="-2" w:leftChars="-1"/>
              <w:jc w:val="left"/>
              <w:rPr>
                <w:rFonts w:hint="eastAsia" w:ascii="宋体" w:hAnsi="宋体"/>
                <w:color w:val="auto"/>
                <w:szCs w:val="21"/>
                <w:highlight w:val="none"/>
              </w:rPr>
            </w:pPr>
            <w:r>
              <w:rPr>
                <w:rFonts w:hint="eastAsia" w:ascii="宋体" w:hAnsi="宋体"/>
                <w:color w:val="auto"/>
                <w:szCs w:val="21"/>
                <w:highlight w:val="none"/>
              </w:rPr>
              <w:t>投标报价低于成本的（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w:t>
            </w:r>
          </w:p>
        </w:tc>
        <w:tc>
          <w:tcPr>
            <w:tcW w:w="1134" w:type="dxa"/>
            <w:tcBorders>
              <w:top w:val="single" w:color="auto" w:sz="4" w:space="0"/>
              <w:left w:val="single" w:color="auto" w:sz="4" w:space="0"/>
              <w:bottom w:val="single" w:color="auto" w:sz="4" w:space="0"/>
              <w:right w:val="single" w:color="auto" w:sz="4" w:space="0"/>
            </w:tcBorders>
          </w:tcPr>
          <w:p w14:paraId="2667F49B">
            <w:pPr>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7D1FA9AF">
            <w:pPr>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42BD9470">
            <w:pPr>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7DF45BE2">
            <w:pPr>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2275ED15">
            <w:pPr>
              <w:rPr>
                <w:rFonts w:hint="eastAsia" w:ascii="宋体" w:hAnsi="宋体"/>
                <w:color w:val="auto"/>
                <w:szCs w:val="21"/>
                <w:highlight w:val="none"/>
              </w:rPr>
            </w:pPr>
          </w:p>
        </w:tc>
      </w:tr>
      <w:tr w14:paraId="25E0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9" w:type="dxa"/>
            <w:tcBorders>
              <w:top w:val="single" w:color="auto" w:sz="4" w:space="0"/>
              <w:left w:val="single" w:color="auto" w:sz="4" w:space="0"/>
              <w:bottom w:val="single" w:color="auto" w:sz="4" w:space="0"/>
              <w:right w:val="single" w:color="auto" w:sz="4" w:space="0"/>
            </w:tcBorders>
            <w:vAlign w:val="center"/>
          </w:tcPr>
          <w:p w14:paraId="3CFD3772">
            <w:pPr>
              <w:jc w:val="center"/>
              <w:rPr>
                <w:rFonts w:hint="eastAsia" w:ascii="宋体" w:hAnsi="宋体"/>
                <w:color w:val="auto"/>
                <w:szCs w:val="21"/>
                <w:highlight w:val="none"/>
              </w:rPr>
            </w:pPr>
            <w:r>
              <w:rPr>
                <w:rFonts w:hint="eastAsia" w:ascii="宋体" w:hAnsi="宋体"/>
                <w:color w:val="auto"/>
                <w:szCs w:val="21"/>
                <w:highlight w:val="none"/>
              </w:rPr>
              <w:t>4</w:t>
            </w:r>
          </w:p>
        </w:tc>
        <w:tc>
          <w:tcPr>
            <w:tcW w:w="6754" w:type="dxa"/>
            <w:tcBorders>
              <w:top w:val="single" w:color="auto" w:sz="4" w:space="0"/>
              <w:left w:val="single" w:color="auto" w:sz="4" w:space="0"/>
              <w:bottom w:val="single" w:color="auto" w:sz="4" w:space="0"/>
              <w:right w:val="single" w:color="auto" w:sz="4" w:space="0"/>
            </w:tcBorders>
            <w:vAlign w:val="center"/>
          </w:tcPr>
          <w:p w14:paraId="5944DD84">
            <w:pPr>
              <w:rPr>
                <w:rFonts w:hint="eastAsia" w:ascii="宋体" w:hAnsi="宋体"/>
                <w:color w:val="auto"/>
                <w:szCs w:val="21"/>
                <w:highlight w:val="none"/>
              </w:rPr>
            </w:pPr>
            <w:r>
              <w:rPr>
                <w:rFonts w:hint="eastAsia" w:ascii="宋体" w:hAnsi="宋体"/>
                <w:color w:val="auto"/>
                <w:szCs w:val="21"/>
                <w:highlight w:val="none"/>
              </w:rPr>
              <w:t>投标文件未按规定的格式</w:t>
            </w:r>
            <w:r>
              <w:rPr>
                <w:rFonts w:hint="eastAsia" w:ascii="宋体" w:hAnsi="宋体" w:cs="宋体"/>
                <w:color w:val="auto"/>
                <w:szCs w:val="21"/>
                <w:highlight w:val="none"/>
                <w:u w:val="single"/>
              </w:rPr>
              <w:t>（指第四章投标文件格式中的参考格式一：广州建设工程施工招标投标书）</w:t>
            </w:r>
            <w:r>
              <w:rPr>
                <w:rFonts w:hint="eastAsia" w:ascii="宋体" w:hAnsi="宋体"/>
                <w:color w:val="auto"/>
                <w:szCs w:val="21"/>
                <w:highlight w:val="none"/>
              </w:rPr>
              <w:t>填写，或主要内容不全，或关键字迹模糊、无法辨认的；</w:t>
            </w:r>
          </w:p>
        </w:tc>
        <w:tc>
          <w:tcPr>
            <w:tcW w:w="1134" w:type="dxa"/>
            <w:tcBorders>
              <w:top w:val="single" w:color="auto" w:sz="4" w:space="0"/>
              <w:left w:val="single" w:color="auto" w:sz="4" w:space="0"/>
              <w:bottom w:val="single" w:color="auto" w:sz="4" w:space="0"/>
              <w:right w:val="single" w:color="auto" w:sz="4" w:space="0"/>
            </w:tcBorders>
          </w:tcPr>
          <w:p w14:paraId="41F2E745">
            <w:pPr>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1E9F2580">
            <w:pPr>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5A6E5466">
            <w:pPr>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55A8B009">
            <w:pPr>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43762116">
            <w:pPr>
              <w:rPr>
                <w:rFonts w:hint="eastAsia" w:ascii="宋体" w:hAnsi="宋体"/>
                <w:color w:val="auto"/>
                <w:szCs w:val="21"/>
                <w:highlight w:val="none"/>
              </w:rPr>
            </w:pPr>
          </w:p>
        </w:tc>
      </w:tr>
      <w:tr w14:paraId="0EAB8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9" w:type="dxa"/>
            <w:tcBorders>
              <w:top w:val="single" w:color="auto" w:sz="4" w:space="0"/>
              <w:left w:val="single" w:color="auto" w:sz="4" w:space="0"/>
              <w:bottom w:val="single" w:color="auto" w:sz="4" w:space="0"/>
              <w:right w:val="single" w:color="auto" w:sz="4" w:space="0"/>
            </w:tcBorders>
            <w:vAlign w:val="center"/>
          </w:tcPr>
          <w:p w14:paraId="21F89ED0">
            <w:pPr>
              <w:jc w:val="center"/>
              <w:rPr>
                <w:rFonts w:hint="eastAsia" w:ascii="宋体" w:hAnsi="宋体"/>
                <w:color w:val="auto"/>
                <w:szCs w:val="21"/>
                <w:highlight w:val="none"/>
              </w:rPr>
            </w:pPr>
            <w:r>
              <w:rPr>
                <w:rFonts w:hint="eastAsia" w:ascii="宋体" w:hAnsi="宋体"/>
                <w:color w:val="auto"/>
                <w:szCs w:val="21"/>
                <w:highlight w:val="none"/>
              </w:rPr>
              <w:t>5</w:t>
            </w:r>
          </w:p>
        </w:tc>
        <w:tc>
          <w:tcPr>
            <w:tcW w:w="6754" w:type="dxa"/>
            <w:tcBorders>
              <w:top w:val="single" w:color="auto" w:sz="4" w:space="0"/>
              <w:left w:val="single" w:color="auto" w:sz="4" w:space="0"/>
              <w:bottom w:val="single" w:color="auto" w:sz="4" w:space="0"/>
              <w:right w:val="single" w:color="auto" w:sz="4" w:space="0"/>
            </w:tcBorders>
            <w:vAlign w:val="center"/>
          </w:tcPr>
          <w:p w14:paraId="59F155AC">
            <w:pPr>
              <w:rPr>
                <w:rFonts w:hint="eastAsia"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134" w:type="dxa"/>
            <w:tcBorders>
              <w:top w:val="single" w:color="auto" w:sz="4" w:space="0"/>
              <w:left w:val="single" w:color="auto" w:sz="4" w:space="0"/>
              <w:bottom w:val="single" w:color="auto" w:sz="4" w:space="0"/>
              <w:right w:val="single" w:color="auto" w:sz="4" w:space="0"/>
            </w:tcBorders>
          </w:tcPr>
          <w:p w14:paraId="1A708599">
            <w:pPr>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69C1F773">
            <w:pPr>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513EF1CF">
            <w:pPr>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76CF75C7">
            <w:pPr>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0FE63C7F">
            <w:pPr>
              <w:rPr>
                <w:rFonts w:hint="eastAsia" w:ascii="宋体" w:hAnsi="宋体"/>
                <w:color w:val="auto"/>
                <w:szCs w:val="21"/>
                <w:highlight w:val="none"/>
              </w:rPr>
            </w:pPr>
          </w:p>
        </w:tc>
      </w:tr>
      <w:tr w14:paraId="3293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9" w:type="dxa"/>
            <w:tcBorders>
              <w:top w:val="single" w:color="auto" w:sz="4" w:space="0"/>
              <w:left w:val="single" w:color="auto" w:sz="4" w:space="0"/>
              <w:bottom w:val="single" w:color="auto" w:sz="4" w:space="0"/>
              <w:right w:val="single" w:color="auto" w:sz="4" w:space="0"/>
            </w:tcBorders>
            <w:vAlign w:val="center"/>
          </w:tcPr>
          <w:p w14:paraId="65A0E227">
            <w:pPr>
              <w:jc w:val="center"/>
              <w:rPr>
                <w:rFonts w:hint="eastAsia" w:ascii="宋体" w:hAnsi="宋体"/>
                <w:color w:val="auto"/>
                <w:szCs w:val="21"/>
                <w:highlight w:val="none"/>
              </w:rPr>
            </w:pPr>
            <w:r>
              <w:rPr>
                <w:rFonts w:hint="eastAsia" w:ascii="宋体" w:hAnsi="宋体"/>
                <w:color w:val="auto"/>
                <w:szCs w:val="21"/>
                <w:highlight w:val="none"/>
              </w:rPr>
              <w:t>6</w:t>
            </w:r>
          </w:p>
        </w:tc>
        <w:tc>
          <w:tcPr>
            <w:tcW w:w="6754" w:type="dxa"/>
            <w:tcBorders>
              <w:top w:val="single" w:color="auto" w:sz="4" w:space="0"/>
              <w:left w:val="single" w:color="auto" w:sz="4" w:space="0"/>
              <w:bottom w:val="single" w:color="auto" w:sz="4" w:space="0"/>
              <w:right w:val="single" w:color="auto" w:sz="4" w:space="0"/>
            </w:tcBorders>
            <w:vAlign w:val="center"/>
          </w:tcPr>
          <w:p w14:paraId="6810E6D4">
            <w:pPr>
              <w:rPr>
                <w:rFonts w:hint="eastAsia" w:ascii="宋体" w:hAnsi="宋体"/>
                <w:color w:val="auto"/>
                <w:szCs w:val="21"/>
                <w:highlight w:val="none"/>
              </w:rPr>
            </w:pPr>
            <w:r>
              <w:rPr>
                <w:rFonts w:hint="eastAsia" w:ascii="宋体" w:hAnsi="宋体"/>
                <w:color w:val="auto"/>
                <w:szCs w:val="21"/>
                <w:highlight w:val="none"/>
              </w:rPr>
              <w:t>无《参与编制经济标投标文件人员名单》的；</w:t>
            </w:r>
          </w:p>
        </w:tc>
        <w:tc>
          <w:tcPr>
            <w:tcW w:w="1134" w:type="dxa"/>
            <w:tcBorders>
              <w:top w:val="single" w:color="auto" w:sz="4" w:space="0"/>
              <w:left w:val="single" w:color="auto" w:sz="4" w:space="0"/>
              <w:bottom w:val="single" w:color="auto" w:sz="4" w:space="0"/>
              <w:right w:val="single" w:color="auto" w:sz="4" w:space="0"/>
            </w:tcBorders>
          </w:tcPr>
          <w:p w14:paraId="6B744C19">
            <w:pPr>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6798494D">
            <w:pPr>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5840F04E">
            <w:pPr>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4E4FB84D">
            <w:pPr>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635E4540">
            <w:pPr>
              <w:rPr>
                <w:rFonts w:hint="eastAsia" w:ascii="宋体" w:hAnsi="宋体"/>
                <w:color w:val="auto"/>
                <w:szCs w:val="21"/>
                <w:highlight w:val="none"/>
              </w:rPr>
            </w:pPr>
          </w:p>
        </w:tc>
      </w:tr>
      <w:tr w14:paraId="0AC3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9" w:type="dxa"/>
            <w:tcBorders>
              <w:top w:val="single" w:color="auto" w:sz="4" w:space="0"/>
              <w:left w:val="single" w:color="auto" w:sz="4" w:space="0"/>
              <w:bottom w:val="single" w:color="auto" w:sz="4" w:space="0"/>
              <w:right w:val="single" w:color="auto" w:sz="4" w:space="0"/>
            </w:tcBorders>
            <w:vAlign w:val="center"/>
          </w:tcPr>
          <w:p w14:paraId="63D23168">
            <w:pPr>
              <w:jc w:val="center"/>
              <w:rPr>
                <w:rFonts w:hint="eastAsia" w:ascii="宋体" w:hAnsi="宋体"/>
                <w:color w:val="auto"/>
                <w:szCs w:val="21"/>
                <w:highlight w:val="none"/>
              </w:rPr>
            </w:pPr>
            <w:r>
              <w:rPr>
                <w:rFonts w:hint="eastAsia" w:ascii="宋体" w:hAnsi="宋体"/>
                <w:color w:val="auto"/>
                <w:szCs w:val="21"/>
                <w:highlight w:val="none"/>
              </w:rPr>
              <w:t>7</w:t>
            </w:r>
          </w:p>
        </w:tc>
        <w:tc>
          <w:tcPr>
            <w:tcW w:w="6754" w:type="dxa"/>
            <w:tcBorders>
              <w:top w:val="single" w:color="auto" w:sz="4" w:space="0"/>
              <w:left w:val="single" w:color="auto" w:sz="4" w:space="0"/>
              <w:bottom w:val="single" w:color="auto" w:sz="4" w:space="0"/>
              <w:right w:val="single" w:color="auto" w:sz="4" w:space="0"/>
            </w:tcBorders>
            <w:vAlign w:val="center"/>
          </w:tcPr>
          <w:p w14:paraId="11BE6037">
            <w:pPr>
              <w:rPr>
                <w:rFonts w:hint="eastAsia" w:ascii="宋体" w:hAnsi="宋体"/>
                <w:color w:val="auto"/>
                <w:szCs w:val="21"/>
                <w:highlight w:val="none"/>
              </w:rPr>
            </w:pPr>
            <w:r>
              <w:rPr>
                <w:rFonts w:hint="eastAsia" w:ascii="宋体" w:hAnsi="宋体"/>
                <w:color w:val="auto"/>
                <w:szCs w:val="21"/>
                <w:highlight w:val="none"/>
              </w:rPr>
              <w:t>无《对投标文件编制的承诺》</w:t>
            </w:r>
          </w:p>
        </w:tc>
        <w:tc>
          <w:tcPr>
            <w:tcW w:w="1134" w:type="dxa"/>
            <w:tcBorders>
              <w:top w:val="single" w:color="auto" w:sz="4" w:space="0"/>
              <w:left w:val="single" w:color="auto" w:sz="4" w:space="0"/>
              <w:bottom w:val="single" w:color="auto" w:sz="4" w:space="0"/>
              <w:right w:val="single" w:color="auto" w:sz="4" w:space="0"/>
            </w:tcBorders>
          </w:tcPr>
          <w:p w14:paraId="4F7DD401">
            <w:pPr>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293B02C8">
            <w:pPr>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57E67305">
            <w:pPr>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3ED761C8">
            <w:pPr>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67CEFCC3">
            <w:pPr>
              <w:rPr>
                <w:rFonts w:hint="eastAsia" w:ascii="宋体" w:hAnsi="宋体"/>
                <w:color w:val="auto"/>
                <w:szCs w:val="21"/>
                <w:highlight w:val="none"/>
              </w:rPr>
            </w:pPr>
          </w:p>
        </w:tc>
      </w:tr>
      <w:tr w14:paraId="5B7B9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9" w:type="dxa"/>
            <w:tcBorders>
              <w:top w:val="single" w:color="auto" w:sz="4" w:space="0"/>
              <w:left w:val="single" w:color="auto" w:sz="4" w:space="0"/>
              <w:bottom w:val="single" w:color="auto" w:sz="4" w:space="0"/>
              <w:right w:val="single" w:color="auto" w:sz="4" w:space="0"/>
            </w:tcBorders>
            <w:vAlign w:val="center"/>
          </w:tcPr>
          <w:p w14:paraId="0FD611ED">
            <w:pPr>
              <w:jc w:val="center"/>
              <w:rPr>
                <w:rFonts w:hint="eastAsia" w:ascii="宋体" w:hAnsi="宋体"/>
                <w:color w:val="auto"/>
                <w:szCs w:val="21"/>
                <w:highlight w:val="none"/>
              </w:rPr>
            </w:pPr>
            <w:r>
              <w:rPr>
                <w:rFonts w:hint="eastAsia" w:ascii="宋体" w:hAnsi="宋体"/>
                <w:color w:val="auto"/>
                <w:szCs w:val="21"/>
                <w:highlight w:val="none"/>
              </w:rPr>
              <w:t>8</w:t>
            </w:r>
          </w:p>
        </w:tc>
        <w:tc>
          <w:tcPr>
            <w:tcW w:w="6754" w:type="dxa"/>
            <w:tcBorders>
              <w:top w:val="single" w:color="auto" w:sz="4" w:space="0"/>
              <w:left w:val="single" w:color="auto" w:sz="4" w:space="0"/>
              <w:bottom w:val="single" w:color="auto" w:sz="4" w:space="0"/>
              <w:right w:val="single" w:color="auto" w:sz="4" w:space="0"/>
            </w:tcBorders>
            <w:vAlign w:val="center"/>
          </w:tcPr>
          <w:p w14:paraId="227A6E64">
            <w:pPr>
              <w:rPr>
                <w:rFonts w:hint="eastAsia" w:ascii="宋体" w:hAnsi="宋体"/>
                <w:color w:val="auto"/>
                <w:szCs w:val="21"/>
                <w:highlight w:val="none"/>
              </w:rPr>
            </w:pPr>
            <w:r>
              <w:rPr>
                <w:rFonts w:hint="eastAsia" w:ascii="宋体" w:hAnsi="宋体"/>
                <w:color w:val="auto"/>
                <w:szCs w:val="21"/>
                <w:highlight w:val="none"/>
              </w:rPr>
              <w:t>投标人与本项目其他投标人的投标文件工程量清单编制机器硬件信息一致的（以交易平台评标系统的检索信息为准）</w:t>
            </w:r>
          </w:p>
        </w:tc>
        <w:tc>
          <w:tcPr>
            <w:tcW w:w="1134" w:type="dxa"/>
            <w:tcBorders>
              <w:top w:val="single" w:color="auto" w:sz="4" w:space="0"/>
              <w:left w:val="single" w:color="auto" w:sz="4" w:space="0"/>
              <w:bottom w:val="single" w:color="auto" w:sz="4" w:space="0"/>
              <w:right w:val="single" w:color="auto" w:sz="4" w:space="0"/>
            </w:tcBorders>
          </w:tcPr>
          <w:p w14:paraId="4DE9BC22">
            <w:pPr>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1AE33AF9">
            <w:pPr>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1A5A1509">
            <w:pPr>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0CE5C50D">
            <w:pPr>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65C541D6">
            <w:pPr>
              <w:rPr>
                <w:rFonts w:hint="eastAsia" w:ascii="宋体" w:hAnsi="宋体"/>
                <w:color w:val="auto"/>
                <w:szCs w:val="21"/>
                <w:highlight w:val="none"/>
              </w:rPr>
            </w:pPr>
          </w:p>
        </w:tc>
      </w:tr>
    </w:tbl>
    <w:p w14:paraId="30894764">
      <w:pPr>
        <w:ind w:firstLine="458"/>
        <w:rPr>
          <w:rFonts w:hint="eastAsia" w:ascii="宋体" w:hAnsi="宋体"/>
          <w:color w:val="auto"/>
          <w:szCs w:val="21"/>
          <w:highlight w:val="none"/>
        </w:rPr>
      </w:pPr>
      <w:r>
        <w:rPr>
          <w:rFonts w:hint="eastAsia" w:ascii="宋体" w:hAnsi="宋体"/>
          <w:color w:val="auto"/>
          <w:szCs w:val="21"/>
          <w:highlight w:val="none"/>
        </w:rPr>
        <w:t>注：1.本表使用招标文件范本，与范本内容不同之处均以下划线标明。</w:t>
      </w:r>
    </w:p>
    <w:p w14:paraId="1D84A464">
      <w:pPr>
        <w:ind w:firstLine="458"/>
        <w:rPr>
          <w:rFonts w:hint="eastAsia" w:ascii="宋体" w:hAnsi="宋体"/>
          <w:color w:val="auto"/>
          <w:szCs w:val="21"/>
          <w:highlight w:val="none"/>
        </w:rPr>
      </w:pPr>
      <w:r>
        <w:rPr>
          <w:rFonts w:hint="eastAsia" w:ascii="宋体" w:hAnsi="宋体"/>
          <w:color w:val="auto"/>
          <w:szCs w:val="21"/>
          <w:highlight w:val="none"/>
        </w:rPr>
        <w:t>2.凡出现以上任何一项情形，结论均为无效，否则就为有效。</w:t>
      </w:r>
    </w:p>
    <w:p w14:paraId="04A35ABC">
      <w:pPr>
        <w:ind w:firstLine="458"/>
        <w:rPr>
          <w:rFonts w:hint="eastAsia" w:ascii="宋体" w:hAnsi="宋体"/>
          <w:color w:val="auto"/>
          <w:szCs w:val="21"/>
          <w:highlight w:val="none"/>
        </w:rPr>
      </w:pPr>
      <w:r>
        <w:rPr>
          <w:rFonts w:hint="eastAsia" w:ascii="宋体" w:hAnsi="宋体"/>
          <w:color w:val="auto"/>
          <w:szCs w:val="21"/>
          <w:highlight w:val="none"/>
        </w:rPr>
        <w:t>3.如对本表中某种情形的评审意见不一致时，以评标委员会过半数成员的意见作为评标委员会对该情形的认定结论。</w:t>
      </w:r>
    </w:p>
    <w:p w14:paraId="09DC9FF0">
      <w:pPr>
        <w:ind w:firstLine="458"/>
        <w:rPr>
          <w:rFonts w:hint="eastAsia" w:ascii="宋体" w:hAnsi="宋体"/>
          <w:color w:val="auto"/>
          <w:szCs w:val="21"/>
          <w:highlight w:val="none"/>
        </w:rPr>
      </w:pPr>
      <w:r>
        <w:rPr>
          <w:rFonts w:hint="eastAsia" w:ascii="宋体" w:hAnsi="宋体"/>
          <w:color w:val="auto"/>
          <w:szCs w:val="21"/>
          <w:highlight w:val="none"/>
        </w:rPr>
        <w:t>4.不得将文件顺序、明显的文字错误等列为否决投标的情形。评委发现投标文件中含义不明确、对同类问题表述不一致、有明显格式或文字、计算错误、投标报价可能低于成本影响履约的，应当要求投标人作必要的澄清、说明后再判定投标人是否通过有效性审查，不得直接否决投标。</w:t>
      </w:r>
    </w:p>
    <w:p w14:paraId="6FF07228">
      <w:pPr>
        <w:pStyle w:val="5"/>
        <w:ind w:firstLine="458"/>
        <w:rPr>
          <w:rFonts w:hint="eastAsia" w:ascii="宋体" w:hAnsi="宋体"/>
          <w:color w:val="auto"/>
          <w:szCs w:val="21"/>
          <w:highlight w:val="none"/>
        </w:rPr>
        <w:sectPr>
          <w:endnotePr>
            <w:numFmt w:val="decimal"/>
          </w:endnotePr>
          <w:pgSz w:w="16838" w:h="11906" w:orient="landscape"/>
          <w:pgMar w:top="1418" w:right="1247" w:bottom="1418" w:left="1134" w:header="851" w:footer="907" w:gutter="0"/>
          <w:pgBorders>
            <w:top w:val="none" w:sz="0" w:space="0"/>
            <w:left w:val="none" w:sz="0" w:space="0"/>
            <w:bottom w:val="none" w:sz="0" w:space="0"/>
            <w:right w:val="none" w:sz="0" w:space="0"/>
          </w:pgBorders>
          <w:cols w:space="425" w:num="1"/>
          <w:titlePg/>
          <w:docGrid w:type="lines" w:linePitch="312" w:charSpace="0"/>
        </w:sectPr>
      </w:pPr>
      <w:r>
        <w:rPr>
          <w:rFonts w:hint="eastAsia" w:ascii="宋体" w:hAnsi="宋体"/>
          <w:color w:val="auto"/>
          <w:szCs w:val="21"/>
          <w:highlight w:val="none"/>
        </w:rPr>
        <w:t>评委签名：</w:t>
      </w:r>
    </w:p>
    <w:p w14:paraId="76585CAB">
      <w:pPr>
        <w:rPr>
          <w:color w:val="auto"/>
          <w:szCs w:val="21"/>
          <w:highlight w:val="none"/>
        </w:rPr>
      </w:pPr>
      <w:r>
        <w:rPr>
          <w:rFonts w:hint="eastAsia"/>
          <w:color w:val="auto"/>
          <w:sz w:val="28"/>
          <w:szCs w:val="28"/>
          <w:highlight w:val="none"/>
        </w:rPr>
        <w:t>附表四</w:t>
      </w:r>
    </w:p>
    <w:p w14:paraId="6F3FA8C2">
      <w:pPr>
        <w:jc w:val="center"/>
        <w:rPr>
          <w:color w:val="auto"/>
          <w:highlight w:val="none"/>
        </w:rPr>
      </w:pPr>
      <w:r>
        <w:rPr>
          <w:rFonts w:hint="eastAsia" w:ascii="宋体" w:hAnsi="宋体" w:cs="宋体"/>
          <w:b/>
          <w:color w:val="auto"/>
          <w:sz w:val="36"/>
          <w:szCs w:val="36"/>
          <w:highlight w:val="none"/>
        </w:rPr>
        <w:t>技术标详细审查评分表</w:t>
      </w:r>
    </w:p>
    <w:p w14:paraId="2E368265">
      <w:pPr>
        <w:rPr>
          <w:color w:val="auto"/>
          <w:highlight w:val="none"/>
        </w:rPr>
      </w:pPr>
      <w:r>
        <w:rPr>
          <w:rFonts w:hint="eastAsia"/>
          <w:color w:val="auto"/>
          <w:highlight w:val="none"/>
        </w:rPr>
        <w:t>工程名称：</w:t>
      </w:r>
    </w:p>
    <w:tbl>
      <w:tblPr>
        <w:tblStyle w:val="36"/>
        <w:tblW w:w="15210"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795"/>
        <w:gridCol w:w="851"/>
        <w:gridCol w:w="11853"/>
      </w:tblGrid>
      <w:tr w14:paraId="2331F16A">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11" w:type="dxa"/>
            <w:tcBorders>
              <w:top w:val="single" w:color="auto" w:sz="8" w:space="0"/>
              <w:left w:val="single" w:color="auto" w:sz="8" w:space="0"/>
              <w:bottom w:val="single" w:color="auto" w:sz="4" w:space="0"/>
              <w:right w:val="single" w:color="auto" w:sz="4" w:space="0"/>
            </w:tcBorders>
            <w:vAlign w:val="center"/>
          </w:tcPr>
          <w:p w14:paraId="64303926">
            <w:pPr>
              <w:jc w:val="center"/>
              <w:rPr>
                <w:color w:val="auto"/>
                <w:highlight w:val="none"/>
              </w:rPr>
            </w:pPr>
            <w:r>
              <w:rPr>
                <w:rFonts w:hint="eastAsia"/>
                <w:color w:val="auto"/>
                <w:highlight w:val="none"/>
              </w:rPr>
              <w:t>评分项目</w:t>
            </w:r>
          </w:p>
        </w:tc>
        <w:tc>
          <w:tcPr>
            <w:tcW w:w="1795" w:type="dxa"/>
            <w:tcBorders>
              <w:top w:val="single" w:color="auto" w:sz="8" w:space="0"/>
              <w:left w:val="single" w:color="auto" w:sz="4" w:space="0"/>
              <w:bottom w:val="single" w:color="auto" w:sz="4" w:space="0"/>
              <w:right w:val="single" w:color="auto" w:sz="4" w:space="0"/>
            </w:tcBorders>
            <w:vAlign w:val="center"/>
          </w:tcPr>
          <w:p w14:paraId="65CD0920">
            <w:pPr>
              <w:jc w:val="center"/>
              <w:rPr>
                <w:color w:val="auto"/>
                <w:highlight w:val="none"/>
              </w:rPr>
            </w:pPr>
            <w:r>
              <w:rPr>
                <w:rFonts w:hint="eastAsia"/>
                <w:color w:val="auto"/>
                <w:highlight w:val="none"/>
              </w:rPr>
              <w:t>评分内容</w:t>
            </w:r>
          </w:p>
        </w:tc>
        <w:tc>
          <w:tcPr>
            <w:tcW w:w="851" w:type="dxa"/>
            <w:tcBorders>
              <w:top w:val="single" w:color="auto" w:sz="8" w:space="0"/>
              <w:left w:val="single" w:color="auto" w:sz="4" w:space="0"/>
              <w:bottom w:val="single" w:color="auto" w:sz="4" w:space="0"/>
              <w:right w:val="single" w:color="auto" w:sz="4" w:space="0"/>
            </w:tcBorders>
            <w:vAlign w:val="center"/>
          </w:tcPr>
          <w:p w14:paraId="2AF9C5FB">
            <w:pPr>
              <w:jc w:val="center"/>
              <w:rPr>
                <w:color w:val="auto"/>
                <w:highlight w:val="none"/>
              </w:rPr>
            </w:pPr>
            <w:r>
              <w:rPr>
                <w:rFonts w:hint="eastAsia"/>
                <w:color w:val="auto"/>
                <w:highlight w:val="none"/>
              </w:rPr>
              <w:t>分值</w:t>
            </w:r>
          </w:p>
        </w:tc>
        <w:tc>
          <w:tcPr>
            <w:tcW w:w="11853" w:type="dxa"/>
            <w:tcBorders>
              <w:top w:val="single" w:color="auto" w:sz="8" w:space="0"/>
              <w:left w:val="single" w:color="auto" w:sz="4" w:space="0"/>
              <w:bottom w:val="single" w:color="auto" w:sz="4" w:space="0"/>
              <w:right w:val="single" w:color="auto" w:sz="4" w:space="0"/>
            </w:tcBorders>
            <w:vAlign w:val="center"/>
          </w:tcPr>
          <w:p w14:paraId="3D14CC8C">
            <w:pPr>
              <w:jc w:val="center"/>
              <w:rPr>
                <w:color w:val="auto"/>
                <w:highlight w:val="none"/>
              </w:rPr>
            </w:pPr>
            <w:r>
              <w:rPr>
                <w:rFonts w:hint="eastAsia"/>
                <w:color w:val="auto"/>
                <w:highlight w:val="none"/>
              </w:rPr>
              <w:t>评审标准</w:t>
            </w:r>
          </w:p>
        </w:tc>
      </w:tr>
      <w:tr w14:paraId="468C1605">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jc w:val="center"/>
        </w:trPr>
        <w:tc>
          <w:tcPr>
            <w:tcW w:w="711" w:type="dxa"/>
            <w:vMerge w:val="restart"/>
            <w:tcBorders>
              <w:top w:val="single" w:color="auto" w:sz="4" w:space="0"/>
              <w:left w:val="single" w:color="auto" w:sz="8" w:space="0"/>
              <w:bottom w:val="single" w:color="auto" w:sz="4" w:space="0"/>
              <w:right w:val="single" w:color="auto" w:sz="4" w:space="0"/>
            </w:tcBorders>
            <w:vAlign w:val="center"/>
          </w:tcPr>
          <w:p w14:paraId="557C5646">
            <w:pPr>
              <w:rPr>
                <w:color w:val="auto"/>
                <w:highlight w:val="none"/>
              </w:rPr>
            </w:pPr>
            <w:r>
              <w:rPr>
                <w:rStyle w:val="118"/>
                <w:color w:val="auto"/>
                <w:szCs w:val="21"/>
                <w:highlight w:val="none"/>
              </w:rPr>
              <w:t>项目管理机构能力</w:t>
            </w:r>
            <w:r>
              <w:rPr>
                <w:rStyle w:val="118"/>
                <w:color w:val="auto"/>
                <w:szCs w:val="21"/>
                <w:highlight w:val="none"/>
                <w:lang w:eastAsia="zh-TW"/>
              </w:rPr>
              <w:t>(</w:t>
            </w:r>
            <w:r>
              <w:rPr>
                <w:rStyle w:val="118"/>
                <w:rFonts w:hint="eastAsia"/>
                <w:color w:val="auto"/>
                <w:szCs w:val="21"/>
                <w:highlight w:val="none"/>
                <w:lang w:val="en-US" w:eastAsia="zh-CN"/>
              </w:rPr>
              <w:t>8</w:t>
            </w:r>
            <w:r>
              <w:rPr>
                <w:rStyle w:val="118"/>
                <w:color w:val="auto"/>
                <w:szCs w:val="21"/>
                <w:highlight w:val="none"/>
              </w:rPr>
              <w:t>0分</w:t>
            </w:r>
            <w:r>
              <w:rPr>
                <w:rStyle w:val="118"/>
                <w:color w:val="auto"/>
                <w:szCs w:val="21"/>
                <w:highlight w:val="none"/>
                <w:lang w:eastAsia="zh-TW"/>
              </w:rPr>
              <w:t>)</w:t>
            </w:r>
          </w:p>
        </w:tc>
        <w:tc>
          <w:tcPr>
            <w:tcW w:w="1795" w:type="dxa"/>
            <w:tcBorders>
              <w:top w:val="single" w:color="auto" w:sz="4" w:space="0"/>
              <w:left w:val="single" w:color="auto" w:sz="4" w:space="0"/>
              <w:bottom w:val="single" w:color="auto" w:sz="4" w:space="0"/>
              <w:right w:val="single" w:color="auto" w:sz="4" w:space="0"/>
            </w:tcBorders>
            <w:vAlign w:val="center"/>
          </w:tcPr>
          <w:p w14:paraId="2E87ED22">
            <w:pPr>
              <w:adjustRightInd w:val="0"/>
              <w:snapToGrid w:val="0"/>
              <w:spacing w:line="288" w:lineRule="auto"/>
              <w:jc w:val="center"/>
              <w:rPr>
                <w:color w:val="auto"/>
                <w:highlight w:val="none"/>
              </w:rPr>
            </w:pPr>
            <w:r>
              <w:rPr>
                <w:rFonts w:hint="eastAsia" w:ascii="宋体" w:hAnsi="宋体" w:cs="宋体"/>
                <w:snapToGrid w:val="0"/>
                <w:color w:val="auto"/>
                <w:highlight w:val="none"/>
              </w:rPr>
              <w:t>技术负责人</w:t>
            </w:r>
          </w:p>
        </w:tc>
        <w:tc>
          <w:tcPr>
            <w:tcW w:w="851" w:type="dxa"/>
            <w:tcBorders>
              <w:top w:val="single" w:color="auto" w:sz="4" w:space="0"/>
              <w:left w:val="single" w:color="auto" w:sz="4" w:space="0"/>
              <w:bottom w:val="single" w:color="auto" w:sz="4" w:space="0"/>
              <w:right w:val="single" w:color="auto" w:sz="4" w:space="0"/>
            </w:tcBorders>
            <w:vAlign w:val="center"/>
          </w:tcPr>
          <w:p w14:paraId="4F185CBF">
            <w:pPr>
              <w:adjustRightInd w:val="0"/>
              <w:snapToGrid w:val="0"/>
              <w:spacing w:line="288" w:lineRule="auto"/>
              <w:jc w:val="center"/>
              <w:rPr>
                <w:color w:val="auto"/>
                <w:highlight w:val="none"/>
              </w:rPr>
            </w:pPr>
            <w:r>
              <w:rPr>
                <w:rFonts w:hint="eastAsia" w:ascii="宋体" w:hAnsi="宋体" w:cs="宋体"/>
                <w:snapToGrid w:val="0"/>
                <w:color w:val="auto"/>
                <w:highlight w:val="none"/>
              </w:rPr>
              <w:t>10</w:t>
            </w:r>
          </w:p>
        </w:tc>
        <w:tc>
          <w:tcPr>
            <w:tcW w:w="11853" w:type="dxa"/>
            <w:tcBorders>
              <w:top w:val="single" w:color="auto" w:sz="4" w:space="0"/>
              <w:left w:val="single" w:color="auto" w:sz="4" w:space="0"/>
              <w:bottom w:val="single" w:color="auto" w:sz="4" w:space="0"/>
              <w:right w:val="single" w:color="auto" w:sz="4" w:space="0"/>
            </w:tcBorders>
            <w:vAlign w:val="center"/>
          </w:tcPr>
          <w:p w14:paraId="3A3C5AD9">
            <w:pPr>
              <w:pStyle w:val="119"/>
              <w:shd w:val="clear" w:color="auto" w:fill="auto"/>
              <w:spacing w:line="240" w:lineRule="auto"/>
              <w:rPr>
                <w:rStyle w:val="118"/>
                <w:color w:val="auto"/>
                <w:sz w:val="21"/>
                <w:szCs w:val="21"/>
                <w:highlight w:val="none"/>
                <w:lang w:eastAsia="zh-TW"/>
              </w:rPr>
            </w:pPr>
            <w:r>
              <w:rPr>
                <w:rStyle w:val="118"/>
                <w:color w:val="auto"/>
                <w:sz w:val="21"/>
                <w:szCs w:val="21"/>
                <w:highlight w:val="none"/>
              </w:rPr>
              <w:t>（</w:t>
            </w:r>
            <w:r>
              <w:rPr>
                <w:rStyle w:val="118"/>
                <w:color w:val="auto"/>
                <w:sz w:val="21"/>
                <w:szCs w:val="21"/>
                <w:highlight w:val="none"/>
                <w:lang w:eastAsia="zh-TW"/>
              </w:rPr>
              <w:t>1</w:t>
            </w:r>
            <w:r>
              <w:rPr>
                <w:rStyle w:val="118"/>
                <w:color w:val="auto"/>
                <w:sz w:val="21"/>
                <w:szCs w:val="21"/>
                <w:highlight w:val="none"/>
              </w:rPr>
              <w:t>）技术负责人自</w:t>
            </w:r>
            <w:r>
              <w:rPr>
                <w:rStyle w:val="118"/>
                <w:color w:val="auto"/>
                <w:sz w:val="21"/>
                <w:szCs w:val="21"/>
                <w:highlight w:val="none"/>
                <w:lang w:eastAsia="zh-TW"/>
              </w:rPr>
              <w:t>2020</w:t>
            </w:r>
            <w:r>
              <w:rPr>
                <w:rStyle w:val="118"/>
                <w:color w:val="auto"/>
                <w:sz w:val="21"/>
                <w:szCs w:val="21"/>
                <w:highlight w:val="none"/>
              </w:rPr>
              <w:t>年</w:t>
            </w:r>
            <w:r>
              <w:rPr>
                <w:rStyle w:val="118"/>
                <w:color w:val="auto"/>
                <w:sz w:val="21"/>
                <w:szCs w:val="21"/>
                <w:highlight w:val="none"/>
                <w:lang w:eastAsia="zh-TW"/>
              </w:rPr>
              <w:t>1</w:t>
            </w:r>
            <w:r>
              <w:rPr>
                <w:rStyle w:val="118"/>
                <w:color w:val="auto"/>
                <w:sz w:val="21"/>
                <w:szCs w:val="21"/>
                <w:highlight w:val="none"/>
              </w:rPr>
              <w:t>月</w:t>
            </w:r>
            <w:r>
              <w:rPr>
                <w:rStyle w:val="118"/>
                <w:color w:val="auto"/>
                <w:sz w:val="21"/>
                <w:szCs w:val="21"/>
                <w:highlight w:val="none"/>
                <w:lang w:eastAsia="zh-TW"/>
              </w:rPr>
              <w:t>1</w:t>
            </w:r>
            <w:r>
              <w:rPr>
                <w:rStyle w:val="118"/>
                <w:color w:val="auto"/>
                <w:sz w:val="21"/>
                <w:szCs w:val="21"/>
                <w:highlight w:val="none"/>
              </w:rPr>
              <w:t>日至今担任过质量合格的类似工程业绩的技术负责人或项目负责人的，得</w:t>
            </w:r>
            <w:r>
              <w:rPr>
                <w:rStyle w:val="118"/>
                <w:color w:val="auto"/>
                <w:sz w:val="21"/>
                <w:szCs w:val="21"/>
                <w:highlight w:val="none"/>
                <w:lang w:eastAsia="zh-TW"/>
              </w:rPr>
              <w:t>7</w:t>
            </w:r>
            <w:r>
              <w:rPr>
                <w:rStyle w:val="118"/>
                <w:color w:val="auto"/>
                <w:sz w:val="21"/>
                <w:szCs w:val="21"/>
                <w:highlight w:val="none"/>
              </w:rPr>
              <w:t>分；不满足上述条件的不得分。</w:t>
            </w:r>
          </w:p>
          <w:p w14:paraId="32B4C486">
            <w:pPr>
              <w:pStyle w:val="119"/>
              <w:shd w:val="clear" w:color="auto" w:fill="auto"/>
              <w:spacing w:line="240" w:lineRule="auto"/>
              <w:rPr>
                <w:rStyle w:val="118"/>
                <w:color w:val="auto"/>
                <w:sz w:val="21"/>
                <w:szCs w:val="21"/>
                <w:highlight w:val="none"/>
                <w:lang w:eastAsia="zh-TW"/>
              </w:rPr>
            </w:pPr>
            <w:r>
              <w:rPr>
                <w:rStyle w:val="118"/>
                <w:color w:val="auto"/>
                <w:sz w:val="21"/>
                <w:szCs w:val="21"/>
                <w:highlight w:val="none"/>
              </w:rPr>
              <w:t>（</w:t>
            </w:r>
            <w:r>
              <w:rPr>
                <w:rStyle w:val="118"/>
                <w:color w:val="auto"/>
                <w:sz w:val="21"/>
                <w:szCs w:val="21"/>
                <w:highlight w:val="none"/>
                <w:lang w:eastAsia="zh-TW"/>
              </w:rPr>
              <w:t>2</w:t>
            </w:r>
            <w:r>
              <w:rPr>
                <w:rStyle w:val="118"/>
                <w:color w:val="auto"/>
                <w:sz w:val="21"/>
                <w:szCs w:val="21"/>
                <w:highlight w:val="none"/>
              </w:rPr>
              <w:t>）技术负责人具有</w:t>
            </w:r>
            <w:r>
              <w:rPr>
                <w:rStyle w:val="118"/>
                <w:color w:val="auto"/>
                <w:sz w:val="21"/>
                <w:szCs w:val="21"/>
                <w:highlight w:val="none"/>
                <w:lang w:eastAsia="zh-TW"/>
              </w:rPr>
              <w:t>10</w:t>
            </w:r>
            <w:r>
              <w:rPr>
                <w:rStyle w:val="118"/>
                <w:color w:val="auto"/>
                <w:sz w:val="21"/>
                <w:szCs w:val="21"/>
                <w:highlight w:val="none"/>
              </w:rPr>
              <w:t>年或以上（含</w:t>
            </w:r>
            <w:r>
              <w:rPr>
                <w:rStyle w:val="118"/>
                <w:color w:val="auto"/>
                <w:sz w:val="21"/>
                <w:szCs w:val="21"/>
                <w:highlight w:val="none"/>
                <w:lang w:eastAsia="zh-TW"/>
              </w:rPr>
              <w:t>10</w:t>
            </w:r>
            <w:r>
              <w:rPr>
                <w:rStyle w:val="118"/>
                <w:color w:val="auto"/>
                <w:sz w:val="21"/>
                <w:szCs w:val="21"/>
                <w:highlight w:val="none"/>
              </w:rPr>
              <w:t>年）施工管理工作经验，得</w:t>
            </w:r>
            <w:r>
              <w:rPr>
                <w:rStyle w:val="118"/>
                <w:color w:val="auto"/>
                <w:sz w:val="21"/>
                <w:szCs w:val="21"/>
                <w:highlight w:val="none"/>
                <w:lang w:eastAsia="zh-TW"/>
              </w:rPr>
              <w:t>3</w:t>
            </w:r>
            <w:r>
              <w:rPr>
                <w:rStyle w:val="118"/>
                <w:color w:val="auto"/>
                <w:sz w:val="21"/>
                <w:szCs w:val="21"/>
                <w:highlight w:val="none"/>
              </w:rPr>
              <w:t>分；具有</w:t>
            </w:r>
            <w:r>
              <w:rPr>
                <w:rStyle w:val="118"/>
                <w:color w:val="auto"/>
                <w:sz w:val="21"/>
                <w:szCs w:val="21"/>
                <w:highlight w:val="none"/>
                <w:lang w:eastAsia="zh-TW"/>
              </w:rPr>
              <w:t>5</w:t>
            </w:r>
            <w:r>
              <w:rPr>
                <w:rStyle w:val="118"/>
                <w:color w:val="auto"/>
                <w:sz w:val="21"/>
                <w:szCs w:val="21"/>
                <w:highlight w:val="none"/>
              </w:rPr>
              <w:t>年（含</w:t>
            </w:r>
            <w:r>
              <w:rPr>
                <w:rStyle w:val="118"/>
                <w:color w:val="auto"/>
                <w:sz w:val="21"/>
                <w:szCs w:val="21"/>
                <w:highlight w:val="none"/>
                <w:lang w:eastAsia="zh-TW"/>
              </w:rPr>
              <w:t>5</w:t>
            </w:r>
            <w:r>
              <w:rPr>
                <w:rStyle w:val="118"/>
                <w:color w:val="auto"/>
                <w:sz w:val="21"/>
                <w:szCs w:val="21"/>
                <w:highlight w:val="none"/>
              </w:rPr>
              <w:t>年）至</w:t>
            </w:r>
            <w:r>
              <w:rPr>
                <w:rStyle w:val="118"/>
                <w:color w:val="auto"/>
                <w:sz w:val="21"/>
                <w:szCs w:val="21"/>
                <w:highlight w:val="none"/>
                <w:lang w:eastAsia="zh-TW"/>
              </w:rPr>
              <w:t>10</w:t>
            </w:r>
            <w:r>
              <w:rPr>
                <w:rStyle w:val="118"/>
                <w:color w:val="auto"/>
                <w:sz w:val="21"/>
                <w:szCs w:val="21"/>
                <w:highlight w:val="none"/>
              </w:rPr>
              <w:t>年（不含</w:t>
            </w:r>
            <w:r>
              <w:rPr>
                <w:rStyle w:val="118"/>
                <w:color w:val="auto"/>
                <w:sz w:val="21"/>
                <w:szCs w:val="21"/>
                <w:highlight w:val="none"/>
                <w:lang w:eastAsia="zh-TW"/>
              </w:rPr>
              <w:t>10</w:t>
            </w:r>
            <w:r>
              <w:rPr>
                <w:rStyle w:val="118"/>
                <w:color w:val="auto"/>
                <w:sz w:val="21"/>
                <w:szCs w:val="21"/>
                <w:highlight w:val="none"/>
              </w:rPr>
              <w:t>年）施工管理工作经验，得</w:t>
            </w:r>
            <w:r>
              <w:rPr>
                <w:rStyle w:val="118"/>
                <w:color w:val="auto"/>
                <w:sz w:val="21"/>
                <w:szCs w:val="21"/>
                <w:highlight w:val="none"/>
                <w:lang w:eastAsia="zh-TW"/>
              </w:rPr>
              <w:t>2</w:t>
            </w:r>
            <w:r>
              <w:rPr>
                <w:rStyle w:val="118"/>
                <w:color w:val="auto"/>
                <w:sz w:val="21"/>
                <w:szCs w:val="21"/>
                <w:highlight w:val="none"/>
              </w:rPr>
              <w:t>分；具有</w:t>
            </w:r>
            <w:r>
              <w:rPr>
                <w:rStyle w:val="118"/>
                <w:color w:val="auto"/>
                <w:sz w:val="21"/>
                <w:szCs w:val="21"/>
                <w:highlight w:val="none"/>
                <w:lang w:eastAsia="zh-TW"/>
              </w:rPr>
              <w:t>5</w:t>
            </w:r>
            <w:r>
              <w:rPr>
                <w:rStyle w:val="118"/>
                <w:color w:val="auto"/>
                <w:sz w:val="21"/>
                <w:szCs w:val="21"/>
                <w:highlight w:val="none"/>
              </w:rPr>
              <w:t>年以下施工管理工作经验，得</w:t>
            </w:r>
            <w:r>
              <w:rPr>
                <w:rStyle w:val="118"/>
                <w:color w:val="auto"/>
                <w:sz w:val="21"/>
                <w:szCs w:val="21"/>
                <w:highlight w:val="none"/>
                <w:lang w:eastAsia="zh-TW"/>
              </w:rPr>
              <w:t>1</w:t>
            </w:r>
            <w:r>
              <w:rPr>
                <w:rStyle w:val="118"/>
                <w:color w:val="auto"/>
                <w:sz w:val="21"/>
                <w:szCs w:val="21"/>
                <w:highlight w:val="none"/>
              </w:rPr>
              <w:t>分。</w:t>
            </w:r>
          </w:p>
          <w:p w14:paraId="7403DB61">
            <w:pPr>
              <w:rPr>
                <w:color w:val="auto"/>
                <w:highlight w:val="none"/>
              </w:rPr>
            </w:pPr>
            <w:r>
              <w:rPr>
                <w:rStyle w:val="118"/>
                <w:color w:val="auto"/>
                <w:kern w:val="0"/>
                <w:szCs w:val="21"/>
                <w:highlight w:val="none"/>
              </w:rPr>
              <w:t>备注：须提供曾担任技术负责人或项目负责人的市政项目工程业绩证明文件（中标通知书、合同及竣工验收报告）、毕业证扫描件。未提供证明文件或证明文件不满足上述要求，不计分。本项最高得</w:t>
            </w:r>
            <w:r>
              <w:rPr>
                <w:rStyle w:val="118"/>
                <w:color w:val="auto"/>
                <w:kern w:val="0"/>
                <w:szCs w:val="21"/>
                <w:highlight w:val="none"/>
                <w:lang w:eastAsia="zh-TW"/>
              </w:rPr>
              <w:t>10</w:t>
            </w:r>
            <w:r>
              <w:rPr>
                <w:rStyle w:val="118"/>
                <w:color w:val="auto"/>
                <w:kern w:val="0"/>
                <w:szCs w:val="21"/>
                <w:highlight w:val="none"/>
              </w:rPr>
              <w:t>分。</w:t>
            </w:r>
          </w:p>
        </w:tc>
      </w:tr>
      <w:tr w14:paraId="19BBB8A3">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1" w:type="dxa"/>
            <w:vMerge w:val="continue"/>
            <w:tcBorders>
              <w:top w:val="single" w:color="auto" w:sz="4" w:space="0"/>
              <w:left w:val="single" w:color="auto" w:sz="8" w:space="0"/>
              <w:bottom w:val="single" w:color="auto" w:sz="4" w:space="0"/>
              <w:right w:val="single" w:color="auto" w:sz="4" w:space="0"/>
            </w:tcBorders>
            <w:vAlign w:val="center"/>
          </w:tcPr>
          <w:p w14:paraId="01590413">
            <w:pPr>
              <w:widowControl/>
              <w:jc w:val="left"/>
              <w:rPr>
                <w:color w:val="auto"/>
                <w:highlight w:val="none"/>
              </w:rPr>
            </w:pPr>
          </w:p>
        </w:tc>
        <w:tc>
          <w:tcPr>
            <w:tcW w:w="1795" w:type="dxa"/>
            <w:tcBorders>
              <w:top w:val="single" w:color="auto" w:sz="4" w:space="0"/>
              <w:left w:val="single" w:color="auto" w:sz="4" w:space="0"/>
              <w:bottom w:val="single" w:color="auto" w:sz="4" w:space="0"/>
              <w:right w:val="single" w:color="auto" w:sz="4" w:space="0"/>
            </w:tcBorders>
            <w:vAlign w:val="center"/>
          </w:tcPr>
          <w:p w14:paraId="68851EA7">
            <w:pPr>
              <w:adjustRightInd w:val="0"/>
              <w:snapToGrid w:val="0"/>
              <w:spacing w:line="288" w:lineRule="auto"/>
              <w:jc w:val="center"/>
              <w:rPr>
                <w:color w:val="auto"/>
                <w:highlight w:val="none"/>
              </w:rPr>
            </w:pPr>
            <w:r>
              <w:rPr>
                <w:rFonts w:hint="eastAsia" w:ascii="宋体" w:hAnsi="宋体" w:cs="宋体"/>
                <w:snapToGrid w:val="0"/>
                <w:color w:val="auto"/>
                <w:highlight w:val="none"/>
              </w:rPr>
              <w:t>安全负责人</w:t>
            </w:r>
          </w:p>
        </w:tc>
        <w:tc>
          <w:tcPr>
            <w:tcW w:w="851" w:type="dxa"/>
            <w:tcBorders>
              <w:top w:val="single" w:color="auto" w:sz="4" w:space="0"/>
              <w:left w:val="single" w:color="auto" w:sz="4" w:space="0"/>
              <w:bottom w:val="single" w:color="auto" w:sz="4" w:space="0"/>
              <w:right w:val="single" w:color="auto" w:sz="4" w:space="0"/>
            </w:tcBorders>
            <w:vAlign w:val="center"/>
          </w:tcPr>
          <w:p w14:paraId="164FC490">
            <w:pPr>
              <w:adjustRightInd w:val="0"/>
              <w:snapToGrid w:val="0"/>
              <w:spacing w:line="288" w:lineRule="auto"/>
              <w:jc w:val="center"/>
              <w:rPr>
                <w:rFonts w:ascii="宋体" w:hAnsi="宋体" w:cs="宋体"/>
                <w:color w:val="auto"/>
                <w:szCs w:val="21"/>
                <w:highlight w:val="none"/>
              </w:rPr>
            </w:pPr>
            <w:r>
              <w:rPr>
                <w:rFonts w:hint="eastAsia" w:ascii="宋体" w:hAnsi="宋体" w:cs="宋体"/>
                <w:snapToGrid w:val="0"/>
                <w:color w:val="auto"/>
                <w:szCs w:val="21"/>
                <w:highlight w:val="none"/>
              </w:rPr>
              <w:t>10</w:t>
            </w:r>
          </w:p>
        </w:tc>
        <w:tc>
          <w:tcPr>
            <w:tcW w:w="11853" w:type="dxa"/>
            <w:tcBorders>
              <w:top w:val="single" w:color="auto" w:sz="4" w:space="0"/>
              <w:left w:val="single" w:color="auto" w:sz="4" w:space="0"/>
              <w:bottom w:val="single" w:color="auto" w:sz="4" w:space="0"/>
              <w:right w:val="single" w:color="auto" w:sz="4" w:space="0"/>
            </w:tcBorders>
            <w:vAlign w:val="center"/>
          </w:tcPr>
          <w:p w14:paraId="0B81BA94">
            <w:pPr>
              <w:pStyle w:val="119"/>
              <w:shd w:val="clear" w:color="auto" w:fill="auto"/>
              <w:spacing w:line="240" w:lineRule="auto"/>
              <w:rPr>
                <w:rStyle w:val="118"/>
                <w:rFonts w:hint="eastAsia"/>
                <w:color w:val="auto"/>
                <w:sz w:val="21"/>
                <w:szCs w:val="21"/>
                <w:highlight w:val="none"/>
                <w:lang w:eastAsia="zh-TW"/>
              </w:rPr>
            </w:pPr>
            <w:r>
              <w:rPr>
                <w:rStyle w:val="118"/>
                <w:color w:val="auto"/>
                <w:sz w:val="21"/>
                <w:szCs w:val="21"/>
                <w:highlight w:val="none"/>
              </w:rPr>
              <w:t>（</w:t>
            </w:r>
            <w:r>
              <w:rPr>
                <w:rStyle w:val="118"/>
                <w:color w:val="auto"/>
                <w:sz w:val="21"/>
                <w:szCs w:val="21"/>
                <w:highlight w:val="none"/>
                <w:lang w:eastAsia="zh-TW"/>
              </w:rPr>
              <w:t>1</w:t>
            </w:r>
            <w:r>
              <w:rPr>
                <w:rStyle w:val="118"/>
                <w:color w:val="auto"/>
                <w:sz w:val="21"/>
                <w:szCs w:val="21"/>
                <w:highlight w:val="none"/>
              </w:rPr>
              <w:t>）安全负责人持有有效期内的注册安全工程师证书，得</w:t>
            </w:r>
            <w:r>
              <w:rPr>
                <w:rStyle w:val="118"/>
                <w:color w:val="auto"/>
                <w:sz w:val="21"/>
                <w:szCs w:val="21"/>
                <w:highlight w:val="none"/>
                <w:lang w:eastAsia="zh-TW"/>
              </w:rPr>
              <w:t>4</w:t>
            </w:r>
            <w:r>
              <w:rPr>
                <w:rStyle w:val="118"/>
                <w:color w:val="auto"/>
                <w:sz w:val="21"/>
                <w:szCs w:val="21"/>
                <w:highlight w:val="none"/>
              </w:rPr>
              <w:t>分；不满足上述条件不得分。</w:t>
            </w:r>
          </w:p>
          <w:p w14:paraId="01A0DC8B">
            <w:pPr>
              <w:pStyle w:val="119"/>
              <w:shd w:val="clear" w:color="auto" w:fill="auto"/>
              <w:spacing w:line="240" w:lineRule="auto"/>
              <w:rPr>
                <w:rStyle w:val="118"/>
                <w:color w:val="auto"/>
                <w:sz w:val="21"/>
                <w:szCs w:val="21"/>
                <w:highlight w:val="none"/>
                <w:lang w:eastAsia="zh-TW"/>
              </w:rPr>
            </w:pPr>
            <w:r>
              <w:rPr>
                <w:rStyle w:val="118"/>
                <w:color w:val="auto"/>
                <w:sz w:val="21"/>
                <w:szCs w:val="21"/>
                <w:highlight w:val="none"/>
              </w:rPr>
              <w:t>（</w:t>
            </w:r>
            <w:r>
              <w:rPr>
                <w:rStyle w:val="118"/>
                <w:color w:val="auto"/>
                <w:sz w:val="21"/>
                <w:szCs w:val="21"/>
                <w:highlight w:val="none"/>
                <w:lang w:eastAsia="zh-TW"/>
              </w:rPr>
              <w:t>2</w:t>
            </w:r>
            <w:r>
              <w:rPr>
                <w:rStyle w:val="118"/>
                <w:color w:val="auto"/>
                <w:sz w:val="21"/>
                <w:szCs w:val="21"/>
                <w:highlight w:val="none"/>
              </w:rPr>
              <w:t>）安全负责人具有省级建设行政主管部门颁发的安全生产考核合格证（</w:t>
            </w:r>
            <w:r>
              <w:rPr>
                <w:rStyle w:val="118"/>
                <w:color w:val="auto"/>
                <w:sz w:val="21"/>
                <w:szCs w:val="21"/>
                <w:highlight w:val="none"/>
                <w:lang w:eastAsia="zh-TW"/>
              </w:rPr>
              <w:t>C</w:t>
            </w:r>
            <w:r>
              <w:rPr>
                <w:rStyle w:val="118"/>
                <w:color w:val="auto"/>
                <w:sz w:val="21"/>
                <w:szCs w:val="21"/>
                <w:highlight w:val="none"/>
              </w:rPr>
              <w:t>类）或建筑施工企业专职安全生产管理人员安全生产考核合格证书（</w:t>
            </w:r>
            <w:r>
              <w:rPr>
                <w:rStyle w:val="118"/>
                <w:color w:val="auto"/>
                <w:sz w:val="21"/>
                <w:szCs w:val="21"/>
                <w:highlight w:val="none"/>
                <w:lang w:eastAsia="zh-TW"/>
              </w:rPr>
              <w:t>C3</w:t>
            </w:r>
            <w:r>
              <w:rPr>
                <w:rStyle w:val="118"/>
                <w:color w:val="auto"/>
                <w:sz w:val="21"/>
                <w:szCs w:val="21"/>
                <w:highlight w:val="none"/>
              </w:rPr>
              <w:t>），得</w:t>
            </w:r>
            <w:r>
              <w:rPr>
                <w:rStyle w:val="118"/>
                <w:color w:val="auto"/>
                <w:sz w:val="21"/>
                <w:szCs w:val="21"/>
                <w:highlight w:val="none"/>
                <w:lang w:eastAsia="zh-TW"/>
              </w:rPr>
              <w:t>3</w:t>
            </w:r>
            <w:r>
              <w:rPr>
                <w:rStyle w:val="118"/>
                <w:color w:val="auto"/>
                <w:sz w:val="21"/>
                <w:szCs w:val="21"/>
                <w:highlight w:val="none"/>
              </w:rPr>
              <w:t>分；不满足上述条件不得分。</w:t>
            </w:r>
          </w:p>
          <w:p w14:paraId="19D743E7">
            <w:pPr>
              <w:pStyle w:val="119"/>
              <w:shd w:val="clear" w:color="auto" w:fill="auto"/>
              <w:spacing w:line="240" w:lineRule="auto"/>
              <w:rPr>
                <w:rStyle w:val="118"/>
                <w:color w:val="auto"/>
                <w:sz w:val="21"/>
                <w:szCs w:val="21"/>
                <w:highlight w:val="none"/>
                <w:lang w:eastAsia="zh-TW"/>
              </w:rPr>
            </w:pPr>
            <w:r>
              <w:rPr>
                <w:rStyle w:val="118"/>
                <w:color w:val="auto"/>
                <w:sz w:val="21"/>
                <w:szCs w:val="21"/>
                <w:highlight w:val="none"/>
              </w:rPr>
              <w:t>（</w:t>
            </w:r>
            <w:r>
              <w:rPr>
                <w:rStyle w:val="118"/>
                <w:color w:val="auto"/>
                <w:sz w:val="21"/>
                <w:szCs w:val="21"/>
                <w:highlight w:val="none"/>
                <w:lang w:eastAsia="zh-TW"/>
              </w:rPr>
              <w:t>3</w:t>
            </w:r>
            <w:r>
              <w:rPr>
                <w:rStyle w:val="118"/>
                <w:color w:val="auto"/>
                <w:sz w:val="21"/>
                <w:szCs w:val="21"/>
                <w:highlight w:val="none"/>
              </w:rPr>
              <w:t>）安全负责人具有</w:t>
            </w:r>
            <w:r>
              <w:rPr>
                <w:rStyle w:val="118"/>
                <w:color w:val="auto"/>
                <w:sz w:val="21"/>
                <w:szCs w:val="21"/>
                <w:highlight w:val="none"/>
                <w:lang w:eastAsia="zh-TW"/>
              </w:rPr>
              <w:t>10</w:t>
            </w:r>
            <w:r>
              <w:rPr>
                <w:rStyle w:val="118"/>
                <w:color w:val="auto"/>
                <w:sz w:val="21"/>
                <w:szCs w:val="21"/>
                <w:highlight w:val="none"/>
              </w:rPr>
              <w:t>年或以上（含</w:t>
            </w:r>
            <w:r>
              <w:rPr>
                <w:rStyle w:val="118"/>
                <w:color w:val="auto"/>
                <w:sz w:val="21"/>
                <w:szCs w:val="21"/>
                <w:highlight w:val="none"/>
                <w:lang w:eastAsia="zh-TW"/>
              </w:rPr>
              <w:t>10</w:t>
            </w:r>
            <w:r>
              <w:rPr>
                <w:rStyle w:val="118"/>
                <w:color w:val="auto"/>
                <w:sz w:val="21"/>
                <w:szCs w:val="21"/>
                <w:highlight w:val="none"/>
              </w:rPr>
              <w:t>年）施工管理工作经验，得</w:t>
            </w:r>
            <w:r>
              <w:rPr>
                <w:rStyle w:val="118"/>
                <w:color w:val="auto"/>
                <w:sz w:val="21"/>
                <w:szCs w:val="21"/>
                <w:highlight w:val="none"/>
                <w:lang w:eastAsia="zh-TW"/>
              </w:rPr>
              <w:t>3</w:t>
            </w:r>
            <w:r>
              <w:rPr>
                <w:rStyle w:val="118"/>
                <w:color w:val="auto"/>
                <w:sz w:val="21"/>
                <w:szCs w:val="21"/>
                <w:highlight w:val="none"/>
              </w:rPr>
              <w:t>分；具有</w:t>
            </w:r>
            <w:r>
              <w:rPr>
                <w:rStyle w:val="118"/>
                <w:color w:val="auto"/>
                <w:sz w:val="21"/>
                <w:szCs w:val="21"/>
                <w:highlight w:val="none"/>
                <w:lang w:eastAsia="zh-TW"/>
              </w:rPr>
              <w:t>5</w:t>
            </w:r>
            <w:r>
              <w:rPr>
                <w:rStyle w:val="118"/>
                <w:color w:val="auto"/>
                <w:sz w:val="21"/>
                <w:szCs w:val="21"/>
                <w:highlight w:val="none"/>
              </w:rPr>
              <w:t>年（含</w:t>
            </w:r>
            <w:r>
              <w:rPr>
                <w:rStyle w:val="118"/>
                <w:color w:val="auto"/>
                <w:sz w:val="21"/>
                <w:szCs w:val="21"/>
                <w:highlight w:val="none"/>
                <w:lang w:eastAsia="zh-TW"/>
              </w:rPr>
              <w:t>5</w:t>
            </w:r>
            <w:r>
              <w:rPr>
                <w:rStyle w:val="118"/>
                <w:color w:val="auto"/>
                <w:sz w:val="21"/>
                <w:szCs w:val="21"/>
                <w:highlight w:val="none"/>
              </w:rPr>
              <w:t>年）至</w:t>
            </w:r>
            <w:r>
              <w:rPr>
                <w:rStyle w:val="118"/>
                <w:color w:val="auto"/>
                <w:sz w:val="21"/>
                <w:szCs w:val="21"/>
                <w:highlight w:val="none"/>
                <w:lang w:eastAsia="zh-TW"/>
              </w:rPr>
              <w:t>10</w:t>
            </w:r>
            <w:r>
              <w:rPr>
                <w:rStyle w:val="118"/>
                <w:color w:val="auto"/>
                <w:sz w:val="21"/>
                <w:szCs w:val="21"/>
                <w:highlight w:val="none"/>
              </w:rPr>
              <w:t>年（不含</w:t>
            </w:r>
            <w:r>
              <w:rPr>
                <w:rStyle w:val="118"/>
                <w:color w:val="auto"/>
                <w:sz w:val="21"/>
                <w:szCs w:val="21"/>
                <w:highlight w:val="none"/>
                <w:lang w:eastAsia="zh-TW"/>
              </w:rPr>
              <w:t>10</w:t>
            </w:r>
            <w:r>
              <w:rPr>
                <w:rStyle w:val="118"/>
                <w:color w:val="auto"/>
                <w:sz w:val="21"/>
                <w:szCs w:val="21"/>
                <w:highlight w:val="none"/>
              </w:rPr>
              <w:t>年）施工管理工作经验，得</w:t>
            </w:r>
            <w:r>
              <w:rPr>
                <w:rStyle w:val="118"/>
                <w:color w:val="auto"/>
                <w:sz w:val="21"/>
                <w:szCs w:val="21"/>
                <w:highlight w:val="none"/>
                <w:lang w:eastAsia="zh-TW"/>
              </w:rPr>
              <w:t>2</w:t>
            </w:r>
            <w:r>
              <w:rPr>
                <w:rStyle w:val="118"/>
                <w:color w:val="auto"/>
                <w:sz w:val="21"/>
                <w:szCs w:val="21"/>
                <w:highlight w:val="none"/>
              </w:rPr>
              <w:t>分；具有</w:t>
            </w:r>
            <w:r>
              <w:rPr>
                <w:rStyle w:val="118"/>
                <w:color w:val="auto"/>
                <w:sz w:val="21"/>
                <w:szCs w:val="21"/>
                <w:highlight w:val="none"/>
                <w:lang w:eastAsia="zh-TW"/>
              </w:rPr>
              <w:t>5</w:t>
            </w:r>
            <w:r>
              <w:rPr>
                <w:rStyle w:val="118"/>
                <w:color w:val="auto"/>
                <w:sz w:val="21"/>
                <w:szCs w:val="21"/>
                <w:highlight w:val="none"/>
              </w:rPr>
              <w:t>年以下施工管理工作经验，得</w:t>
            </w:r>
            <w:r>
              <w:rPr>
                <w:rStyle w:val="118"/>
                <w:color w:val="auto"/>
                <w:sz w:val="21"/>
                <w:szCs w:val="21"/>
                <w:highlight w:val="none"/>
                <w:lang w:eastAsia="zh-TW"/>
              </w:rPr>
              <w:t>1</w:t>
            </w:r>
            <w:r>
              <w:rPr>
                <w:rStyle w:val="118"/>
                <w:color w:val="auto"/>
                <w:sz w:val="21"/>
                <w:szCs w:val="21"/>
                <w:highlight w:val="none"/>
              </w:rPr>
              <w:t>分。</w:t>
            </w:r>
          </w:p>
          <w:p w14:paraId="5A1742A1">
            <w:pPr>
              <w:rPr>
                <w:color w:val="auto"/>
                <w:highlight w:val="none"/>
              </w:rPr>
            </w:pPr>
            <w:r>
              <w:rPr>
                <w:rStyle w:val="118"/>
                <w:color w:val="auto"/>
                <w:kern w:val="0"/>
                <w:szCs w:val="21"/>
                <w:highlight w:val="none"/>
              </w:rPr>
              <w:t>备注：须提供注册安全工程师、安全考核</w:t>
            </w:r>
            <w:r>
              <w:rPr>
                <w:rStyle w:val="118"/>
                <w:color w:val="auto"/>
                <w:kern w:val="0"/>
                <w:szCs w:val="21"/>
                <w:highlight w:val="none"/>
                <w:lang w:eastAsia="zh-TW"/>
              </w:rPr>
              <w:t>C</w:t>
            </w:r>
            <w:r>
              <w:rPr>
                <w:rStyle w:val="118"/>
                <w:color w:val="auto"/>
                <w:kern w:val="0"/>
                <w:szCs w:val="21"/>
                <w:highlight w:val="none"/>
              </w:rPr>
              <w:t>证或</w:t>
            </w:r>
            <w:r>
              <w:rPr>
                <w:rStyle w:val="118"/>
                <w:color w:val="auto"/>
                <w:kern w:val="0"/>
                <w:szCs w:val="21"/>
                <w:highlight w:val="none"/>
                <w:lang w:eastAsia="zh-TW"/>
              </w:rPr>
              <w:t>C3</w:t>
            </w:r>
            <w:r>
              <w:rPr>
                <w:rStyle w:val="118"/>
                <w:color w:val="auto"/>
                <w:kern w:val="0"/>
                <w:szCs w:val="21"/>
                <w:highlight w:val="none"/>
              </w:rPr>
              <w:t>证及毕业证扫描件，本项最高得</w:t>
            </w:r>
            <w:r>
              <w:rPr>
                <w:rStyle w:val="118"/>
                <w:color w:val="auto"/>
                <w:kern w:val="0"/>
                <w:szCs w:val="21"/>
                <w:highlight w:val="none"/>
                <w:lang w:eastAsia="zh-TW"/>
              </w:rPr>
              <w:t>10</w:t>
            </w:r>
            <w:r>
              <w:rPr>
                <w:rStyle w:val="118"/>
                <w:color w:val="auto"/>
                <w:kern w:val="0"/>
                <w:szCs w:val="21"/>
                <w:highlight w:val="none"/>
              </w:rPr>
              <w:t>分。</w:t>
            </w:r>
          </w:p>
        </w:tc>
      </w:tr>
      <w:tr w14:paraId="6A26F4CC">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1" w:type="dxa"/>
            <w:vMerge w:val="continue"/>
            <w:tcBorders>
              <w:top w:val="single" w:color="auto" w:sz="4" w:space="0"/>
              <w:left w:val="single" w:color="auto" w:sz="8" w:space="0"/>
              <w:bottom w:val="single" w:color="auto" w:sz="4" w:space="0"/>
              <w:right w:val="single" w:color="auto" w:sz="4" w:space="0"/>
            </w:tcBorders>
            <w:vAlign w:val="center"/>
          </w:tcPr>
          <w:p w14:paraId="4CF3C0DD">
            <w:pPr>
              <w:widowControl/>
              <w:jc w:val="left"/>
              <w:rPr>
                <w:color w:val="auto"/>
                <w:highlight w:val="none"/>
              </w:rPr>
            </w:pPr>
          </w:p>
        </w:tc>
        <w:tc>
          <w:tcPr>
            <w:tcW w:w="1795" w:type="dxa"/>
            <w:tcBorders>
              <w:top w:val="single" w:color="auto" w:sz="4" w:space="0"/>
              <w:left w:val="single" w:color="auto" w:sz="4" w:space="0"/>
              <w:bottom w:val="single" w:color="auto" w:sz="4" w:space="0"/>
              <w:right w:val="single" w:color="auto" w:sz="4" w:space="0"/>
            </w:tcBorders>
            <w:vAlign w:val="center"/>
          </w:tcPr>
          <w:p w14:paraId="19A32FB8">
            <w:pPr>
              <w:adjustRightInd w:val="0"/>
              <w:snapToGrid w:val="0"/>
              <w:spacing w:line="288" w:lineRule="auto"/>
              <w:jc w:val="center"/>
              <w:rPr>
                <w:color w:val="auto"/>
                <w:highlight w:val="none"/>
              </w:rPr>
            </w:pPr>
            <w:r>
              <w:rPr>
                <w:rFonts w:hint="eastAsia" w:ascii="宋体" w:hAnsi="宋体" w:cs="宋体"/>
                <w:snapToGrid w:val="0"/>
                <w:color w:val="auto"/>
                <w:highlight w:val="none"/>
              </w:rPr>
              <w:t>质量负责人</w:t>
            </w:r>
          </w:p>
        </w:tc>
        <w:tc>
          <w:tcPr>
            <w:tcW w:w="851" w:type="dxa"/>
            <w:tcBorders>
              <w:top w:val="single" w:color="auto" w:sz="4" w:space="0"/>
              <w:left w:val="single" w:color="auto" w:sz="4" w:space="0"/>
              <w:bottom w:val="single" w:color="auto" w:sz="4" w:space="0"/>
              <w:right w:val="single" w:color="auto" w:sz="4" w:space="0"/>
            </w:tcBorders>
            <w:vAlign w:val="center"/>
          </w:tcPr>
          <w:p w14:paraId="59F25AA7">
            <w:pPr>
              <w:adjustRightInd w:val="0"/>
              <w:snapToGrid w:val="0"/>
              <w:spacing w:line="288" w:lineRule="auto"/>
              <w:jc w:val="center"/>
              <w:rPr>
                <w:rFonts w:ascii="宋体" w:hAnsi="宋体" w:cs="宋体"/>
                <w:color w:val="auto"/>
                <w:szCs w:val="21"/>
                <w:highlight w:val="none"/>
              </w:rPr>
            </w:pPr>
            <w:r>
              <w:rPr>
                <w:rFonts w:hint="eastAsia" w:ascii="宋体" w:hAnsi="宋体" w:cs="宋体"/>
                <w:snapToGrid w:val="0"/>
                <w:color w:val="auto"/>
                <w:szCs w:val="21"/>
                <w:highlight w:val="none"/>
              </w:rPr>
              <w:t>10</w:t>
            </w:r>
          </w:p>
        </w:tc>
        <w:tc>
          <w:tcPr>
            <w:tcW w:w="11853" w:type="dxa"/>
            <w:tcBorders>
              <w:top w:val="single" w:color="auto" w:sz="4" w:space="0"/>
              <w:left w:val="single" w:color="auto" w:sz="4" w:space="0"/>
              <w:bottom w:val="single" w:color="auto" w:sz="4" w:space="0"/>
              <w:right w:val="single" w:color="auto" w:sz="4" w:space="0"/>
            </w:tcBorders>
            <w:vAlign w:val="center"/>
          </w:tcPr>
          <w:p w14:paraId="5A37CD4D">
            <w:pPr>
              <w:pStyle w:val="119"/>
              <w:shd w:val="clear" w:color="auto" w:fill="auto"/>
              <w:spacing w:line="240" w:lineRule="auto"/>
              <w:rPr>
                <w:rStyle w:val="118"/>
                <w:rFonts w:hint="eastAsia"/>
                <w:color w:val="auto"/>
                <w:sz w:val="21"/>
                <w:szCs w:val="21"/>
                <w:highlight w:val="none"/>
                <w:lang w:eastAsia="zh-TW"/>
              </w:rPr>
            </w:pPr>
            <w:r>
              <w:rPr>
                <w:rStyle w:val="118"/>
                <w:color w:val="auto"/>
                <w:sz w:val="21"/>
                <w:szCs w:val="21"/>
                <w:highlight w:val="none"/>
              </w:rPr>
              <w:t>（</w:t>
            </w:r>
            <w:r>
              <w:rPr>
                <w:rStyle w:val="118"/>
                <w:color w:val="auto"/>
                <w:sz w:val="21"/>
                <w:szCs w:val="21"/>
                <w:highlight w:val="none"/>
                <w:lang w:eastAsia="zh-TW"/>
              </w:rPr>
              <w:t>1</w:t>
            </w:r>
            <w:r>
              <w:rPr>
                <w:rStyle w:val="118"/>
                <w:color w:val="auto"/>
                <w:sz w:val="21"/>
                <w:szCs w:val="21"/>
                <w:highlight w:val="none"/>
              </w:rPr>
              <w:t>）拟委派的质量负责人具备质量员岗位证，得</w:t>
            </w:r>
            <w:r>
              <w:rPr>
                <w:rStyle w:val="118"/>
                <w:color w:val="auto"/>
                <w:sz w:val="21"/>
                <w:szCs w:val="21"/>
                <w:highlight w:val="none"/>
                <w:lang w:eastAsia="zh-TW"/>
              </w:rPr>
              <w:t>3</w:t>
            </w:r>
            <w:r>
              <w:rPr>
                <w:rStyle w:val="118"/>
                <w:color w:val="auto"/>
                <w:sz w:val="21"/>
                <w:szCs w:val="21"/>
                <w:highlight w:val="none"/>
              </w:rPr>
              <w:t>分；不满足上述条件不得分。</w:t>
            </w:r>
          </w:p>
          <w:p w14:paraId="59B451CB">
            <w:pPr>
              <w:pStyle w:val="119"/>
              <w:shd w:val="clear" w:color="auto" w:fill="auto"/>
              <w:spacing w:line="240" w:lineRule="auto"/>
              <w:rPr>
                <w:rStyle w:val="118"/>
                <w:color w:val="auto"/>
                <w:sz w:val="21"/>
                <w:szCs w:val="21"/>
                <w:highlight w:val="none"/>
                <w:lang w:eastAsia="zh-TW"/>
              </w:rPr>
            </w:pPr>
            <w:r>
              <w:rPr>
                <w:rStyle w:val="118"/>
                <w:color w:val="auto"/>
                <w:sz w:val="21"/>
                <w:szCs w:val="21"/>
                <w:highlight w:val="none"/>
              </w:rPr>
              <w:t>（</w:t>
            </w:r>
            <w:r>
              <w:rPr>
                <w:rStyle w:val="118"/>
                <w:color w:val="auto"/>
                <w:sz w:val="21"/>
                <w:szCs w:val="21"/>
                <w:highlight w:val="none"/>
                <w:lang w:eastAsia="zh-TW"/>
              </w:rPr>
              <w:t>2</w:t>
            </w:r>
            <w:r>
              <w:rPr>
                <w:rStyle w:val="118"/>
                <w:color w:val="auto"/>
                <w:sz w:val="21"/>
                <w:szCs w:val="21"/>
                <w:highlight w:val="none"/>
              </w:rPr>
              <w:t>）质量负责人具有市政工程相关专业高级工程师或以上职称，得</w:t>
            </w:r>
            <w:r>
              <w:rPr>
                <w:rStyle w:val="118"/>
                <w:color w:val="auto"/>
                <w:sz w:val="21"/>
                <w:szCs w:val="21"/>
                <w:highlight w:val="none"/>
                <w:lang w:eastAsia="zh-TW"/>
              </w:rPr>
              <w:t>4</w:t>
            </w:r>
            <w:r>
              <w:rPr>
                <w:rStyle w:val="118"/>
                <w:color w:val="auto"/>
                <w:sz w:val="21"/>
                <w:szCs w:val="21"/>
                <w:highlight w:val="none"/>
              </w:rPr>
              <w:t>分；</w:t>
            </w:r>
            <w:r>
              <w:rPr>
                <w:rStyle w:val="118"/>
                <w:color w:val="auto"/>
                <w:sz w:val="21"/>
                <w:szCs w:val="21"/>
                <w:highlight w:val="none"/>
                <w:lang w:eastAsia="zh-TW"/>
              </w:rPr>
              <w:t>质量负责人具有市政工程相关专业中级工程师职称，得2分；</w:t>
            </w:r>
            <w:r>
              <w:rPr>
                <w:rStyle w:val="118"/>
                <w:color w:val="auto"/>
                <w:sz w:val="21"/>
                <w:szCs w:val="21"/>
                <w:highlight w:val="none"/>
              </w:rPr>
              <w:t>不满足上述条件不得分。</w:t>
            </w:r>
          </w:p>
          <w:p w14:paraId="717E71E6">
            <w:pPr>
              <w:pStyle w:val="119"/>
              <w:shd w:val="clear" w:color="auto" w:fill="auto"/>
              <w:spacing w:line="240" w:lineRule="auto"/>
              <w:rPr>
                <w:rStyle w:val="118"/>
                <w:color w:val="auto"/>
                <w:sz w:val="21"/>
                <w:szCs w:val="21"/>
                <w:highlight w:val="none"/>
                <w:lang w:eastAsia="zh-TW"/>
              </w:rPr>
            </w:pPr>
            <w:r>
              <w:rPr>
                <w:rStyle w:val="118"/>
                <w:color w:val="auto"/>
                <w:sz w:val="21"/>
                <w:szCs w:val="21"/>
                <w:highlight w:val="none"/>
              </w:rPr>
              <w:t>（</w:t>
            </w:r>
            <w:r>
              <w:rPr>
                <w:rStyle w:val="118"/>
                <w:color w:val="auto"/>
                <w:sz w:val="21"/>
                <w:szCs w:val="21"/>
                <w:highlight w:val="none"/>
                <w:lang w:eastAsia="zh-TW"/>
              </w:rPr>
              <w:t>3</w:t>
            </w:r>
            <w:r>
              <w:rPr>
                <w:rStyle w:val="118"/>
                <w:color w:val="auto"/>
                <w:sz w:val="21"/>
                <w:szCs w:val="21"/>
                <w:highlight w:val="none"/>
              </w:rPr>
              <w:t>）质量负责人具有</w:t>
            </w:r>
            <w:r>
              <w:rPr>
                <w:rStyle w:val="118"/>
                <w:color w:val="auto"/>
                <w:sz w:val="21"/>
                <w:szCs w:val="21"/>
                <w:highlight w:val="none"/>
                <w:lang w:eastAsia="zh-TW"/>
              </w:rPr>
              <w:t>10</w:t>
            </w:r>
            <w:r>
              <w:rPr>
                <w:rStyle w:val="118"/>
                <w:color w:val="auto"/>
                <w:sz w:val="21"/>
                <w:szCs w:val="21"/>
                <w:highlight w:val="none"/>
              </w:rPr>
              <w:t>年或以上（含</w:t>
            </w:r>
            <w:r>
              <w:rPr>
                <w:rStyle w:val="118"/>
                <w:color w:val="auto"/>
                <w:sz w:val="21"/>
                <w:szCs w:val="21"/>
                <w:highlight w:val="none"/>
                <w:lang w:eastAsia="zh-TW"/>
              </w:rPr>
              <w:t>10</w:t>
            </w:r>
            <w:r>
              <w:rPr>
                <w:rStyle w:val="118"/>
                <w:color w:val="auto"/>
                <w:sz w:val="21"/>
                <w:szCs w:val="21"/>
                <w:highlight w:val="none"/>
              </w:rPr>
              <w:t>年）施工管理工作经验，得</w:t>
            </w:r>
            <w:r>
              <w:rPr>
                <w:rStyle w:val="118"/>
                <w:color w:val="auto"/>
                <w:sz w:val="21"/>
                <w:szCs w:val="21"/>
                <w:highlight w:val="none"/>
                <w:lang w:eastAsia="zh-TW"/>
              </w:rPr>
              <w:t>3</w:t>
            </w:r>
            <w:r>
              <w:rPr>
                <w:rStyle w:val="118"/>
                <w:color w:val="auto"/>
                <w:sz w:val="21"/>
                <w:szCs w:val="21"/>
                <w:highlight w:val="none"/>
              </w:rPr>
              <w:t>分；具有</w:t>
            </w:r>
            <w:r>
              <w:rPr>
                <w:rStyle w:val="118"/>
                <w:color w:val="auto"/>
                <w:sz w:val="21"/>
                <w:szCs w:val="21"/>
                <w:highlight w:val="none"/>
                <w:lang w:eastAsia="zh-TW"/>
              </w:rPr>
              <w:t>5</w:t>
            </w:r>
            <w:r>
              <w:rPr>
                <w:rStyle w:val="118"/>
                <w:color w:val="auto"/>
                <w:sz w:val="21"/>
                <w:szCs w:val="21"/>
                <w:highlight w:val="none"/>
              </w:rPr>
              <w:t>年（含</w:t>
            </w:r>
            <w:r>
              <w:rPr>
                <w:rStyle w:val="118"/>
                <w:color w:val="auto"/>
                <w:sz w:val="21"/>
                <w:szCs w:val="21"/>
                <w:highlight w:val="none"/>
                <w:lang w:eastAsia="zh-TW"/>
              </w:rPr>
              <w:t>5</w:t>
            </w:r>
            <w:r>
              <w:rPr>
                <w:rStyle w:val="118"/>
                <w:color w:val="auto"/>
                <w:sz w:val="21"/>
                <w:szCs w:val="21"/>
                <w:highlight w:val="none"/>
              </w:rPr>
              <w:t>年）至</w:t>
            </w:r>
            <w:r>
              <w:rPr>
                <w:rStyle w:val="118"/>
                <w:color w:val="auto"/>
                <w:sz w:val="21"/>
                <w:szCs w:val="21"/>
                <w:highlight w:val="none"/>
                <w:lang w:eastAsia="zh-TW"/>
              </w:rPr>
              <w:t>10</w:t>
            </w:r>
            <w:r>
              <w:rPr>
                <w:rStyle w:val="118"/>
                <w:color w:val="auto"/>
                <w:sz w:val="21"/>
                <w:szCs w:val="21"/>
                <w:highlight w:val="none"/>
              </w:rPr>
              <w:t>年（不含</w:t>
            </w:r>
            <w:r>
              <w:rPr>
                <w:rStyle w:val="118"/>
                <w:color w:val="auto"/>
                <w:sz w:val="21"/>
                <w:szCs w:val="21"/>
                <w:highlight w:val="none"/>
                <w:lang w:eastAsia="zh-TW"/>
              </w:rPr>
              <w:t>10</w:t>
            </w:r>
            <w:r>
              <w:rPr>
                <w:rStyle w:val="118"/>
                <w:color w:val="auto"/>
                <w:sz w:val="21"/>
                <w:szCs w:val="21"/>
                <w:highlight w:val="none"/>
              </w:rPr>
              <w:t>年）施工管理工作经验，得</w:t>
            </w:r>
            <w:r>
              <w:rPr>
                <w:rStyle w:val="118"/>
                <w:color w:val="auto"/>
                <w:sz w:val="21"/>
                <w:szCs w:val="21"/>
                <w:highlight w:val="none"/>
                <w:lang w:eastAsia="zh-TW"/>
              </w:rPr>
              <w:t>2</w:t>
            </w:r>
            <w:r>
              <w:rPr>
                <w:rStyle w:val="118"/>
                <w:color w:val="auto"/>
                <w:sz w:val="21"/>
                <w:szCs w:val="21"/>
                <w:highlight w:val="none"/>
              </w:rPr>
              <w:t>分；具有</w:t>
            </w:r>
            <w:r>
              <w:rPr>
                <w:rStyle w:val="118"/>
                <w:color w:val="auto"/>
                <w:sz w:val="21"/>
                <w:szCs w:val="21"/>
                <w:highlight w:val="none"/>
                <w:lang w:eastAsia="zh-TW"/>
              </w:rPr>
              <w:t>5</w:t>
            </w:r>
            <w:r>
              <w:rPr>
                <w:rStyle w:val="118"/>
                <w:color w:val="auto"/>
                <w:sz w:val="21"/>
                <w:szCs w:val="21"/>
                <w:highlight w:val="none"/>
              </w:rPr>
              <w:t>年以下施工管理工作经验，得</w:t>
            </w:r>
            <w:r>
              <w:rPr>
                <w:rStyle w:val="118"/>
                <w:color w:val="auto"/>
                <w:sz w:val="21"/>
                <w:szCs w:val="21"/>
                <w:highlight w:val="none"/>
                <w:lang w:eastAsia="zh-TW"/>
              </w:rPr>
              <w:t>1</w:t>
            </w:r>
            <w:r>
              <w:rPr>
                <w:rStyle w:val="118"/>
                <w:color w:val="auto"/>
                <w:sz w:val="21"/>
                <w:szCs w:val="21"/>
                <w:highlight w:val="none"/>
              </w:rPr>
              <w:t>分。</w:t>
            </w:r>
          </w:p>
          <w:p w14:paraId="0F882E61">
            <w:pPr>
              <w:pStyle w:val="119"/>
              <w:shd w:val="clear" w:color="auto" w:fill="auto"/>
              <w:spacing w:line="240" w:lineRule="auto"/>
              <w:rPr>
                <w:rStyle w:val="118"/>
                <w:color w:val="auto"/>
                <w:sz w:val="21"/>
                <w:szCs w:val="21"/>
                <w:highlight w:val="none"/>
                <w:lang w:eastAsia="zh-TW"/>
              </w:rPr>
            </w:pPr>
            <w:r>
              <w:rPr>
                <w:rStyle w:val="118"/>
                <w:color w:val="auto"/>
                <w:sz w:val="21"/>
                <w:szCs w:val="21"/>
                <w:highlight w:val="none"/>
              </w:rPr>
              <w:t>备注：须提供岗位证书、职称证书、毕业证扫描件，本项最高得</w:t>
            </w:r>
            <w:r>
              <w:rPr>
                <w:rStyle w:val="118"/>
                <w:color w:val="auto"/>
                <w:sz w:val="21"/>
                <w:szCs w:val="21"/>
                <w:highlight w:val="none"/>
                <w:lang w:eastAsia="zh-TW"/>
              </w:rPr>
              <w:t>10</w:t>
            </w:r>
            <w:r>
              <w:rPr>
                <w:rStyle w:val="118"/>
                <w:color w:val="auto"/>
                <w:sz w:val="21"/>
                <w:szCs w:val="21"/>
                <w:highlight w:val="none"/>
              </w:rPr>
              <w:t>分。</w:t>
            </w:r>
          </w:p>
        </w:tc>
      </w:tr>
      <w:tr w14:paraId="633232E4">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9" w:hRule="atLeast"/>
          <w:jc w:val="center"/>
        </w:trPr>
        <w:tc>
          <w:tcPr>
            <w:tcW w:w="711" w:type="dxa"/>
            <w:vMerge w:val="continue"/>
            <w:tcBorders>
              <w:top w:val="single" w:color="auto" w:sz="4" w:space="0"/>
              <w:left w:val="single" w:color="auto" w:sz="8" w:space="0"/>
              <w:bottom w:val="single" w:color="auto" w:sz="4" w:space="0"/>
              <w:right w:val="single" w:color="auto" w:sz="4" w:space="0"/>
            </w:tcBorders>
            <w:vAlign w:val="center"/>
          </w:tcPr>
          <w:p w14:paraId="0D6F18B8">
            <w:pPr>
              <w:widowControl/>
              <w:jc w:val="left"/>
              <w:rPr>
                <w:color w:val="auto"/>
                <w:highlight w:val="none"/>
              </w:rPr>
            </w:pPr>
          </w:p>
        </w:tc>
        <w:tc>
          <w:tcPr>
            <w:tcW w:w="1795" w:type="dxa"/>
            <w:tcBorders>
              <w:top w:val="single" w:color="auto" w:sz="4" w:space="0"/>
              <w:left w:val="single" w:color="auto" w:sz="4" w:space="0"/>
              <w:bottom w:val="single" w:color="auto" w:sz="4" w:space="0"/>
              <w:right w:val="single" w:color="auto" w:sz="4" w:space="0"/>
            </w:tcBorders>
            <w:vAlign w:val="center"/>
          </w:tcPr>
          <w:p w14:paraId="1D1FB48C">
            <w:pPr>
              <w:adjustRightInd w:val="0"/>
              <w:snapToGrid w:val="0"/>
              <w:spacing w:line="288" w:lineRule="auto"/>
              <w:jc w:val="center"/>
              <w:rPr>
                <w:color w:val="auto"/>
                <w:highlight w:val="none"/>
              </w:rPr>
            </w:pPr>
            <w:r>
              <w:rPr>
                <w:rFonts w:hint="eastAsia" w:ascii="宋体" w:hAnsi="宋体" w:cs="宋体"/>
                <w:snapToGrid w:val="0"/>
                <w:color w:val="auto"/>
                <w:highlight w:val="none"/>
              </w:rPr>
              <w:t>造价负责人</w:t>
            </w:r>
          </w:p>
        </w:tc>
        <w:tc>
          <w:tcPr>
            <w:tcW w:w="851" w:type="dxa"/>
            <w:tcBorders>
              <w:top w:val="single" w:color="auto" w:sz="4" w:space="0"/>
              <w:left w:val="single" w:color="auto" w:sz="4" w:space="0"/>
              <w:bottom w:val="single" w:color="auto" w:sz="4" w:space="0"/>
              <w:right w:val="single" w:color="auto" w:sz="4" w:space="0"/>
            </w:tcBorders>
            <w:vAlign w:val="center"/>
          </w:tcPr>
          <w:p w14:paraId="5ACD8087">
            <w:pPr>
              <w:adjustRightInd w:val="0"/>
              <w:snapToGrid w:val="0"/>
              <w:spacing w:line="288" w:lineRule="auto"/>
              <w:jc w:val="center"/>
              <w:rPr>
                <w:rFonts w:ascii="宋体" w:hAnsi="宋体" w:cs="宋体"/>
                <w:color w:val="auto"/>
                <w:szCs w:val="21"/>
                <w:highlight w:val="none"/>
              </w:rPr>
            </w:pPr>
            <w:r>
              <w:rPr>
                <w:rFonts w:hint="eastAsia" w:ascii="宋体" w:hAnsi="宋体" w:cs="宋体"/>
                <w:snapToGrid w:val="0"/>
                <w:color w:val="auto"/>
                <w:highlight w:val="none"/>
              </w:rPr>
              <w:t>10</w:t>
            </w:r>
          </w:p>
        </w:tc>
        <w:tc>
          <w:tcPr>
            <w:tcW w:w="11853" w:type="dxa"/>
            <w:tcBorders>
              <w:top w:val="single" w:color="auto" w:sz="4" w:space="0"/>
              <w:left w:val="single" w:color="auto" w:sz="4" w:space="0"/>
              <w:bottom w:val="single" w:color="auto" w:sz="4" w:space="0"/>
              <w:right w:val="single" w:color="auto" w:sz="4" w:space="0"/>
            </w:tcBorders>
            <w:vAlign w:val="center"/>
          </w:tcPr>
          <w:p w14:paraId="466E79F6">
            <w:pPr>
              <w:pStyle w:val="119"/>
              <w:shd w:val="clear" w:color="auto" w:fill="auto"/>
              <w:spacing w:line="240" w:lineRule="auto"/>
              <w:rPr>
                <w:rStyle w:val="118"/>
                <w:rFonts w:hint="eastAsia"/>
                <w:color w:val="auto"/>
                <w:sz w:val="21"/>
                <w:szCs w:val="21"/>
                <w:highlight w:val="none"/>
                <w:lang w:eastAsia="zh-TW"/>
              </w:rPr>
            </w:pPr>
            <w:r>
              <w:rPr>
                <w:rStyle w:val="118"/>
                <w:color w:val="auto"/>
                <w:sz w:val="21"/>
                <w:szCs w:val="21"/>
                <w:highlight w:val="none"/>
              </w:rPr>
              <w:t>（</w:t>
            </w:r>
            <w:r>
              <w:rPr>
                <w:rStyle w:val="118"/>
                <w:color w:val="auto"/>
                <w:sz w:val="21"/>
                <w:szCs w:val="21"/>
                <w:highlight w:val="none"/>
                <w:lang w:eastAsia="zh-TW"/>
              </w:rPr>
              <w:t>1</w:t>
            </w:r>
            <w:r>
              <w:rPr>
                <w:rStyle w:val="118"/>
                <w:color w:val="auto"/>
                <w:sz w:val="21"/>
                <w:szCs w:val="21"/>
                <w:highlight w:val="none"/>
              </w:rPr>
              <w:t>）造价负责人具有注册造价工程师（或注册一级造价工程师）证书，得</w:t>
            </w:r>
            <w:r>
              <w:rPr>
                <w:rStyle w:val="118"/>
                <w:color w:val="auto"/>
                <w:sz w:val="21"/>
                <w:szCs w:val="21"/>
                <w:highlight w:val="none"/>
                <w:lang w:eastAsia="zh-TW"/>
              </w:rPr>
              <w:t>4</w:t>
            </w:r>
            <w:r>
              <w:rPr>
                <w:rStyle w:val="118"/>
                <w:color w:val="auto"/>
                <w:sz w:val="21"/>
                <w:szCs w:val="21"/>
                <w:highlight w:val="none"/>
              </w:rPr>
              <w:t>分；不满足上述条件不得分。</w:t>
            </w:r>
          </w:p>
          <w:p w14:paraId="6DE45640">
            <w:pPr>
              <w:pStyle w:val="119"/>
              <w:shd w:val="clear" w:color="auto" w:fill="auto"/>
              <w:spacing w:line="240" w:lineRule="auto"/>
              <w:rPr>
                <w:rStyle w:val="118"/>
                <w:color w:val="auto"/>
                <w:sz w:val="21"/>
                <w:szCs w:val="21"/>
                <w:highlight w:val="none"/>
                <w:lang w:eastAsia="zh-TW"/>
              </w:rPr>
            </w:pPr>
            <w:r>
              <w:rPr>
                <w:rStyle w:val="118"/>
                <w:color w:val="auto"/>
                <w:sz w:val="21"/>
                <w:szCs w:val="21"/>
                <w:highlight w:val="none"/>
              </w:rPr>
              <w:t>（</w:t>
            </w:r>
            <w:r>
              <w:rPr>
                <w:rStyle w:val="118"/>
                <w:color w:val="auto"/>
                <w:sz w:val="21"/>
                <w:szCs w:val="21"/>
                <w:highlight w:val="none"/>
                <w:lang w:eastAsia="zh-TW"/>
              </w:rPr>
              <w:t>2</w:t>
            </w:r>
            <w:r>
              <w:rPr>
                <w:rStyle w:val="118"/>
                <w:color w:val="auto"/>
                <w:sz w:val="21"/>
                <w:szCs w:val="21"/>
                <w:highlight w:val="none"/>
              </w:rPr>
              <w:t>）具有造价类专业高级（或以上）职称得</w:t>
            </w:r>
            <w:r>
              <w:rPr>
                <w:rStyle w:val="118"/>
                <w:color w:val="auto"/>
                <w:sz w:val="21"/>
                <w:szCs w:val="21"/>
                <w:highlight w:val="none"/>
                <w:lang w:eastAsia="zh-TW"/>
              </w:rPr>
              <w:t>3</w:t>
            </w:r>
            <w:r>
              <w:rPr>
                <w:rStyle w:val="118"/>
                <w:color w:val="auto"/>
                <w:sz w:val="21"/>
                <w:szCs w:val="21"/>
                <w:highlight w:val="none"/>
              </w:rPr>
              <w:t>分；具有造价类专业中级职称得</w:t>
            </w:r>
            <w:r>
              <w:rPr>
                <w:rStyle w:val="118"/>
                <w:color w:val="auto"/>
                <w:sz w:val="21"/>
                <w:szCs w:val="21"/>
                <w:highlight w:val="none"/>
                <w:lang w:eastAsia="zh-TW"/>
              </w:rPr>
              <w:t>1.5</w:t>
            </w:r>
            <w:r>
              <w:rPr>
                <w:rStyle w:val="118"/>
                <w:color w:val="auto"/>
                <w:sz w:val="21"/>
                <w:szCs w:val="21"/>
                <w:highlight w:val="none"/>
              </w:rPr>
              <w:t>分；</w:t>
            </w:r>
          </w:p>
          <w:p w14:paraId="4CC35FC4">
            <w:pPr>
              <w:pStyle w:val="119"/>
              <w:shd w:val="clear" w:color="auto" w:fill="auto"/>
              <w:spacing w:line="240" w:lineRule="auto"/>
              <w:rPr>
                <w:rStyle w:val="118"/>
                <w:color w:val="auto"/>
                <w:sz w:val="21"/>
                <w:szCs w:val="21"/>
                <w:highlight w:val="none"/>
                <w:lang w:eastAsia="zh-TW"/>
              </w:rPr>
            </w:pPr>
            <w:r>
              <w:rPr>
                <w:rStyle w:val="118"/>
                <w:color w:val="auto"/>
                <w:sz w:val="21"/>
                <w:szCs w:val="21"/>
                <w:highlight w:val="none"/>
              </w:rPr>
              <w:t>（</w:t>
            </w:r>
            <w:r>
              <w:rPr>
                <w:rStyle w:val="118"/>
                <w:color w:val="auto"/>
                <w:sz w:val="21"/>
                <w:szCs w:val="21"/>
                <w:highlight w:val="none"/>
                <w:lang w:eastAsia="zh-TW"/>
              </w:rPr>
              <w:t>3</w:t>
            </w:r>
            <w:r>
              <w:rPr>
                <w:rStyle w:val="118"/>
                <w:color w:val="auto"/>
                <w:sz w:val="21"/>
                <w:szCs w:val="21"/>
                <w:highlight w:val="none"/>
              </w:rPr>
              <w:t>）具有</w:t>
            </w:r>
            <w:r>
              <w:rPr>
                <w:rStyle w:val="118"/>
                <w:color w:val="auto"/>
                <w:sz w:val="21"/>
                <w:szCs w:val="21"/>
                <w:highlight w:val="none"/>
                <w:lang w:eastAsia="zh-TW"/>
              </w:rPr>
              <w:t>10</w:t>
            </w:r>
            <w:r>
              <w:rPr>
                <w:rStyle w:val="118"/>
                <w:color w:val="auto"/>
                <w:sz w:val="21"/>
                <w:szCs w:val="21"/>
                <w:highlight w:val="none"/>
              </w:rPr>
              <w:t>年或以上（含</w:t>
            </w:r>
            <w:r>
              <w:rPr>
                <w:rStyle w:val="118"/>
                <w:color w:val="auto"/>
                <w:sz w:val="21"/>
                <w:szCs w:val="21"/>
                <w:highlight w:val="none"/>
                <w:lang w:eastAsia="zh-TW"/>
              </w:rPr>
              <w:t>10</w:t>
            </w:r>
            <w:r>
              <w:rPr>
                <w:rStyle w:val="118"/>
                <w:color w:val="auto"/>
                <w:sz w:val="21"/>
                <w:szCs w:val="21"/>
                <w:highlight w:val="none"/>
              </w:rPr>
              <w:t>年）造价管理工作经验，得</w:t>
            </w:r>
            <w:r>
              <w:rPr>
                <w:rStyle w:val="118"/>
                <w:color w:val="auto"/>
                <w:sz w:val="21"/>
                <w:szCs w:val="21"/>
                <w:highlight w:val="none"/>
                <w:lang w:eastAsia="zh-TW"/>
              </w:rPr>
              <w:t>3</w:t>
            </w:r>
            <w:r>
              <w:rPr>
                <w:rStyle w:val="118"/>
                <w:color w:val="auto"/>
                <w:sz w:val="21"/>
                <w:szCs w:val="21"/>
                <w:highlight w:val="none"/>
              </w:rPr>
              <w:t>分；具有</w:t>
            </w:r>
            <w:r>
              <w:rPr>
                <w:rStyle w:val="118"/>
                <w:color w:val="auto"/>
                <w:sz w:val="21"/>
                <w:szCs w:val="21"/>
                <w:highlight w:val="none"/>
                <w:lang w:eastAsia="zh-TW"/>
              </w:rPr>
              <w:t>5</w:t>
            </w:r>
            <w:r>
              <w:rPr>
                <w:rStyle w:val="118"/>
                <w:color w:val="auto"/>
                <w:sz w:val="21"/>
                <w:szCs w:val="21"/>
                <w:highlight w:val="none"/>
              </w:rPr>
              <w:t>年（含</w:t>
            </w:r>
            <w:r>
              <w:rPr>
                <w:rStyle w:val="118"/>
                <w:color w:val="auto"/>
                <w:sz w:val="21"/>
                <w:szCs w:val="21"/>
                <w:highlight w:val="none"/>
                <w:lang w:eastAsia="zh-TW"/>
              </w:rPr>
              <w:t>5</w:t>
            </w:r>
            <w:r>
              <w:rPr>
                <w:rStyle w:val="118"/>
                <w:color w:val="auto"/>
                <w:sz w:val="21"/>
                <w:szCs w:val="21"/>
                <w:highlight w:val="none"/>
              </w:rPr>
              <w:t>年）至</w:t>
            </w:r>
            <w:r>
              <w:rPr>
                <w:rStyle w:val="118"/>
                <w:color w:val="auto"/>
                <w:sz w:val="21"/>
                <w:szCs w:val="21"/>
                <w:highlight w:val="none"/>
                <w:lang w:eastAsia="zh-TW"/>
              </w:rPr>
              <w:t>10</w:t>
            </w:r>
            <w:r>
              <w:rPr>
                <w:rStyle w:val="118"/>
                <w:color w:val="auto"/>
                <w:sz w:val="21"/>
                <w:szCs w:val="21"/>
                <w:highlight w:val="none"/>
              </w:rPr>
              <w:t>年（不含</w:t>
            </w:r>
            <w:r>
              <w:rPr>
                <w:rStyle w:val="118"/>
                <w:color w:val="auto"/>
                <w:sz w:val="21"/>
                <w:szCs w:val="21"/>
                <w:highlight w:val="none"/>
                <w:lang w:eastAsia="zh-TW"/>
              </w:rPr>
              <w:t>10</w:t>
            </w:r>
            <w:r>
              <w:rPr>
                <w:rStyle w:val="118"/>
                <w:color w:val="auto"/>
                <w:sz w:val="21"/>
                <w:szCs w:val="21"/>
                <w:highlight w:val="none"/>
              </w:rPr>
              <w:t>年）造价管理工作经验，得</w:t>
            </w:r>
            <w:r>
              <w:rPr>
                <w:rStyle w:val="118"/>
                <w:color w:val="auto"/>
                <w:sz w:val="21"/>
                <w:szCs w:val="21"/>
                <w:highlight w:val="none"/>
                <w:lang w:eastAsia="zh-TW"/>
              </w:rPr>
              <w:t>2</w:t>
            </w:r>
            <w:r>
              <w:rPr>
                <w:rStyle w:val="118"/>
                <w:color w:val="auto"/>
                <w:sz w:val="21"/>
                <w:szCs w:val="21"/>
                <w:highlight w:val="none"/>
              </w:rPr>
              <w:t>分；具有</w:t>
            </w:r>
            <w:r>
              <w:rPr>
                <w:rStyle w:val="118"/>
                <w:color w:val="auto"/>
                <w:sz w:val="21"/>
                <w:szCs w:val="21"/>
                <w:highlight w:val="none"/>
                <w:lang w:eastAsia="zh-TW"/>
              </w:rPr>
              <w:t>5</w:t>
            </w:r>
            <w:r>
              <w:rPr>
                <w:rStyle w:val="118"/>
                <w:color w:val="auto"/>
                <w:sz w:val="21"/>
                <w:szCs w:val="21"/>
                <w:highlight w:val="none"/>
              </w:rPr>
              <w:t>年以下造价管理工作经验，得</w:t>
            </w:r>
            <w:r>
              <w:rPr>
                <w:rStyle w:val="118"/>
                <w:color w:val="auto"/>
                <w:sz w:val="21"/>
                <w:szCs w:val="21"/>
                <w:highlight w:val="none"/>
                <w:lang w:eastAsia="zh-TW"/>
              </w:rPr>
              <w:t>1</w:t>
            </w:r>
            <w:r>
              <w:rPr>
                <w:rStyle w:val="118"/>
                <w:color w:val="auto"/>
                <w:sz w:val="21"/>
                <w:szCs w:val="21"/>
                <w:highlight w:val="none"/>
              </w:rPr>
              <w:t>分。</w:t>
            </w:r>
          </w:p>
          <w:p w14:paraId="4E4C7C5E">
            <w:pPr>
              <w:pStyle w:val="119"/>
              <w:shd w:val="clear" w:color="auto" w:fill="auto"/>
              <w:spacing w:line="240" w:lineRule="auto"/>
              <w:rPr>
                <w:rStyle w:val="118"/>
                <w:color w:val="auto"/>
                <w:sz w:val="21"/>
                <w:szCs w:val="21"/>
                <w:highlight w:val="none"/>
                <w:lang w:eastAsia="zh-TW"/>
              </w:rPr>
            </w:pPr>
            <w:r>
              <w:rPr>
                <w:rStyle w:val="118"/>
                <w:color w:val="auto"/>
                <w:sz w:val="21"/>
                <w:szCs w:val="21"/>
                <w:highlight w:val="none"/>
              </w:rPr>
              <w:t>备注：须提供造价工程师注册证、职称证书、毕业证扫描件，本项最高得</w:t>
            </w:r>
            <w:r>
              <w:rPr>
                <w:rStyle w:val="118"/>
                <w:color w:val="auto"/>
                <w:sz w:val="21"/>
                <w:szCs w:val="21"/>
                <w:highlight w:val="none"/>
                <w:lang w:eastAsia="zh-TW"/>
              </w:rPr>
              <w:t>10</w:t>
            </w:r>
            <w:r>
              <w:rPr>
                <w:rStyle w:val="118"/>
                <w:color w:val="auto"/>
                <w:sz w:val="21"/>
                <w:szCs w:val="21"/>
                <w:highlight w:val="none"/>
              </w:rPr>
              <w:t>分。</w:t>
            </w:r>
          </w:p>
        </w:tc>
      </w:tr>
      <w:tr w14:paraId="377E1825">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1" w:hRule="atLeast"/>
          <w:jc w:val="center"/>
        </w:trPr>
        <w:tc>
          <w:tcPr>
            <w:tcW w:w="711" w:type="dxa"/>
            <w:vMerge w:val="continue"/>
            <w:tcBorders>
              <w:top w:val="single" w:color="auto" w:sz="4" w:space="0"/>
              <w:left w:val="single" w:color="auto" w:sz="8" w:space="0"/>
              <w:bottom w:val="single" w:color="auto" w:sz="4" w:space="0"/>
              <w:right w:val="single" w:color="auto" w:sz="4" w:space="0"/>
            </w:tcBorders>
            <w:vAlign w:val="center"/>
          </w:tcPr>
          <w:p w14:paraId="53DC3C87">
            <w:pPr>
              <w:widowControl/>
              <w:jc w:val="left"/>
              <w:rPr>
                <w:color w:val="auto"/>
                <w:highlight w:val="none"/>
              </w:rPr>
            </w:pPr>
          </w:p>
        </w:tc>
        <w:tc>
          <w:tcPr>
            <w:tcW w:w="1795" w:type="dxa"/>
            <w:tcBorders>
              <w:top w:val="single" w:color="auto" w:sz="4" w:space="0"/>
              <w:left w:val="single" w:color="auto" w:sz="4" w:space="0"/>
              <w:bottom w:val="single" w:color="auto" w:sz="4" w:space="0"/>
              <w:right w:val="single" w:color="auto" w:sz="4" w:space="0"/>
            </w:tcBorders>
            <w:vAlign w:val="center"/>
          </w:tcPr>
          <w:p w14:paraId="21F413E6">
            <w:pPr>
              <w:adjustRightInd w:val="0"/>
              <w:snapToGrid w:val="0"/>
              <w:spacing w:line="288" w:lineRule="auto"/>
              <w:jc w:val="center"/>
              <w:rPr>
                <w:color w:val="auto"/>
                <w:highlight w:val="none"/>
              </w:rPr>
            </w:pPr>
            <w:r>
              <w:rPr>
                <w:rFonts w:hint="eastAsia" w:ascii="宋体" w:hAnsi="宋体" w:cs="宋体"/>
                <w:color w:val="auto"/>
                <w:szCs w:val="21"/>
                <w:highlight w:val="none"/>
              </w:rPr>
              <w:t>项目管理班子</w:t>
            </w:r>
          </w:p>
          <w:p w14:paraId="035DE2D8">
            <w:pPr>
              <w:adjustRightInd w:val="0"/>
              <w:snapToGrid w:val="0"/>
              <w:spacing w:line="288" w:lineRule="auto"/>
              <w:jc w:val="center"/>
              <w:rPr>
                <w:color w:val="auto"/>
                <w:highlight w:val="none"/>
              </w:rPr>
            </w:pPr>
            <w:r>
              <w:rPr>
                <w:rFonts w:hint="eastAsia" w:ascii="宋体" w:hAnsi="宋体" w:cs="宋体"/>
                <w:color w:val="auto"/>
                <w:szCs w:val="21"/>
                <w:highlight w:val="none"/>
              </w:rPr>
              <w:t>答辩</w:t>
            </w:r>
          </w:p>
        </w:tc>
        <w:tc>
          <w:tcPr>
            <w:tcW w:w="851" w:type="dxa"/>
            <w:tcBorders>
              <w:top w:val="single" w:color="auto" w:sz="4" w:space="0"/>
              <w:left w:val="single" w:color="auto" w:sz="4" w:space="0"/>
              <w:bottom w:val="single" w:color="auto" w:sz="4" w:space="0"/>
              <w:right w:val="single" w:color="auto" w:sz="4" w:space="0"/>
            </w:tcBorders>
            <w:vAlign w:val="center"/>
          </w:tcPr>
          <w:p w14:paraId="0AEE299B">
            <w:pPr>
              <w:adjustRightInd w:val="0"/>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40</w:t>
            </w:r>
            <w:r>
              <w:rPr>
                <w:rFonts w:hint="eastAsia" w:ascii="宋体" w:hAnsi="宋体" w:cs="宋体"/>
                <w:snapToGrid w:val="0"/>
                <w:color w:val="auto"/>
                <w:szCs w:val="21"/>
                <w:highlight w:val="none"/>
              </w:rPr>
              <w:t>分</w:t>
            </w:r>
          </w:p>
        </w:tc>
        <w:tc>
          <w:tcPr>
            <w:tcW w:w="11853" w:type="dxa"/>
            <w:tcBorders>
              <w:top w:val="single" w:color="auto" w:sz="4" w:space="0"/>
              <w:left w:val="single" w:color="auto" w:sz="4" w:space="0"/>
              <w:bottom w:val="single" w:color="auto" w:sz="4" w:space="0"/>
              <w:right w:val="single" w:color="auto" w:sz="4" w:space="0"/>
            </w:tcBorders>
            <w:vAlign w:val="center"/>
          </w:tcPr>
          <w:p w14:paraId="09127815">
            <w:pPr>
              <w:rPr>
                <w:rFonts w:ascii="宋体" w:hAnsi="宋体" w:cs="宋体"/>
                <w:b/>
                <w:bCs/>
                <w:color w:val="auto"/>
                <w:szCs w:val="21"/>
                <w:highlight w:val="none"/>
                <w:lang w:bidi="ar"/>
              </w:rPr>
            </w:pPr>
            <w:r>
              <w:rPr>
                <w:rFonts w:hint="eastAsia" w:ascii="宋体" w:hAnsi="宋体" w:cs="宋体"/>
                <w:b/>
                <w:bCs/>
                <w:color w:val="auto"/>
                <w:szCs w:val="21"/>
                <w:highlight w:val="none"/>
                <w:lang w:bidi="ar"/>
              </w:rPr>
              <w:t>投标人项目负责人就本工程内容从以下方面进行陈述（答辩时长控制在10分钟内）：</w:t>
            </w:r>
          </w:p>
          <w:p w14:paraId="650A8A46">
            <w:pPr>
              <w:rPr>
                <w:rFonts w:ascii="宋体" w:hAnsi="宋体" w:cs="宋体"/>
                <w:color w:val="auto"/>
                <w:szCs w:val="21"/>
                <w:highlight w:val="none"/>
                <w:lang w:bidi="ar"/>
              </w:rPr>
            </w:pPr>
            <w:r>
              <w:rPr>
                <w:rFonts w:hint="eastAsia" w:ascii="宋体" w:hAnsi="宋体" w:cs="宋体"/>
                <w:color w:val="auto"/>
                <w:szCs w:val="21"/>
                <w:highlight w:val="none"/>
                <w:lang w:bidi="ar"/>
              </w:rPr>
              <w:t>1、对参与投标项目的了解情况；</w:t>
            </w:r>
          </w:p>
          <w:p w14:paraId="1DDBE38E">
            <w:pPr>
              <w:rPr>
                <w:rFonts w:ascii="宋体" w:hAnsi="宋体" w:cs="宋体"/>
                <w:color w:val="auto"/>
                <w:szCs w:val="21"/>
                <w:highlight w:val="none"/>
                <w:lang w:bidi="ar"/>
              </w:rPr>
            </w:pPr>
            <w:r>
              <w:rPr>
                <w:rFonts w:hint="eastAsia" w:ascii="宋体" w:hAnsi="宋体" w:cs="宋体"/>
                <w:color w:val="auto"/>
                <w:szCs w:val="21"/>
                <w:highlight w:val="none"/>
                <w:lang w:bidi="ar"/>
              </w:rPr>
              <w:t>2、项目施工的重点、难点分析及应对措施；</w:t>
            </w:r>
          </w:p>
          <w:p w14:paraId="756260F7">
            <w:pPr>
              <w:rPr>
                <w:rFonts w:ascii="宋体" w:hAnsi="宋体" w:cs="宋体"/>
                <w:color w:val="auto"/>
                <w:szCs w:val="21"/>
                <w:highlight w:val="none"/>
                <w:lang w:bidi="ar"/>
              </w:rPr>
            </w:pPr>
            <w:r>
              <w:rPr>
                <w:rFonts w:hint="eastAsia" w:ascii="宋体" w:hAnsi="宋体" w:cs="宋体"/>
                <w:color w:val="auto"/>
                <w:szCs w:val="21"/>
                <w:highlight w:val="none"/>
                <w:lang w:bidi="ar"/>
              </w:rPr>
              <w:t>3、对工程质量、工程总工期的全面掌控，保证工程保质量保工期完工；</w:t>
            </w:r>
          </w:p>
          <w:p w14:paraId="5702ADCE">
            <w:pPr>
              <w:rPr>
                <w:rFonts w:ascii="宋体" w:hAnsi="宋体" w:cs="宋体"/>
                <w:color w:val="auto"/>
                <w:szCs w:val="21"/>
                <w:highlight w:val="none"/>
                <w:lang w:bidi="ar"/>
              </w:rPr>
            </w:pPr>
            <w:r>
              <w:rPr>
                <w:rFonts w:hint="eastAsia" w:ascii="宋体" w:hAnsi="宋体" w:cs="宋体"/>
                <w:color w:val="auto"/>
                <w:szCs w:val="21"/>
                <w:highlight w:val="none"/>
                <w:lang w:bidi="ar"/>
              </w:rPr>
              <w:t>4、回答评委现场提问。</w:t>
            </w:r>
          </w:p>
          <w:p w14:paraId="3C2DC60A">
            <w:pPr>
              <w:rPr>
                <w:rFonts w:ascii="宋体" w:hAnsi="宋体" w:cs="宋体"/>
                <w:color w:val="auto"/>
                <w:szCs w:val="21"/>
                <w:highlight w:val="none"/>
                <w:lang w:bidi="ar"/>
              </w:rPr>
            </w:pPr>
            <w:r>
              <w:rPr>
                <w:rFonts w:hint="eastAsia" w:ascii="宋体" w:hAnsi="宋体" w:cs="宋体"/>
                <w:color w:val="auto"/>
                <w:szCs w:val="21"/>
                <w:highlight w:val="none"/>
                <w:lang w:bidi="ar"/>
              </w:rPr>
              <w:t>解答：评委针对其陈述内容及投标文件所提出的相关问题。</w:t>
            </w:r>
          </w:p>
          <w:p w14:paraId="64BFEEB1">
            <w:pPr>
              <w:rPr>
                <w:rFonts w:ascii="宋体" w:hAnsi="宋体" w:cs="宋体"/>
                <w:color w:val="auto"/>
                <w:szCs w:val="21"/>
                <w:highlight w:val="none"/>
                <w:lang w:bidi="ar"/>
              </w:rPr>
            </w:pPr>
            <w:r>
              <w:rPr>
                <w:rFonts w:hint="eastAsia" w:ascii="宋体" w:hAnsi="宋体" w:cs="宋体"/>
                <w:color w:val="auto"/>
                <w:szCs w:val="21"/>
                <w:highlight w:val="none"/>
                <w:lang w:bidi="ar"/>
              </w:rPr>
              <w:t>横向比较各投标人的答辩情况：</w:t>
            </w:r>
          </w:p>
          <w:p w14:paraId="4BC15B27">
            <w:pPr>
              <w:rPr>
                <w:rFonts w:ascii="宋体" w:hAnsi="宋体" w:cs="宋体"/>
                <w:color w:val="auto"/>
                <w:szCs w:val="21"/>
                <w:highlight w:val="none"/>
                <w:lang w:bidi="ar"/>
              </w:rPr>
            </w:pPr>
            <w:r>
              <w:rPr>
                <w:rFonts w:hint="eastAsia" w:ascii="宋体" w:hAnsi="宋体" w:cs="宋体"/>
                <w:color w:val="auto"/>
                <w:szCs w:val="21"/>
                <w:highlight w:val="none"/>
                <w:lang w:bidi="ar"/>
              </w:rPr>
              <w:t>优：对工程内容熟悉（包括对施工整体部署、项目重难点分析及措施；工程质量、工程总工期的全面掌控；现场周边情况了解），答辩思路清晰，应变能力强。优得30（不含）分-40（含）分。</w:t>
            </w:r>
          </w:p>
          <w:p w14:paraId="73988419">
            <w:pPr>
              <w:rPr>
                <w:rFonts w:ascii="宋体" w:hAnsi="宋体" w:cs="宋体"/>
                <w:color w:val="auto"/>
                <w:szCs w:val="21"/>
                <w:highlight w:val="none"/>
                <w:lang w:bidi="ar"/>
              </w:rPr>
            </w:pPr>
            <w:r>
              <w:rPr>
                <w:rFonts w:hint="eastAsia" w:ascii="宋体" w:hAnsi="宋体" w:cs="宋体"/>
                <w:color w:val="auto"/>
                <w:szCs w:val="21"/>
                <w:highlight w:val="none"/>
                <w:lang w:bidi="ar"/>
              </w:rPr>
              <w:t>良：对工程内容较熟悉（包括对施工整体部署、项目重难点分析及措施；工程质量、工程总工期的全面掌控；现场周边情况了解），答辩思路较清晰，应变能力较强。良得20（不含）分-30（含）分。</w:t>
            </w:r>
          </w:p>
          <w:p w14:paraId="567BB9C2">
            <w:pPr>
              <w:rPr>
                <w:rFonts w:ascii="宋体" w:hAnsi="宋体" w:cs="宋体"/>
                <w:color w:val="auto"/>
                <w:szCs w:val="21"/>
                <w:highlight w:val="none"/>
                <w:lang w:bidi="ar"/>
              </w:rPr>
            </w:pPr>
            <w:r>
              <w:rPr>
                <w:rFonts w:hint="eastAsia" w:ascii="宋体" w:hAnsi="宋体" w:cs="宋体"/>
                <w:color w:val="auto"/>
                <w:szCs w:val="21"/>
                <w:highlight w:val="none"/>
                <w:lang w:bidi="ar"/>
              </w:rPr>
              <w:t>中：对工程内容基本熟悉，答辩思路基本清晰，应变能力一般。中得10（不含）分-20（含）分。</w:t>
            </w:r>
          </w:p>
          <w:p w14:paraId="75C2DBF5">
            <w:pPr>
              <w:rPr>
                <w:rFonts w:ascii="宋体" w:hAnsi="宋体" w:cs="宋体"/>
                <w:color w:val="auto"/>
                <w:szCs w:val="21"/>
                <w:highlight w:val="none"/>
                <w:lang w:bidi="ar"/>
              </w:rPr>
            </w:pPr>
            <w:r>
              <w:rPr>
                <w:rFonts w:hint="eastAsia" w:ascii="宋体" w:hAnsi="宋体" w:cs="宋体"/>
                <w:color w:val="auto"/>
                <w:szCs w:val="21"/>
                <w:highlight w:val="none"/>
                <w:lang w:bidi="ar"/>
              </w:rPr>
              <w:t>差：对工程内容不熟悉，答辩思路不清晰，应变能力差。差得0（不含）分-10（含）分。</w:t>
            </w:r>
          </w:p>
          <w:p w14:paraId="4EB94030">
            <w:pPr>
              <w:rPr>
                <w:rStyle w:val="118"/>
                <w:color w:val="auto"/>
                <w:sz w:val="21"/>
                <w:szCs w:val="21"/>
                <w:highlight w:val="none"/>
                <w:lang w:eastAsia="zh-TW"/>
              </w:rPr>
            </w:pPr>
            <w:r>
              <w:rPr>
                <w:rFonts w:hint="eastAsia" w:ascii="宋体" w:hAnsi="宋体" w:cs="宋体"/>
                <w:color w:val="auto"/>
                <w:szCs w:val="21"/>
                <w:highlight w:val="none"/>
                <w:lang w:bidi="ar"/>
              </w:rPr>
              <w:t>备注：投标人没有参加现场答辩的，得0分。</w:t>
            </w:r>
          </w:p>
        </w:tc>
      </w:tr>
      <w:tr w14:paraId="0EE0D376">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11" w:type="dxa"/>
            <w:vMerge w:val="restart"/>
            <w:tcBorders>
              <w:top w:val="single" w:color="auto" w:sz="4" w:space="0"/>
              <w:left w:val="single" w:color="auto" w:sz="8" w:space="0"/>
              <w:bottom w:val="single" w:color="auto" w:sz="4" w:space="0"/>
              <w:right w:val="single" w:color="auto" w:sz="4" w:space="0"/>
            </w:tcBorders>
            <w:vAlign w:val="center"/>
          </w:tcPr>
          <w:p w14:paraId="6E4FCF6C">
            <w:pPr>
              <w:rPr>
                <w:color w:val="auto"/>
                <w:highlight w:val="none"/>
              </w:rPr>
            </w:pPr>
            <w:r>
              <w:rPr>
                <w:rFonts w:hint="eastAsia"/>
                <w:color w:val="auto"/>
                <w:highlight w:val="none"/>
              </w:rPr>
              <w:t>二、企业资信（2</w:t>
            </w:r>
            <w:r>
              <w:rPr>
                <w:color w:val="auto"/>
                <w:highlight w:val="none"/>
              </w:rPr>
              <w:t>0</w:t>
            </w:r>
            <w:r>
              <w:rPr>
                <w:rFonts w:hint="eastAsia"/>
                <w:color w:val="auto"/>
                <w:highlight w:val="none"/>
              </w:rPr>
              <w:t>分）</w:t>
            </w:r>
          </w:p>
        </w:tc>
        <w:tc>
          <w:tcPr>
            <w:tcW w:w="1795" w:type="dxa"/>
            <w:tcBorders>
              <w:top w:val="single" w:color="auto" w:sz="4" w:space="0"/>
              <w:left w:val="single" w:color="auto" w:sz="4" w:space="0"/>
              <w:bottom w:val="single" w:color="auto" w:sz="4" w:space="0"/>
              <w:right w:val="single" w:color="auto" w:sz="4" w:space="0"/>
            </w:tcBorders>
            <w:vAlign w:val="center"/>
          </w:tcPr>
          <w:p w14:paraId="3006B4CE">
            <w:pPr>
              <w:widowControl/>
              <w:adjustRightInd w:val="0"/>
              <w:snapToGrid w:val="0"/>
              <w:spacing w:line="288" w:lineRule="auto"/>
              <w:jc w:val="center"/>
              <w:rPr>
                <w:color w:val="auto"/>
                <w:highlight w:val="none"/>
                <w:lang w:val="zh-TW" w:eastAsia="zh-TW"/>
              </w:rPr>
            </w:pPr>
            <w:r>
              <w:rPr>
                <w:rStyle w:val="118"/>
                <w:color w:val="auto"/>
                <w:szCs w:val="21"/>
                <w:highlight w:val="none"/>
              </w:rPr>
              <w:t>投标人业绩情况</w:t>
            </w:r>
          </w:p>
        </w:tc>
        <w:tc>
          <w:tcPr>
            <w:tcW w:w="851" w:type="dxa"/>
            <w:tcBorders>
              <w:top w:val="single" w:color="auto" w:sz="4" w:space="0"/>
              <w:left w:val="single" w:color="auto" w:sz="4" w:space="0"/>
              <w:bottom w:val="single" w:color="auto" w:sz="4" w:space="0"/>
              <w:right w:val="single" w:color="auto" w:sz="4" w:space="0"/>
            </w:tcBorders>
            <w:vAlign w:val="center"/>
          </w:tcPr>
          <w:p w14:paraId="1D783441">
            <w:pPr>
              <w:adjustRightInd w:val="0"/>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8</w:t>
            </w:r>
          </w:p>
        </w:tc>
        <w:tc>
          <w:tcPr>
            <w:tcW w:w="11853" w:type="dxa"/>
            <w:tcBorders>
              <w:top w:val="single" w:color="auto" w:sz="4" w:space="0"/>
              <w:left w:val="single" w:color="auto" w:sz="4" w:space="0"/>
              <w:bottom w:val="single" w:color="auto" w:sz="4" w:space="0"/>
              <w:right w:val="single" w:color="auto" w:sz="4" w:space="0"/>
            </w:tcBorders>
            <w:vAlign w:val="center"/>
          </w:tcPr>
          <w:p w14:paraId="0E80429A">
            <w:pPr>
              <w:widowControl/>
              <w:spacing w:line="276" w:lineRule="auto"/>
              <w:jc w:val="left"/>
              <w:rPr>
                <w:rFonts w:hint="eastAsia" w:ascii="宋体" w:hAnsi="宋体" w:cs="宋体"/>
                <w:snapToGrid w:val="0"/>
                <w:color w:val="auto"/>
                <w:szCs w:val="21"/>
                <w:highlight w:val="none"/>
                <w:lang w:eastAsia="zh-TW"/>
              </w:rPr>
            </w:pPr>
            <w:r>
              <w:rPr>
                <w:rFonts w:hint="eastAsia" w:ascii="宋体" w:hAnsi="宋体" w:cs="宋体"/>
                <w:snapToGrid w:val="0"/>
                <w:color w:val="auto"/>
                <w:szCs w:val="21"/>
                <w:highlight w:val="none"/>
              </w:rPr>
              <w:t>投标人自</w:t>
            </w:r>
            <w:r>
              <w:rPr>
                <w:rFonts w:hint="eastAsia" w:ascii="宋体" w:hAnsi="宋体" w:cs="宋体"/>
                <w:snapToGrid w:val="0"/>
                <w:color w:val="auto"/>
                <w:szCs w:val="21"/>
                <w:highlight w:val="none"/>
                <w:lang w:eastAsia="zh-TW"/>
              </w:rPr>
              <w:t>2020</w:t>
            </w:r>
            <w:r>
              <w:rPr>
                <w:rFonts w:hint="eastAsia" w:ascii="宋体" w:hAnsi="宋体" w:cs="宋体"/>
                <w:snapToGrid w:val="0"/>
                <w:color w:val="auto"/>
                <w:szCs w:val="21"/>
                <w:highlight w:val="none"/>
              </w:rPr>
              <w:t>年</w:t>
            </w:r>
            <w:r>
              <w:rPr>
                <w:rFonts w:hint="eastAsia" w:ascii="宋体" w:hAnsi="宋体" w:cs="宋体"/>
                <w:snapToGrid w:val="0"/>
                <w:color w:val="auto"/>
                <w:szCs w:val="21"/>
                <w:highlight w:val="none"/>
                <w:lang w:eastAsia="zh-TW"/>
              </w:rPr>
              <w:t>1</w:t>
            </w:r>
            <w:r>
              <w:rPr>
                <w:rFonts w:hint="eastAsia" w:ascii="宋体" w:hAnsi="宋体" w:cs="宋体"/>
                <w:snapToGrid w:val="0"/>
                <w:color w:val="auto"/>
                <w:szCs w:val="21"/>
                <w:highlight w:val="none"/>
              </w:rPr>
              <w:t>月</w:t>
            </w:r>
            <w:r>
              <w:rPr>
                <w:rFonts w:hint="eastAsia" w:ascii="宋体" w:hAnsi="宋体" w:cs="宋体"/>
                <w:snapToGrid w:val="0"/>
                <w:color w:val="auto"/>
                <w:szCs w:val="21"/>
                <w:highlight w:val="none"/>
                <w:lang w:eastAsia="zh-TW"/>
              </w:rPr>
              <w:t>1</w:t>
            </w:r>
            <w:r>
              <w:rPr>
                <w:rFonts w:hint="eastAsia" w:ascii="宋体" w:hAnsi="宋体" w:cs="宋体"/>
                <w:snapToGrid w:val="0"/>
                <w:color w:val="auto"/>
                <w:szCs w:val="21"/>
                <w:highlight w:val="none"/>
              </w:rPr>
              <w:t>日至今，完成过质量合格的类似工程业绩，每项得2分，最多得8分。</w:t>
            </w:r>
          </w:p>
          <w:p w14:paraId="0B2937B3">
            <w:pPr>
              <w:rPr>
                <w:rStyle w:val="118"/>
                <w:color w:val="auto"/>
                <w:sz w:val="21"/>
                <w:szCs w:val="21"/>
                <w:highlight w:val="none"/>
              </w:rPr>
            </w:pPr>
            <w:r>
              <w:rPr>
                <w:rFonts w:hint="eastAsia" w:ascii="宋体" w:hAnsi="宋体" w:cs="宋体"/>
                <w:snapToGrid w:val="0"/>
                <w:color w:val="auto"/>
                <w:szCs w:val="21"/>
                <w:highlight w:val="none"/>
              </w:rPr>
              <w:t>备注：不符合上述条件的不得分，本项最高得8分。</w:t>
            </w:r>
          </w:p>
        </w:tc>
      </w:tr>
      <w:tr w14:paraId="7C20C0E2">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11" w:type="dxa"/>
            <w:vMerge w:val="continue"/>
            <w:tcBorders>
              <w:top w:val="single" w:color="auto" w:sz="4" w:space="0"/>
              <w:left w:val="single" w:color="auto" w:sz="8" w:space="0"/>
              <w:bottom w:val="single" w:color="auto" w:sz="4" w:space="0"/>
              <w:right w:val="single" w:color="auto" w:sz="4" w:space="0"/>
            </w:tcBorders>
            <w:vAlign w:val="center"/>
          </w:tcPr>
          <w:p w14:paraId="14615E11">
            <w:pPr>
              <w:widowControl/>
              <w:jc w:val="left"/>
              <w:rPr>
                <w:color w:val="auto"/>
                <w:highlight w:val="none"/>
              </w:rPr>
            </w:pPr>
          </w:p>
        </w:tc>
        <w:tc>
          <w:tcPr>
            <w:tcW w:w="1795" w:type="dxa"/>
            <w:tcBorders>
              <w:top w:val="single" w:color="auto" w:sz="4" w:space="0"/>
              <w:left w:val="single" w:color="auto" w:sz="4" w:space="0"/>
              <w:bottom w:val="single" w:color="auto" w:sz="4" w:space="0"/>
              <w:right w:val="single" w:color="auto" w:sz="4" w:space="0"/>
            </w:tcBorders>
            <w:vAlign w:val="center"/>
          </w:tcPr>
          <w:p w14:paraId="6B442D73">
            <w:pPr>
              <w:adjustRightInd w:val="0"/>
              <w:snapToGrid w:val="0"/>
              <w:spacing w:line="288" w:lineRule="auto"/>
              <w:jc w:val="center"/>
              <w:rPr>
                <w:color w:val="auto"/>
                <w:highlight w:val="none"/>
              </w:rPr>
            </w:pPr>
            <w:r>
              <w:rPr>
                <w:rFonts w:hint="eastAsia" w:ascii="宋体" w:hAnsi="宋体" w:cs="宋体"/>
                <w:snapToGrid w:val="0"/>
                <w:color w:val="auto"/>
                <w:szCs w:val="21"/>
                <w:highlight w:val="none"/>
              </w:rPr>
              <w:t>工程获奖</w:t>
            </w:r>
          </w:p>
        </w:tc>
        <w:tc>
          <w:tcPr>
            <w:tcW w:w="851" w:type="dxa"/>
            <w:tcBorders>
              <w:top w:val="single" w:color="auto" w:sz="4" w:space="0"/>
              <w:left w:val="single" w:color="auto" w:sz="4" w:space="0"/>
              <w:bottom w:val="single" w:color="auto" w:sz="4" w:space="0"/>
              <w:right w:val="single" w:color="auto" w:sz="4" w:space="0"/>
            </w:tcBorders>
            <w:vAlign w:val="center"/>
          </w:tcPr>
          <w:p w14:paraId="7BAFF359">
            <w:pPr>
              <w:adjustRightInd w:val="0"/>
              <w:snapToGrid w:val="0"/>
              <w:spacing w:line="288" w:lineRule="auto"/>
              <w:jc w:val="center"/>
              <w:rPr>
                <w:rFonts w:ascii="宋体" w:hAnsi="宋体" w:cs="宋体"/>
                <w:color w:val="auto"/>
                <w:szCs w:val="21"/>
                <w:highlight w:val="none"/>
              </w:rPr>
            </w:pPr>
            <w:r>
              <w:rPr>
                <w:rFonts w:hint="eastAsia" w:ascii="宋体" w:hAnsi="宋体" w:cs="宋体"/>
                <w:snapToGrid w:val="0"/>
                <w:color w:val="auto"/>
                <w:szCs w:val="21"/>
                <w:highlight w:val="none"/>
              </w:rPr>
              <w:t>6</w:t>
            </w:r>
          </w:p>
        </w:tc>
        <w:tc>
          <w:tcPr>
            <w:tcW w:w="11853" w:type="dxa"/>
            <w:tcBorders>
              <w:top w:val="single" w:color="auto" w:sz="4" w:space="0"/>
              <w:left w:val="single" w:color="auto" w:sz="4" w:space="0"/>
              <w:bottom w:val="single" w:color="auto" w:sz="4" w:space="0"/>
              <w:right w:val="single" w:color="auto" w:sz="4" w:space="0"/>
            </w:tcBorders>
            <w:vAlign w:val="center"/>
          </w:tcPr>
          <w:p w14:paraId="183E1052">
            <w:pPr>
              <w:widowControl/>
              <w:spacing w:line="276" w:lineRule="auto"/>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投标人自2020年1月1日至今，承建的市政公用工程获得过国家级工程质量奖，每项得1.5分；获得过省级工程质量奖项，每项得1分；获得过市级工程质量奖项，每项得0.5分；以上合计最高得6分。</w:t>
            </w:r>
          </w:p>
          <w:p w14:paraId="6B34FE08">
            <w:pPr>
              <w:rPr>
                <w:rStyle w:val="118"/>
                <w:color w:val="auto"/>
                <w:sz w:val="21"/>
                <w:szCs w:val="21"/>
                <w:highlight w:val="none"/>
                <w:lang w:eastAsia="zh-TW"/>
              </w:rPr>
            </w:pPr>
            <w:r>
              <w:rPr>
                <w:rFonts w:hint="eastAsia" w:ascii="宋体" w:hAnsi="宋体" w:cs="宋体"/>
                <w:snapToGrid w:val="0"/>
                <w:color w:val="auto"/>
                <w:szCs w:val="21"/>
                <w:highlight w:val="none"/>
              </w:rPr>
              <w:t>注：奖项须为市政工程获得的质量奖项，时间以发证日期为准，同一项目按最高级别奖项只计一次得分。不满足上述情况的或未按要求提供证明材料的不得分。</w:t>
            </w:r>
          </w:p>
        </w:tc>
      </w:tr>
      <w:tr w14:paraId="5F8F174C">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11" w:type="dxa"/>
            <w:vMerge w:val="continue"/>
            <w:tcBorders>
              <w:top w:val="single" w:color="auto" w:sz="4" w:space="0"/>
              <w:left w:val="single" w:color="auto" w:sz="8" w:space="0"/>
              <w:bottom w:val="single" w:color="auto" w:sz="4" w:space="0"/>
              <w:right w:val="single" w:color="auto" w:sz="4" w:space="0"/>
            </w:tcBorders>
            <w:vAlign w:val="center"/>
          </w:tcPr>
          <w:p w14:paraId="0BB2D8D3">
            <w:pPr>
              <w:widowControl/>
              <w:jc w:val="left"/>
              <w:rPr>
                <w:color w:val="auto"/>
                <w:highlight w:val="none"/>
              </w:rPr>
            </w:pPr>
          </w:p>
        </w:tc>
        <w:tc>
          <w:tcPr>
            <w:tcW w:w="1795" w:type="dxa"/>
            <w:tcBorders>
              <w:top w:val="single" w:color="auto" w:sz="4" w:space="0"/>
              <w:left w:val="single" w:color="auto" w:sz="4" w:space="0"/>
              <w:bottom w:val="single" w:color="auto" w:sz="4" w:space="0"/>
              <w:right w:val="single" w:color="auto" w:sz="4" w:space="0"/>
            </w:tcBorders>
            <w:vAlign w:val="center"/>
          </w:tcPr>
          <w:p w14:paraId="6D197489">
            <w:pPr>
              <w:widowControl/>
              <w:adjustRightInd w:val="0"/>
              <w:snapToGrid w:val="0"/>
              <w:spacing w:line="288" w:lineRule="auto"/>
              <w:jc w:val="center"/>
              <w:rPr>
                <w:color w:val="auto"/>
                <w:highlight w:val="none"/>
              </w:rPr>
            </w:pPr>
            <w:r>
              <w:rPr>
                <w:rFonts w:hint="eastAsia" w:ascii="宋体" w:hAnsi="宋体" w:cs="宋体"/>
                <w:snapToGrid w:val="0"/>
                <w:color w:val="auto"/>
                <w:szCs w:val="21"/>
                <w:highlight w:val="none"/>
              </w:rPr>
              <w:t>工程研发能力</w:t>
            </w:r>
          </w:p>
        </w:tc>
        <w:tc>
          <w:tcPr>
            <w:tcW w:w="851" w:type="dxa"/>
            <w:tcBorders>
              <w:top w:val="single" w:color="auto" w:sz="4" w:space="0"/>
              <w:left w:val="single" w:color="auto" w:sz="4" w:space="0"/>
              <w:bottom w:val="single" w:color="auto" w:sz="4" w:space="0"/>
              <w:right w:val="single" w:color="auto" w:sz="4" w:space="0"/>
            </w:tcBorders>
            <w:vAlign w:val="center"/>
          </w:tcPr>
          <w:p w14:paraId="16415008">
            <w:pPr>
              <w:adjustRightInd w:val="0"/>
              <w:snapToGrid w:val="0"/>
              <w:spacing w:line="288" w:lineRule="auto"/>
              <w:jc w:val="center"/>
              <w:rPr>
                <w:rFonts w:ascii="宋体" w:hAnsi="宋体" w:cs="宋体"/>
                <w:color w:val="auto"/>
                <w:szCs w:val="21"/>
                <w:highlight w:val="none"/>
              </w:rPr>
            </w:pPr>
            <w:r>
              <w:rPr>
                <w:rFonts w:hint="eastAsia" w:ascii="宋体" w:hAnsi="宋体" w:cs="宋体"/>
                <w:snapToGrid w:val="0"/>
                <w:color w:val="auto"/>
                <w:szCs w:val="21"/>
                <w:highlight w:val="none"/>
              </w:rPr>
              <w:t>6</w:t>
            </w:r>
          </w:p>
        </w:tc>
        <w:tc>
          <w:tcPr>
            <w:tcW w:w="11853" w:type="dxa"/>
            <w:tcBorders>
              <w:top w:val="single" w:color="auto" w:sz="4" w:space="0"/>
              <w:left w:val="single" w:color="auto" w:sz="4" w:space="0"/>
              <w:bottom w:val="single" w:color="auto" w:sz="4" w:space="0"/>
              <w:right w:val="single" w:color="auto" w:sz="4" w:space="0"/>
            </w:tcBorders>
            <w:vAlign w:val="center"/>
          </w:tcPr>
          <w:p w14:paraId="79961CF8">
            <w:pPr>
              <w:widowControl/>
              <w:spacing w:line="276" w:lineRule="auto"/>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1.投标人自2020年1月1日至今作为主要完成单位或独立完成单位获得过工法证书：每项得0.4分，合计最高得2分。</w:t>
            </w:r>
          </w:p>
          <w:p w14:paraId="55E5B303">
            <w:pPr>
              <w:widowControl/>
              <w:spacing w:line="276" w:lineRule="auto"/>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2.投标人自2020年1月1日至今作为主要完成单位或独立完成单位获得过省级或以上科学技术进步奖或科技进步奖或科学技术奖，每项得0.4分，合计最高得2分。</w:t>
            </w:r>
          </w:p>
          <w:p w14:paraId="0411534A">
            <w:pPr>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3．投标人自2020年1月1日至今作为独立完成单位获得过工程建设类发明、专利，每项得0.4分，合计最高得2分。</w:t>
            </w:r>
          </w:p>
          <w:p w14:paraId="0663C986">
            <w:pPr>
              <w:rPr>
                <w:rStyle w:val="118"/>
                <w:color w:val="auto"/>
                <w:sz w:val="21"/>
                <w:szCs w:val="21"/>
                <w:highlight w:val="none"/>
                <w:lang w:eastAsia="zh-TW"/>
              </w:rPr>
            </w:pPr>
            <w:r>
              <w:rPr>
                <w:rFonts w:hint="eastAsia" w:ascii="宋体" w:hAnsi="宋体" w:cs="宋体"/>
                <w:snapToGrid w:val="0"/>
                <w:color w:val="auto"/>
                <w:szCs w:val="21"/>
                <w:highlight w:val="none"/>
              </w:rPr>
              <w:t>不满足以上条件的不得分，本项最高得6分。</w:t>
            </w:r>
          </w:p>
        </w:tc>
      </w:tr>
      <w:tr w14:paraId="40C983A3">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2506" w:type="dxa"/>
            <w:gridSpan w:val="2"/>
            <w:tcBorders>
              <w:top w:val="single" w:color="auto" w:sz="4" w:space="0"/>
              <w:left w:val="single" w:color="auto" w:sz="8" w:space="0"/>
              <w:bottom w:val="single" w:color="auto" w:sz="4" w:space="0"/>
              <w:right w:val="single" w:color="auto" w:sz="4" w:space="0"/>
            </w:tcBorders>
            <w:vAlign w:val="center"/>
          </w:tcPr>
          <w:p w14:paraId="7EBFF4D9">
            <w:pPr>
              <w:rPr>
                <w:color w:val="auto"/>
                <w:highlight w:val="none"/>
              </w:rPr>
            </w:pPr>
            <w:r>
              <w:rPr>
                <w:rFonts w:hint="eastAsia" w:ascii="宋体" w:hAnsi="宋体" w:cs="宋体"/>
                <w:color w:val="auto"/>
                <w:szCs w:val="21"/>
                <w:highlight w:val="none"/>
              </w:rPr>
              <w:t>合计（一+二）</w:t>
            </w:r>
          </w:p>
        </w:tc>
        <w:tc>
          <w:tcPr>
            <w:tcW w:w="851" w:type="dxa"/>
            <w:tcBorders>
              <w:top w:val="single" w:color="auto" w:sz="4" w:space="0"/>
              <w:left w:val="single" w:color="auto" w:sz="4" w:space="0"/>
              <w:bottom w:val="single" w:color="auto" w:sz="4" w:space="0"/>
              <w:right w:val="single" w:color="auto" w:sz="4" w:space="0"/>
            </w:tcBorders>
            <w:vAlign w:val="center"/>
          </w:tcPr>
          <w:p w14:paraId="5861F4F0">
            <w:pPr>
              <w:jc w:val="center"/>
              <w:rPr>
                <w:rFonts w:ascii="宋体" w:hAnsi="宋体" w:cs="宋体"/>
                <w:color w:val="auto"/>
                <w:szCs w:val="21"/>
                <w:highlight w:val="none"/>
              </w:rPr>
            </w:pPr>
            <w:r>
              <w:rPr>
                <w:rFonts w:hint="eastAsia" w:ascii="宋体" w:hAnsi="宋体" w:cs="宋体"/>
                <w:color w:val="auto"/>
                <w:szCs w:val="21"/>
                <w:highlight w:val="none"/>
              </w:rPr>
              <w:t>100分</w:t>
            </w:r>
          </w:p>
        </w:tc>
        <w:tc>
          <w:tcPr>
            <w:tcW w:w="11853" w:type="dxa"/>
            <w:tcBorders>
              <w:top w:val="single" w:color="auto" w:sz="4" w:space="0"/>
              <w:left w:val="single" w:color="auto" w:sz="4" w:space="0"/>
              <w:bottom w:val="single" w:color="auto" w:sz="4" w:space="0"/>
              <w:right w:val="single" w:color="auto" w:sz="4" w:space="0"/>
            </w:tcBorders>
            <w:vAlign w:val="center"/>
          </w:tcPr>
          <w:p w14:paraId="22A01F56">
            <w:pPr>
              <w:rPr>
                <w:rFonts w:ascii="宋体" w:hAnsi="宋体" w:cs="宋体"/>
                <w:color w:val="auto"/>
                <w:szCs w:val="21"/>
                <w:highlight w:val="none"/>
              </w:rPr>
            </w:pPr>
          </w:p>
        </w:tc>
      </w:tr>
    </w:tbl>
    <w:p w14:paraId="17B1F7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备注：</w:t>
      </w:r>
    </w:p>
    <w:p w14:paraId="07D40299">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1、【类似工程业绩】：</w:t>
      </w:r>
    </w:p>
    <w:p w14:paraId="431D8066">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(1)类似工程业绩是指中标金额大于或等于</w:t>
      </w:r>
      <w:r>
        <w:rPr>
          <w:rFonts w:ascii="宋体" w:hAnsi="宋体" w:cs="宋体"/>
          <w:color w:val="auto"/>
          <w:szCs w:val="21"/>
          <w:highlight w:val="none"/>
        </w:rPr>
        <w:t>2</w:t>
      </w:r>
      <w:r>
        <w:rPr>
          <w:rFonts w:hint="eastAsia" w:ascii="宋体" w:hAnsi="宋体" w:cs="宋体"/>
          <w:color w:val="auto"/>
          <w:szCs w:val="21"/>
          <w:highlight w:val="none"/>
          <w:lang w:val="en-US" w:eastAsia="zh-CN"/>
        </w:rPr>
        <w:t>0</w:t>
      </w:r>
      <w:r>
        <w:rPr>
          <w:rFonts w:ascii="宋体" w:hAnsi="宋体" w:cs="宋体"/>
          <w:color w:val="auto"/>
          <w:szCs w:val="21"/>
          <w:highlight w:val="none"/>
        </w:rPr>
        <w:t>00</w:t>
      </w:r>
      <w:r>
        <w:rPr>
          <w:rFonts w:hint="eastAsia" w:ascii="宋体" w:hAnsi="宋体" w:cs="宋体"/>
          <w:color w:val="auto"/>
          <w:szCs w:val="21"/>
          <w:highlight w:val="none"/>
        </w:rPr>
        <w:t>万元的市政公用工程施工总承包（不含轨道交通工程）业绩或设计施工总承包业绩，金额以中标通知书为准，中标通知书上没有金额或免招标的，以施工合同或设计施工总承包合同(不含补充合同)为准，竣工时间以竣工验收报告为准。</w:t>
      </w:r>
    </w:p>
    <w:p w14:paraId="0AE4AD03">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企业业绩须提交证明资料:①中标通知书或者直接发包的说明(扫描件)；②合同(不含补充合同)③竣工验收报告④项目业绩在全国建筑市场监管公共服务平台（四库一平台）上的网页截图须含（招投标信息、合同登记信息、施工图审查、施工许可及竣工验收信息（含竣工验收备案信息及竣工验收信息））。竣工验收文件至少具有建设单位、设计、施工和监理单位盖章。完成时间以竣工验收报告为准。业绩金额以业绩中标通知书（其中设计施工总承包业绩以施工费中标金额）为准，若中标通知书没有显示中标金额或免招标的，以施工合同或设计施工总承包合同（不含补充合同，其中设计施工总承包业绩以施工费合同金额）为准。上述资料显示的内容须一致且工程业绩须为市政公用工程施工总承包资质方能承接的业绩（设计施工总承包业绩以施工资质为准）。设计施工总承包业绩包括勘察设计施工总承包或设计施工总承包或设计采购施工总承包或勘察设计采购施工总承包业绩等。不符合上述条件或提供的资料不齐全的业绩不予评审。</w:t>
      </w:r>
    </w:p>
    <w:p w14:paraId="481C1862">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2、【获奖情况】：</w:t>
      </w:r>
    </w:p>
    <w:p w14:paraId="5EC9AA43">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（1）承建的市政公用工程（不含轨道交通工程）获奖证书扫描件；</w:t>
      </w:r>
    </w:p>
    <w:p w14:paraId="3C6C3742">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（2）项目业绩在全国建筑市场监管公共服务平台上的网页截图并体现项目施工许可信息；</w:t>
      </w:r>
    </w:p>
    <w:p w14:paraId="1446CBAC">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其中国家级奖项包括：中国建设工程鲁班奖、国家优质工程金奖、国家优质工程奖、中国土木工程詹天佑奖、市政工程最高质量水平评价；省级或市级奖项是指由省级或市级建设行政主管部门或行业协会颁发的工程质量类奖项</w:t>
      </w:r>
      <w:r>
        <w:rPr>
          <w:rFonts w:hint="eastAsia" w:ascii="宋体" w:hAnsi="宋体" w:cs="宋体"/>
          <w:color w:val="auto"/>
          <w:szCs w:val="21"/>
          <w:highlight w:val="none"/>
          <w:lang w:val="en-US" w:eastAsia="zh-CN"/>
        </w:rPr>
        <w:t>,</w:t>
      </w:r>
      <w:r>
        <w:rPr>
          <w:rFonts w:hint="eastAsia" w:ascii="宋体" w:hAnsi="宋体" w:cs="宋体"/>
          <w:bCs/>
          <w:color w:val="auto"/>
          <w:szCs w:val="21"/>
          <w:highlight w:val="none"/>
        </w:rPr>
        <w:t>不含安全文明、绿色施工、结构、技术创新、QC成果、科技进步及技术应用类等奖项</w:t>
      </w:r>
      <w:r>
        <w:rPr>
          <w:rFonts w:hint="eastAsia" w:ascii="宋体" w:hAnsi="宋体" w:eastAsia="宋体" w:cs="宋体"/>
          <w:color w:val="auto"/>
          <w:szCs w:val="21"/>
          <w:highlight w:val="none"/>
        </w:rPr>
        <w:t>。</w:t>
      </w:r>
      <w:r>
        <w:rPr>
          <w:rFonts w:hint="eastAsia" w:ascii="宋体" w:hAnsi="宋体" w:cs="宋体"/>
          <w:color w:val="auto"/>
          <w:szCs w:val="21"/>
          <w:highlight w:val="none"/>
        </w:rPr>
        <w:t>奖项只计算承建单位，不含参建单位。同一项目按最高级别奖项只计一次得分，以证书发证日期为准。若颁发机构非政府相关部门，还需提供该组织在“中国社会组织政务服务平台”（网址：https://chinanpo.mca.gov.cn/）查询结果截图，同时须提供其在查询结果“状态”栏必须为“正常”。不符合条件的奖项不计分。</w:t>
      </w:r>
    </w:p>
    <w:p w14:paraId="559A1960">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3、【工程研发能力】：</w:t>
      </w:r>
    </w:p>
    <w:p w14:paraId="2EEBD8F5">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工法证书：指省级或以上建设行政主管部门颁发的市政工程类工法证书，仅计算市政公用工程（不含轨道交通工程）获得的工法证书或颁奖文件。须提供获奖证书原件扫描件及提供当地建设行政主管部门或科技行政部门认可的组织出具的科学技术成果鉴定证书或第三方技术评价证明材料扫描件，并且在科学技术成果鉴定证书或第三方评价证明材料中需明确该工法的研究背景项目为市政公用程（不含轨道交通工程）项目，无法提供证书清晰扫描件和科学技术成果鉴定证书或第三方评价证明材料扫描件的且无法证明该工法为市政公用工程（不含轨道交通工程）项目获得的工法证书不得分。不符合上述条件或未提供上述资料的不得分。</w:t>
      </w:r>
    </w:p>
    <w:p w14:paraId="28D15EFB">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科学技术进步奖或科技进步奖或科学技术奖：指省级或以上政府部门或中国社会组织依法依规设立的“科学技术进步奖”或“科技进步奖”或“科学技术奖”，须提供获奖证书扫描件，时间以证书中载明的发证时间为准，其中协会颁发的奖项，要求发证协会必须经民政部门依法登记成立，且提供其在“中国社会组织政务服务平台”（网址：https://chinanpo.mca.gov.cn/）询结果的网页打印页，否则该项不得分。仅计算工程获得的科学技术进步奖或科技进步奖或科学技术奖，须提供当地行政主管部门或科技行政部门认可的组织出具的科学技术成果鉴定证书或第三方技术评价证明材料扫描件，并且在科学技术成果鉴定证书或第三方评价证明材料中需明确该科学技术奖励的研究背景项目为工程项目，否则不得分。同一科学技术进步奖或科技进步奖或科学技术奖获得不同级别奖项的按最高级别只计一次得分。不符合上述条件或提供的资料不齐全的不得分。</w:t>
      </w:r>
    </w:p>
    <w:p w14:paraId="68B4494F">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工程建设类发明授权专利以国家知识产权局网站（http://epub.cnipa.gov.cn/）中的“专利公布公告”-“发明授权”可查询的发明授权类专利为准，时间以授权公告日期为准，投标人须提交上述网站可反映企业专利类型为“发明授权”、授权公告号、授权公告日的查询页截图以及所对应的发明授权专利证书扫描件并加盖电子公章，仅计算投标人自身，合作获得不予计算。仅计算发明授权类专利（不包含实用新型类专利、发明公布类专利及外观设计类专利）。不符合上述条件或未提供上述资料的不得分。</w:t>
      </w:r>
    </w:p>
    <w:p w14:paraId="34A65CAD">
      <w:pPr>
        <w:spacing w:line="24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4、项目管理机构人员不得相互兼任，须提供相应人员职称证书或执业资格证书、毕业证的原件扫描件，工作经验年限以大专或以上毕业时间起计。其中注册安全工程师须同时提供注册安全工程师注册管理系统网站（https://zwfw.mem.gov.cn/zwthlw/pages/hlwmh/yyfw/zcaqgcscx/index.html）查询结果网页截图；注册造价工程师（或一级注册造价工程师）须同时提供注册造价工程师注册信息查询网站（http://zaojiasys.jianshe99.com/cecaopsys/queryAndSearch/view.do?op=queryUserInfoInit）查询结果网页截图。须提供相应人员近一个月（2025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月）在本单位（不含投标人的子公司、分公司及分支机构）的社保证明材料。</w:t>
      </w:r>
      <w:r>
        <w:rPr>
          <w:rFonts w:hint="eastAsia" w:ascii="宋体" w:hAnsi="宋体" w:cs="宋体"/>
          <w:color w:val="auto"/>
          <w:szCs w:val="21"/>
          <w:highlight w:val="none"/>
        </w:rPr>
        <w:br w:type="textWrapping"/>
      </w:r>
      <w:r>
        <w:rPr>
          <w:rFonts w:hint="eastAsia" w:ascii="宋体" w:hAnsi="宋体" w:cs="宋体"/>
          <w:color w:val="auto"/>
          <w:szCs w:val="21"/>
          <w:highlight w:val="none"/>
          <w:lang w:val="en-US" w:eastAsia="zh-CN"/>
        </w:rPr>
        <w:t xml:space="preserve">    5、投标人的技术标得分为各评标专家打分的算术平均值，分数出现小数点，保留小数点后二位，第三位小数四舍五入。</w:t>
      </w:r>
    </w:p>
    <w:p w14:paraId="4904B0BD">
      <w:pPr>
        <w:widowControl/>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6、答辩注意事项如下：</w:t>
      </w:r>
    </w:p>
    <w:p w14:paraId="6CE08D9B">
      <w:pPr>
        <w:widowControl/>
        <w:ind w:firstLine="420" w:firstLineChars="200"/>
        <w:jc w:val="left"/>
        <w:rPr>
          <w:rFonts w:hint="eastAsia"/>
          <w:color w:val="auto"/>
          <w:highlight w:val="none"/>
          <w:lang w:val="en-US" w:eastAsia="zh-CN"/>
        </w:rPr>
      </w:pPr>
      <w:r>
        <w:rPr>
          <w:rFonts w:hint="eastAsia"/>
          <w:color w:val="auto"/>
          <w:highlight w:val="none"/>
          <w:lang w:val="en-US" w:eastAsia="zh-CN"/>
        </w:rPr>
        <w:t>(1)答辩通知：①电话或短信通知时间：评标当日；②签到时间：暂定为评标当日14:00-15:00（最终以代理通知时间为准）。本项目评标当日，招标代理依据《开标记录表》(以交易中心系统生成的PDF版为准)中从小到大的序号，通过电话或短信方式，联系投标人在广州交易集团有限公司(广州公共资源交易中心)交易平台投标登记的被授权人电话。各投标人有义务确保评标当日(评标时间为开标后五个工作日内进行)投标登记的被授权人联系电话畅通有效。若电话无法接通，招标代理将以短信留言告知答辩时间，短信发送后即视为投标人已接收答辩通知。若投标人的答辩人员因未及时收信而错过答辩环节，由此丧失答辩资格的不利后果由投标人自行承担。</w:t>
      </w:r>
    </w:p>
    <w:p w14:paraId="58AAE004">
      <w:pPr>
        <w:widowControl/>
        <w:ind w:firstLine="420" w:firstLineChars="200"/>
        <w:jc w:val="left"/>
        <w:rPr>
          <w:rFonts w:hint="eastAsia"/>
          <w:color w:val="auto"/>
          <w:highlight w:val="none"/>
          <w:lang w:val="en-US" w:eastAsia="zh-CN"/>
        </w:rPr>
      </w:pPr>
      <w:r>
        <w:rPr>
          <w:rFonts w:hint="eastAsia"/>
          <w:color w:val="auto"/>
          <w:highlight w:val="none"/>
          <w:lang w:val="en-US" w:eastAsia="zh-CN"/>
        </w:rPr>
        <w:t>(2)答辩顺序：依据《开标记录表》(以交易中心系统生成的PDF 版为准) 从小到大的序号确定。评标当天签到截止后，答辩人员按照《开标记录表》序号 依次进场答辩。投标人应提前做好答辩准备工作，若因自身原因无法参加答辩，视为自动放弃。本项目评标答辩仅在首次评标时开展，无论投标人是否存在被否决投标情况，或项目是否存在复核、重评情形，已确定的答辩评分均不作更改。</w:t>
      </w:r>
    </w:p>
    <w:p w14:paraId="08AEBE66">
      <w:pPr>
        <w:widowControl/>
        <w:ind w:firstLine="420" w:firstLineChars="200"/>
        <w:jc w:val="left"/>
        <w:rPr>
          <w:rFonts w:hint="eastAsia"/>
          <w:color w:val="auto"/>
          <w:highlight w:val="none"/>
          <w:lang w:val="en-US" w:eastAsia="zh-CN"/>
        </w:rPr>
      </w:pPr>
      <w:r>
        <w:rPr>
          <w:rFonts w:hint="eastAsia"/>
          <w:color w:val="auto"/>
          <w:highlight w:val="none"/>
          <w:lang w:val="en-US" w:eastAsia="zh-CN"/>
        </w:rPr>
        <w:t>(3)答辩人员到场要求：投标人的答辩人员需在评标当日，按招标代理通知的具体时间与地点，前往指定场地办理签到手续。参加答辩时，应按要求在规定时间内签到，并向招标人或招标代理提交以下材料(所有材料均需加盖单位公章):法定代表人证明书(格式自拟)、法人身份证正反面复印件、授权委托书 (格式自拟)、答辩人员身份证正反面复印件、2025年7月社保证明复印件。参与答辩人员须出示身份证原件，经招标代理核对身份无误后完成签到。未能出示上述证明文件或文件不齐全，以及未在规定时间内签到的投标人，不得参加答辩环节，相关不利后果由投标人自行承担。</w:t>
      </w:r>
    </w:p>
    <w:p w14:paraId="277E61FE">
      <w:pPr>
        <w:widowControl/>
        <w:ind w:firstLine="420" w:firstLineChars="200"/>
        <w:jc w:val="left"/>
        <w:rPr>
          <w:rFonts w:hint="eastAsia"/>
          <w:color w:val="auto"/>
          <w:highlight w:val="none"/>
          <w:lang w:val="en-US" w:eastAsia="zh-CN"/>
        </w:rPr>
      </w:pPr>
      <w:r>
        <w:rPr>
          <w:rFonts w:hint="eastAsia"/>
          <w:color w:val="auto"/>
          <w:highlight w:val="none"/>
          <w:lang w:val="en-US" w:eastAsia="zh-CN"/>
        </w:rPr>
        <w:t>(4)答辩形式与要求：讲解环节在评标时进行，具体时间根据评标委员会评审进度而定；讲解人员先陈述，评委针对陈述内容提问，由讲解人员进行解答。 未通过技术标有效性审查的投标单位无需再参与讲解。</w:t>
      </w:r>
    </w:p>
    <w:p w14:paraId="6D3E2353">
      <w:pPr>
        <w:widowControl/>
        <w:ind w:firstLine="420" w:firstLineChars="200"/>
        <w:jc w:val="left"/>
        <w:rPr>
          <w:rFonts w:hint="eastAsia" w:eastAsia="宋体"/>
          <w:color w:val="auto"/>
          <w:highlight w:val="none"/>
          <w:lang w:val="en-US" w:eastAsia="zh-CN"/>
        </w:rPr>
      </w:pPr>
      <w:r>
        <w:rPr>
          <w:color w:val="auto"/>
          <w:highlight w:val="none"/>
        </w:rPr>
        <w:br w:type="page"/>
      </w:r>
    </w:p>
    <w:p w14:paraId="03DE1620">
      <w:pPr>
        <w:rPr>
          <w:color w:val="auto"/>
          <w:sz w:val="28"/>
          <w:szCs w:val="28"/>
          <w:highlight w:val="none"/>
        </w:rPr>
      </w:pPr>
      <w:r>
        <w:rPr>
          <w:rFonts w:hint="eastAsia"/>
          <w:color w:val="auto"/>
          <w:sz w:val="28"/>
          <w:szCs w:val="28"/>
          <w:highlight w:val="none"/>
        </w:rPr>
        <w:t>附表五（适用于区间抽取法）</w:t>
      </w:r>
    </w:p>
    <w:p w14:paraId="7A037D8C">
      <w:pPr>
        <w:jc w:val="center"/>
        <w:rPr>
          <w:b/>
          <w:color w:val="auto"/>
          <w:sz w:val="36"/>
          <w:szCs w:val="36"/>
          <w:highlight w:val="none"/>
        </w:rPr>
      </w:pPr>
      <w:r>
        <w:rPr>
          <w:rFonts w:hint="eastAsia"/>
          <w:b/>
          <w:color w:val="auto"/>
          <w:sz w:val="36"/>
          <w:szCs w:val="36"/>
          <w:highlight w:val="none"/>
        </w:rPr>
        <w:t>经济标评分表</w:t>
      </w:r>
    </w:p>
    <w:p w14:paraId="72F45F57">
      <w:pPr>
        <w:rPr>
          <w:color w:val="auto"/>
          <w:szCs w:val="21"/>
          <w:highlight w:val="none"/>
        </w:rPr>
      </w:pPr>
      <w:r>
        <w:rPr>
          <w:rFonts w:hint="eastAsia"/>
          <w:color w:val="auto"/>
          <w:szCs w:val="21"/>
          <w:highlight w:val="none"/>
        </w:rPr>
        <w:t>工程名称：</w:t>
      </w:r>
    </w:p>
    <w:tbl>
      <w:tblPr>
        <w:tblStyle w:val="36"/>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14:paraId="569F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tcBorders>
              <w:top w:val="single" w:color="auto" w:sz="4" w:space="0"/>
              <w:left w:val="single" w:color="auto" w:sz="4" w:space="0"/>
              <w:bottom w:val="single" w:color="auto" w:sz="4" w:space="0"/>
              <w:right w:val="single" w:color="auto" w:sz="4" w:space="0"/>
            </w:tcBorders>
            <w:vAlign w:val="center"/>
          </w:tcPr>
          <w:p w14:paraId="23FA73A2">
            <w:pPr>
              <w:rPr>
                <w:rFonts w:hint="eastAsia" w:ascii="宋体" w:hAnsi="宋体"/>
                <w:color w:val="auto"/>
                <w:szCs w:val="21"/>
                <w:highlight w:val="none"/>
              </w:rPr>
            </w:pPr>
            <w:r>
              <w:rPr>
                <w:rFonts w:hint="eastAsia" w:ascii="宋体" w:hAnsi="宋体"/>
                <w:color w:val="auto"/>
                <w:szCs w:val="21"/>
                <w:highlight w:val="none"/>
              </w:rPr>
              <w:t>投标人名称</w:t>
            </w:r>
          </w:p>
        </w:tc>
        <w:tc>
          <w:tcPr>
            <w:tcW w:w="1031" w:type="dxa"/>
            <w:tcBorders>
              <w:top w:val="single" w:color="auto" w:sz="4" w:space="0"/>
              <w:left w:val="single" w:color="auto" w:sz="4" w:space="0"/>
              <w:bottom w:val="single" w:color="auto" w:sz="4" w:space="0"/>
              <w:right w:val="single" w:color="auto" w:sz="4" w:space="0"/>
            </w:tcBorders>
            <w:vAlign w:val="center"/>
          </w:tcPr>
          <w:p w14:paraId="5A32DE66">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C8AD302">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4CDD968">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81A30FE">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FD63B50">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8AE715D">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73FB5A8">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228C2B3">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0C2309C">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4CF9382">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A5ABCF8">
            <w:pPr>
              <w:rPr>
                <w:rFonts w:hint="eastAsia"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261033CD">
            <w:pPr>
              <w:rPr>
                <w:rFonts w:hint="eastAsia" w:ascii="宋体" w:hAnsi="宋体"/>
                <w:color w:val="auto"/>
                <w:szCs w:val="21"/>
                <w:highlight w:val="none"/>
              </w:rPr>
            </w:pPr>
          </w:p>
        </w:tc>
      </w:tr>
      <w:tr w14:paraId="3F8D4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14:paraId="51AF7095">
            <w:pPr>
              <w:rPr>
                <w:rFonts w:hint="eastAsia"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031" w:type="dxa"/>
            <w:tcBorders>
              <w:top w:val="single" w:color="auto" w:sz="4" w:space="0"/>
              <w:left w:val="single" w:color="auto" w:sz="4" w:space="0"/>
              <w:bottom w:val="single" w:color="auto" w:sz="4" w:space="0"/>
              <w:right w:val="single" w:color="auto" w:sz="4" w:space="0"/>
            </w:tcBorders>
            <w:vAlign w:val="center"/>
          </w:tcPr>
          <w:p w14:paraId="527EDF17">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84162D3">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F7920F4">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4F2047C">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3A2ECB3">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C5F7F31">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69F77C7">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EC30C98">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BC7146F">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F67D1C6">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CE75EAF">
            <w:pPr>
              <w:rPr>
                <w:rFonts w:hint="eastAsia"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032863E7">
            <w:pPr>
              <w:rPr>
                <w:rFonts w:hint="eastAsia" w:ascii="宋体" w:hAnsi="宋体"/>
                <w:color w:val="auto"/>
                <w:szCs w:val="21"/>
                <w:highlight w:val="none"/>
              </w:rPr>
            </w:pPr>
          </w:p>
        </w:tc>
      </w:tr>
      <w:tr w14:paraId="6DCC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28DD2ADA">
            <w:pPr>
              <w:rPr>
                <w:rFonts w:hint="eastAsia" w:ascii="宋体" w:hAnsi="宋体"/>
                <w:color w:val="auto"/>
                <w:szCs w:val="21"/>
                <w:highlight w:val="none"/>
              </w:rPr>
            </w:pPr>
            <w:r>
              <w:rPr>
                <w:rFonts w:hint="eastAsia" w:ascii="宋体" w:hAnsi="宋体"/>
                <w:color w:val="auto"/>
                <w:szCs w:val="21"/>
                <w:highlight w:val="none"/>
              </w:rPr>
              <w:t>计算评标参考价的等分点值X</w:t>
            </w:r>
          </w:p>
        </w:tc>
        <w:tc>
          <w:tcPr>
            <w:tcW w:w="12373" w:type="dxa"/>
            <w:gridSpan w:val="12"/>
            <w:tcBorders>
              <w:top w:val="single" w:color="auto" w:sz="4" w:space="0"/>
              <w:left w:val="single" w:color="auto" w:sz="4" w:space="0"/>
              <w:bottom w:val="single" w:color="auto" w:sz="4" w:space="0"/>
              <w:right w:val="single" w:color="auto" w:sz="4" w:space="0"/>
            </w:tcBorders>
            <w:vAlign w:val="center"/>
          </w:tcPr>
          <w:p w14:paraId="47C1B86C">
            <w:pPr>
              <w:rPr>
                <w:rFonts w:hint="eastAsia" w:ascii="宋体" w:hAnsi="宋体"/>
                <w:color w:val="auto"/>
                <w:szCs w:val="21"/>
                <w:highlight w:val="none"/>
              </w:rPr>
            </w:pPr>
          </w:p>
        </w:tc>
      </w:tr>
      <w:tr w14:paraId="5DBE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69FFCF42">
            <w:pPr>
              <w:rPr>
                <w:rFonts w:hint="eastAsia" w:ascii="宋体" w:hAnsi="宋体"/>
                <w:color w:val="auto"/>
                <w:szCs w:val="21"/>
                <w:highlight w:val="none"/>
              </w:rPr>
            </w:pPr>
            <w:r>
              <w:rPr>
                <w:rFonts w:hint="eastAsia" w:ascii="宋体" w:hAnsi="宋体"/>
                <w:color w:val="auto"/>
                <w:szCs w:val="21"/>
                <w:highlight w:val="none"/>
              </w:rPr>
              <w:t>评标参考价PC（元）</w:t>
            </w:r>
          </w:p>
        </w:tc>
        <w:tc>
          <w:tcPr>
            <w:tcW w:w="12373" w:type="dxa"/>
            <w:gridSpan w:val="12"/>
            <w:tcBorders>
              <w:top w:val="single" w:color="auto" w:sz="4" w:space="0"/>
              <w:left w:val="single" w:color="auto" w:sz="4" w:space="0"/>
              <w:bottom w:val="single" w:color="auto" w:sz="4" w:space="0"/>
              <w:right w:val="single" w:color="auto" w:sz="4" w:space="0"/>
            </w:tcBorders>
            <w:vAlign w:val="center"/>
          </w:tcPr>
          <w:p w14:paraId="15BF0F64">
            <w:pPr>
              <w:rPr>
                <w:rFonts w:hint="eastAsia" w:ascii="宋体" w:hAnsi="宋体"/>
                <w:color w:val="auto"/>
                <w:szCs w:val="21"/>
                <w:highlight w:val="none"/>
              </w:rPr>
            </w:pPr>
          </w:p>
        </w:tc>
      </w:tr>
      <w:tr w14:paraId="4FD0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61B1B15C">
            <w:pPr>
              <w:rPr>
                <w:rFonts w:hint="eastAsia"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vAlign w:val="center"/>
          </w:tcPr>
          <w:p w14:paraId="78EE0A68">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F123EE0">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A030465">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0CC7B8C">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FAC7010">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5541D96">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6FFBC10">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BDE90F9">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46C6E29">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ECADC3C">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76FAC42">
            <w:pPr>
              <w:rPr>
                <w:rFonts w:hint="eastAsia"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2303E3D">
            <w:pPr>
              <w:rPr>
                <w:rFonts w:hint="eastAsia" w:ascii="宋体" w:hAnsi="宋体"/>
                <w:color w:val="auto"/>
                <w:szCs w:val="21"/>
                <w:highlight w:val="none"/>
              </w:rPr>
            </w:pPr>
          </w:p>
        </w:tc>
      </w:tr>
      <w:tr w14:paraId="6140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14:paraId="0A8AA686">
            <w:pPr>
              <w:rPr>
                <w:rFonts w:hint="eastAsia"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vAlign w:val="center"/>
          </w:tcPr>
          <w:p w14:paraId="042320A6">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2A83C19">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B1662FA">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4DFC6C5">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7D94503">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5396EF0">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761C7C7">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D39E7ED">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1831F48">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E53B8C4">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CE4061B">
            <w:pPr>
              <w:rPr>
                <w:rFonts w:hint="eastAsia"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22CB030E">
            <w:pPr>
              <w:rPr>
                <w:rFonts w:hint="eastAsia" w:ascii="宋体" w:hAnsi="宋体"/>
                <w:color w:val="auto"/>
                <w:szCs w:val="21"/>
                <w:highlight w:val="none"/>
              </w:rPr>
            </w:pPr>
          </w:p>
        </w:tc>
      </w:tr>
      <w:tr w14:paraId="36E5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11B5E96E">
            <w:pPr>
              <w:rPr>
                <w:rFonts w:hint="eastAsia" w:ascii="宋体" w:hAnsi="宋体"/>
                <w:color w:val="auto"/>
                <w:szCs w:val="21"/>
                <w:highlight w:val="none"/>
              </w:rPr>
            </w:pPr>
            <w:r>
              <w:rPr>
                <w:rFonts w:hint="eastAsia" w:ascii="宋体" w:hAnsi="宋体"/>
                <w:color w:val="auto"/>
                <w:szCs w:val="21"/>
                <w:highlight w:val="none"/>
              </w:rPr>
              <w:t>得分</w:t>
            </w:r>
            <w:r>
              <w:rPr>
                <w:rFonts w:ascii="宋体" w:hAnsi="宋体"/>
                <w:color w:val="auto"/>
                <w:szCs w:val="21"/>
                <w:highlight w:val="none"/>
              </w:rPr>
              <w:t>(I=100-A)</w:t>
            </w:r>
          </w:p>
        </w:tc>
        <w:tc>
          <w:tcPr>
            <w:tcW w:w="1031" w:type="dxa"/>
            <w:tcBorders>
              <w:top w:val="single" w:color="auto" w:sz="4" w:space="0"/>
              <w:left w:val="single" w:color="auto" w:sz="4" w:space="0"/>
              <w:bottom w:val="single" w:color="auto" w:sz="4" w:space="0"/>
              <w:right w:val="single" w:color="auto" w:sz="4" w:space="0"/>
            </w:tcBorders>
            <w:vAlign w:val="center"/>
          </w:tcPr>
          <w:p w14:paraId="0AC8E8E5">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89B5B0D">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B00F4F6">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EC26924">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34879E0">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E783A26">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55BB15A">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9AF9299">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F97EDAC">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2859D26">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AEAA773">
            <w:pPr>
              <w:rPr>
                <w:rFonts w:hint="eastAsia"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726CF27">
            <w:pPr>
              <w:rPr>
                <w:rFonts w:hint="eastAsia" w:ascii="宋体" w:hAnsi="宋体"/>
                <w:color w:val="auto"/>
                <w:szCs w:val="21"/>
                <w:highlight w:val="none"/>
              </w:rPr>
            </w:pPr>
          </w:p>
        </w:tc>
      </w:tr>
      <w:tr w14:paraId="38F8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2CB78D97">
            <w:pPr>
              <w:rPr>
                <w:rFonts w:hint="eastAsia" w:ascii="宋体" w:hAnsi="宋体"/>
                <w:color w:val="auto"/>
                <w:szCs w:val="21"/>
                <w:highlight w:val="none"/>
              </w:rPr>
            </w:pPr>
            <w:r>
              <w:rPr>
                <w:rFonts w:hint="eastAsia" w:ascii="宋体" w:hAnsi="宋体"/>
                <w:color w:val="auto"/>
                <w:szCs w:val="21"/>
                <w:highlight w:val="none"/>
              </w:rPr>
              <w:t>得分排名次序</w:t>
            </w:r>
          </w:p>
        </w:tc>
        <w:tc>
          <w:tcPr>
            <w:tcW w:w="1031" w:type="dxa"/>
            <w:tcBorders>
              <w:top w:val="single" w:color="auto" w:sz="4" w:space="0"/>
              <w:left w:val="single" w:color="auto" w:sz="4" w:space="0"/>
              <w:bottom w:val="single" w:color="auto" w:sz="4" w:space="0"/>
              <w:right w:val="single" w:color="auto" w:sz="4" w:space="0"/>
            </w:tcBorders>
            <w:vAlign w:val="center"/>
          </w:tcPr>
          <w:p w14:paraId="18BF9FEB">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A66A77B">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F33DA80">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352188C">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F84879B">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A53097E">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EA00BDB">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CF3854E">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54DFCBF">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BE5E528">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D950B17">
            <w:pPr>
              <w:rPr>
                <w:rFonts w:hint="eastAsia"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9D77035">
            <w:pPr>
              <w:rPr>
                <w:rFonts w:hint="eastAsia" w:ascii="宋体" w:hAnsi="宋体"/>
                <w:color w:val="auto"/>
                <w:szCs w:val="21"/>
                <w:highlight w:val="none"/>
              </w:rPr>
            </w:pPr>
          </w:p>
        </w:tc>
      </w:tr>
    </w:tbl>
    <w:p w14:paraId="3293B6FE">
      <w:pPr>
        <w:rPr>
          <w:color w:val="auto"/>
          <w:szCs w:val="21"/>
          <w:highlight w:val="none"/>
        </w:rPr>
      </w:pPr>
      <w:r>
        <w:rPr>
          <w:rFonts w:hint="eastAsia"/>
          <w:color w:val="auto"/>
          <w:szCs w:val="21"/>
          <w:highlight w:val="none"/>
        </w:rPr>
        <w:t>评委签名：</w:t>
      </w:r>
    </w:p>
    <w:p w14:paraId="67DFF1A2">
      <w:pPr>
        <w:rPr>
          <w:color w:val="auto"/>
          <w:szCs w:val="21"/>
          <w:highlight w:val="none"/>
        </w:rPr>
      </w:pPr>
    </w:p>
    <w:p w14:paraId="1545B902">
      <w:pPr>
        <w:rPr>
          <w:color w:val="auto"/>
          <w:szCs w:val="21"/>
          <w:highlight w:val="none"/>
        </w:rPr>
      </w:pPr>
    </w:p>
    <w:p w14:paraId="2ED73D72">
      <w:pPr>
        <w:pStyle w:val="20"/>
        <w:rPr>
          <w:color w:val="auto"/>
          <w:highlight w:val="none"/>
        </w:rPr>
      </w:pPr>
    </w:p>
    <w:p w14:paraId="125D0F57">
      <w:pPr>
        <w:rPr>
          <w:b/>
          <w:color w:val="auto"/>
          <w:sz w:val="28"/>
          <w:szCs w:val="28"/>
          <w:highlight w:val="none"/>
        </w:rPr>
      </w:pPr>
      <w:r>
        <w:rPr>
          <w:rFonts w:hint="eastAsia"/>
          <w:color w:val="auto"/>
          <w:sz w:val="28"/>
          <w:szCs w:val="28"/>
          <w:highlight w:val="none"/>
        </w:rPr>
        <w:t>附表十</w:t>
      </w:r>
    </w:p>
    <w:p w14:paraId="172236AD">
      <w:pPr>
        <w:jc w:val="center"/>
        <w:rPr>
          <w:b/>
          <w:color w:val="auto"/>
          <w:sz w:val="36"/>
          <w:szCs w:val="36"/>
          <w:highlight w:val="none"/>
        </w:rPr>
      </w:pPr>
      <w:r>
        <w:rPr>
          <w:rFonts w:hint="eastAsia"/>
          <w:b/>
          <w:color w:val="auto"/>
          <w:sz w:val="36"/>
          <w:szCs w:val="36"/>
          <w:highlight w:val="none"/>
        </w:rPr>
        <w:t>算术复核表</w:t>
      </w:r>
    </w:p>
    <w:p w14:paraId="16985BEC">
      <w:pPr>
        <w:rPr>
          <w:rFonts w:hint="eastAsia" w:ascii="宋体" w:hAnsi="宋体"/>
          <w:color w:val="auto"/>
          <w:kern w:val="0"/>
          <w:szCs w:val="21"/>
          <w:highlight w:val="none"/>
        </w:rPr>
      </w:pPr>
      <w:r>
        <w:rPr>
          <w:rFonts w:hint="eastAsia"/>
          <w:color w:val="auto"/>
          <w:kern w:val="0"/>
          <w:szCs w:val="21"/>
          <w:highlight w:val="none"/>
        </w:rPr>
        <w:t>工程名称：</w:t>
      </w:r>
      <w:r>
        <w:rPr>
          <w:color w:val="auto"/>
          <w:kern w:val="0"/>
          <w:szCs w:val="21"/>
          <w:highlight w:val="non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投标人</w:t>
      </w:r>
      <w:r>
        <w:rPr>
          <w:rFonts w:ascii="宋体" w:hAnsi="宋体"/>
          <w:color w:val="auto"/>
          <w:kern w:val="0"/>
          <w:szCs w:val="21"/>
          <w:highlight w:val="none"/>
        </w:rPr>
        <w:t xml:space="preserve">:                                                  </w:t>
      </w:r>
      <w:r>
        <w:rPr>
          <w:rFonts w:hint="eastAsia" w:ascii="宋体" w:hAnsi="宋体"/>
          <w:color w:val="auto"/>
          <w:kern w:val="0"/>
          <w:szCs w:val="21"/>
          <w:highlight w:val="none"/>
        </w:rPr>
        <w:t>单位：元</w:t>
      </w:r>
    </w:p>
    <w:tbl>
      <w:tblPr>
        <w:tblStyle w:val="36"/>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787AA563">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14:paraId="6E0B34BD">
            <w:pPr>
              <w:rPr>
                <w:rFonts w:hint="eastAsia" w:ascii="宋体" w:hAnsi="宋体"/>
                <w:color w:val="auto"/>
                <w:kern w:val="0"/>
                <w:szCs w:val="21"/>
                <w:highlight w:val="none"/>
              </w:rPr>
            </w:pPr>
            <w:r>
              <w:rPr>
                <w:rFonts w:hint="eastAsia" w:ascii="宋体" w:hAnsi="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14:paraId="3EF325DB">
            <w:pPr>
              <w:rPr>
                <w:rFonts w:hint="eastAsia" w:ascii="宋体" w:hAnsi="宋体"/>
                <w:color w:val="auto"/>
                <w:kern w:val="0"/>
                <w:szCs w:val="21"/>
                <w:highlight w:val="none"/>
              </w:rPr>
            </w:pPr>
            <w:r>
              <w:rPr>
                <w:rFonts w:hint="eastAsia" w:ascii="宋体" w:hAnsi="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14:paraId="11000B51">
            <w:pPr>
              <w:rPr>
                <w:rFonts w:hint="eastAsia" w:ascii="宋体" w:hAnsi="宋体"/>
                <w:color w:val="auto"/>
                <w:kern w:val="0"/>
                <w:szCs w:val="21"/>
                <w:highlight w:val="none"/>
              </w:rPr>
            </w:pPr>
            <w:r>
              <w:rPr>
                <w:rFonts w:hint="eastAsia" w:ascii="宋体" w:hAnsi="宋体"/>
                <w:color w:val="auto"/>
                <w:kern w:val="0"/>
                <w:szCs w:val="21"/>
                <w:highlight w:val="none"/>
              </w:rPr>
              <w:t>修正前投标</w:t>
            </w:r>
          </w:p>
          <w:p w14:paraId="49BEE436">
            <w:pPr>
              <w:rPr>
                <w:rFonts w:hint="eastAsia"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A</w:t>
            </w:r>
          </w:p>
        </w:tc>
        <w:tc>
          <w:tcPr>
            <w:tcW w:w="1575" w:type="dxa"/>
            <w:tcBorders>
              <w:top w:val="single" w:color="auto" w:sz="4" w:space="0"/>
              <w:left w:val="nil"/>
              <w:bottom w:val="single" w:color="auto" w:sz="4" w:space="0"/>
              <w:right w:val="single" w:color="auto" w:sz="4" w:space="0"/>
            </w:tcBorders>
            <w:vAlign w:val="center"/>
          </w:tcPr>
          <w:p w14:paraId="3B45D7E4">
            <w:pPr>
              <w:rPr>
                <w:rFonts w:hint="eastAsia" w:ascii="宋体" w:hAnsi="宋体"/>
                <w:color w:val="auto"/>
                <w:kern w:val="0"/>
                <w:szCs w:val="21"/>
                <w:highlight w:val="none"/>
              </w:rPr>
            </w:pPr>
            <w:r>
              <w:rPr>
                <w:rFonts w:hint="eastAsia" w:ascii="宋体" w:hAnsi="宋体"/>
                <w:color w:val="auto"/>
                <w:kern w:val="0"/>
                <w:szCs w:val="21"/>
                <w:highlight w:val="none"/>
              </w:rPr>
              <w:t>修正后投标</w:t>
            </w:r>
          </w:p>
          <w:p w14:paraId="01780B5E">
            <w:pPr>
              <w:rPr>
                <w:rFonts w:hint="eastAsia"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B</w:t>
            </w:r>
          </w:p>
        </w:tc>
        <w:tc>
          <w:tcPr>
            <w:tcW w:w="1575" w:type="dxa"/>
            <w:tcBorders>
              <w:top w:val="single" w:color="auto" w:sz="4" w:space="0"/>
              <w:left w:val="nil"/>
              <w:bottom w:val="single" w:color="auto" w:sz="4" w:space="0"/>
              <w:right w:val="single" w:color="auto" w:sz="4" w:space="0"/>
            </w:tcBorders>
            <w:vAlign w:val="center"/>
          </w:tcPr>
          <w:p w14:paraId="7558B7D6">
            <w:pPr>
              <w:rPr>
                <w:rFonts w:hint="eastAsia" w:ascii="宋体" w:hAnsi="宋体"/>
                <w:color w:val="auto"/>
                <w:kern w:val="0"/>
                <w:szCs w:val="21"/>
                <w:highlight w:val="none"/>
              </w:rPr>
            </w:pPr>
            <w:r>
              <w:rPr>
                <w:rFonts w:hint="eastAsia" w:ascii="宋体" w:hAnsi="宋体"/>
                <w:color w:val="auto"/>
                <w:kern w:val="0"/>
                <w:szCs w:val="21"/>
                <w:highlight w:val="none"/>
              </w:rPr>
              <w:t>修正率</w:t>
            </w:r>
            <w:r>
              <w:rPr>
                <w:rFonts w:ascii="宋体" w:hAnsi="宋体"/>
                <w:color w:val="auto"/>
                <w:kern w:val="0"/>
                <w:szCs w:val="21"/>
                <w:highlight w:val="none"/>
              </w:rPr>
              <w:br w:type="textWrapping"/>
            </w:r>
            <w:r>
              <w:rPr>
                <w:rFonts w:ascii="宋体" w:hAnsi="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14:paraId="679190C4">
            <w:pPr>
              <w:rPr>
                <w:rFonts w:hint="eastAsia" w:ascii="宋体" w:hAnsi="宋体"/>
                <w:color w:val="auto"/>
                <w:kern w:val="0"/>
                <w:szCs w:val="21"/>
                <w:highlight w:val="none"/>
              </w:rPr>
            </w:pPr>
            <w:r>
              <w:rPr>
                <w:rFonts w:hint="eastAsia" w:ascii="宋体" w:hAnsi="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14:paraId="566B9687">
            <w:pPr>
              <w:rPr>
                <w:rFonts w:hint="eastAsia" w:ascii="宋体" w:hAnsi="宋体"/>
                <w:color w:val="auto"/>
                <w:kern w:val="0"/>
                <w:szCs w:val="21"/>
                <w:highlight w:val="none"/>
              </w:rPr>
            </w:pPr>
            <w:r>
              <w:rPr>
                <w:rFonts w:hint="eastAsia" w:ascii="宋体" w:hAnsi="宋体"/>
                <w:color w:val="auto"/>
                <w:kern w:val="0"/>
                <w:szCs w:val="21"/>
                <w:highlight w:val="none"/>
              </w:rPr>
              <w:t>当</w:t>
            </w:r>
            <w:r>
              <w:rPr>
                <w:rFonts w:ascii="宋体" w:hAnsi="宋体"/>
                <w:color w:val="auto"/>
                <w:kern w:val="0"/>
                <w:szCs w:val="21"/>
                <w:highlight w:val="none"/>
              </w:rPr>
              <w:t>B&gt;A</w:t>
            </w:r>
            <w:r>
              <w:rPr>
                <w:rFonts w:hint="eastAsia" w:ascii="宋体" w:hAnsi="宋体"/>
                <w:color w:val="auto"/>
                <w:kern w:val="0"/>
                <w:szCs w:val="21"/>
                <w:highlight w:val="none"/>
              </w:rPr>
              <w:t>时，修正后报价与原报价的差额；当</w:t>
            </w:r>
            <w:r>
              <w:rPr>
                <w:rFonts w:ascii="宋体" w:hAnsi="宋体"/>
                <w:color w:val="auto"/>
                <w:kern w:val="0"/>
                <w:szCs w:val="21"/>
                <w:highlight w:val="none"/>
              </w:rPr>
              <w:t>B</w:t>
            </w:r>
            <w:r>
              <w:rPr>
                <w:rFonts w:hint="eastAsia" w:ascii="宋体" w:hAnsi="宋体"/>
                <w:color w:val="auto"/>
                <w:kern w:val="0"/>
                <w:szCs w:val="21"/>
                <w:highlight w:val="none"/>
              </w:rPr>
              <w:t>≤</w:t>
            </w:r>
            <w:r>
              <w:rPr>
                <w:rFonts w:ascii="宋体" w:hAnsi="宋体"/>
                <w:color w:val="auto"/>
                <w:kern w:val="0"/>
                <w:szCs w:val="21"/>
                <w:highlight w:val="none"/>
              </w:rPr>
              <w:t>A</w:t>
            </w:r>
            <w:r>
              <w:rPr>
                <w:rFonts w:hint="eastAsia" w:ascii="宋体" w:hAnsi="宋体"/>
                <w:color w:val="auto"/>
                <w:kern w:val="0"/>
                <w:szCs w:val="21"/>
                <w:highlight w:val="none"/>
              </w:rPr>
              <w:t>时</w:t>
            </w:r>
            <w:r>
              <w:rPr>
                <w:rFonts w:ascii="宋体" w:hAnsi="宋体"/>
                <w:color w:val="auto"/>
                <w:kern w:val="0"/>
                <w:szCs w:val="21"/>
                <w:highlight w:val="none"/>
              </w:rPr>
              <w:t>,R=0</w:t>
            </w:r>
          </w:p>
        </w:tc>
      </w:tr>
      <w:tr w14:paraId="0A585B2A">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1427B9D5">
            <w:pPr>
              <w:rPr>
                <w:rFonts w:hint="eastAsia" w:ascii="宋体" w:hAnsi="宋体"/>
                <w:color w:val="auto"/>
                <w:kern w:val="0"/>
                <w:szCs w:val="21"/>
                <w:highlight w:val="none"/>
              </w:rPr>
            </w:pPr>
            <w:r>
              <w:rPr>
                <w:rFonts w:ascii="宋体" w:hAnsi="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14:paraId="5310E563">
            <w:pPr>
              <w:rPr>
                <w:rFonts w:hint="eastAsia"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1]</w:t>
            </w:r>
          </w:p>
        </w:tc>
        <w:tc>
          <w:tcPr>
            <w:tcW w:w="1602" w:type="dxa"/>
            <w:tcBorders>
              <w:top w:val="nil"/>
              <w:left w:val="nil"/>
              <w:bottom w:val="single" w:color="auto" w:sz="4" w:space="0"/>
              <w:right w:val="single" w:color="auto" w:sz="4" w:space="0"/>
            </w:tcBorders>
            <w:vAlign w:val="center"/>
          </w:tcPr>
          <w:p w14:paraId="4A3CEBF8">
            <w:pPr>
              <w:rPr>
                <w:rFonts w:hint="eastAsia"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1E355D3E">
            <w:pPr>
              <w:rPr>
                <w:rFonts w:hint="eastAsia"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0046C654">
            <w:pPr>
              <w:rPr>
                <w:rFonts w:hint="eastAsia"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36333DD6">
            <w:pPr>
              <w:rPr>
                <w:rFonts w:hint="eastAsia"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66D812DB">
            <w:pPr>
              <w:rPr>
                <w:rFonts w:hint="eastAsia" w:ascii="宋体" w:hAnsi="宋体"/>
                <w:color w:val="auto"/>
                <w:kern w:val="0"/>
                <w:szCs w:val="21"/>
                <w:highlight w:val="none"/>
              </w:rPr>
            </w:pPr>
          </w:p>
        </w:tc>
      </w:tr>
      <w:tr w14:paraId="06531697">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7AAE1A8B">
            <w:pPr>
              <w:rPr>
                <w:rFonts w:hint="eastAsia" w:ascii="宋体" w:hAnsi="宋体"/>
                <w:color w:val="auto"/>
                <w:kern w:val="0"/>
                <w:szCs w:val="21"/>
                <w:highlight w:val="none"/>
              </w:rPr>
            </w:pPr>
            <w:r>
              <w:rPr>
                <w:rFonts w:ascii="宋体" w:hAnsi="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14:paraId="043D40DC">
            <w:pPr>
              <w:rPr>
                <w:rFonts w:hint="eastAsia"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2]</w:t>
            </w:r>
          </w:p>
        </w:tc>
        <w:tc>
          <w:tcPr>
            <w:tcW w:w="1602" w:type="dxa"/>
            <w:tcBorders>
              <w:top w:val="nil"/>
              <w:left w:val="nil"/>
              <w:bottom w:val="single" w:color="auto" w:sz="4" w:space="0"/>
              <w:right w:val="single" w:color="auto" w:sz="4" w:space="0"/>
            </w:tcBorders>
            <w:vAlign w:val="center"/>
          </w:tcPr>
          <w:p w14:paraId="3CEDDCDD">
            <w:pPr>
              <w:rPr>
                <w:rFonts w:hint="eastAsia"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0C3ED2D2">
            <w:pPr>
              <w:rPr>
                <w:rFonts w:hint="eastAsia"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612A6F2B">
            <w:pPr>
              <w:rPr>
                <w:rFonts w:hint="eastAsia"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33F7BD42">
            <w:pPr>
              <w:rPr>
                <w:rFonts w:hint="eastAsia"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42245163">
            <w:pPr>
              <w:rPr>
                <w:rFonts w:hint="eastAsia" w:ascii="宋体" w:hAnsi="宋体"/>
                <w:color w:val="auto"/>
                <w:kern w:val="0"/>
                <w:szCs w:val="21"/>
                <w:highlight w:val="none"/>
              </w:rPr>
            </w:pPr>
          </w:p>
        </w:tc>
      </w:tr>
      <w:tr w14:paraId="1EBE0848">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3C96473E">
            <w:pP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6C37EBB0">
            <w:pP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3859BACB">
            <w:pPr>
              <w:rPr>
                <w:rFonts w:hint="eastAsia"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655FE153">
            <w:pPr>
              <w:rPr>
                <w:rFonts w:hint="eastAsia"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2A54165A">
            <w:pPr>
              <w:rPr>
                <w:rFonts w:hint="eastAsia"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76EA556E">
            <w:pPr>
              <w:rPr>
                <w:rFonts w:hint="eastAsia"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16DC5BE4">
            <w:pPr>
              <w:rPr>
                <w:rFonts w:hint="eastAsia" w:ascii="宋体" w:hAnsi="宋体"/>
                <w:color w:val="auto"/>
                <w:kern w:val="0"/>
                <w:szCs w:val="21"/>
                <w:highlight w:val="none"/>
              </w:rPr>
            </w:pPr>
          </w:p>
        </w:tc>
      </w:tr>
      <w:tr w14:paraId="00DE3C9C">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7B506C72">
            <w:pP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575D5DC1">
            <w:pP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33E29732">
            <w:pPr>
              <w:rPr>
                <w:rFonts w:hint="eastAsia"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16CF2A17">
            <w:pPr>
              <w:rPr>
                <w:rFonts w:hint="eastAsia"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248E6E6D">
            <w:pPr>
              <w:rPr>
                <w:rFonts w:hint="eastAsia"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072F1CAD">
            <w:pPr>
              <w:rPr>
                <w:rFonts w:hint="eastAsia"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356BBA7E">
            <w:pPr>
              <w:rPr>
                <w:rFonts w:hint="eastAsia" w:ascii="宋体" w:hAnsi="宋体"/>
                <w:color w:val="auto"/>
                <w:kern w:val="0"/>
                <w:szCs w:val="21"/>
                <w:highlight w:val="none"/>
              </w:rPr>
            </w:pPr>
          </w:p>
        </w:tc>
      </w:tr>
      <w:tr w14:paraId="37F594F2">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68C7CF10">
            <w:pP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545F80F7">
            <w:pP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6EE3551A">
            <w:pPr>
              <w:rPr>
                <w:rFonts w:hint="eastAsia"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2244AA54">
            <w:pPr>
              <w:rPr>
                <w:rFonts w:hint="eastAsia"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3F4710F0">
            <w:pPr>
              <w:rPr>
                <w:rFonts w:hint="eastAsia"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24619869">
            <w:pPr>
              <w:rPr>
                <w:rFonts w:hint="eastAsia"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4F20CA16">
            <w:pPr>
              <w:rPr>
                <w:rFonts w:hint="eastAsia" w:ascii="宋体" w:hAnsi="宋体"/>
                <w:color w:val="auto"/>
                <w:kern w:val="0"/>
                <w:szCs w:val="21"/>
                <w:highlight w:val="none"/>
              </w:rPr>
            </w:pPr>
          </w:p>
        </w:tc>
      </w:tr>
      <w:tr w14:paraId="6DD29176">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635FD16B">
            <w:pPr>
              <w:rPr>
                <w:rFonts w:hint="eastAsia" w:ascii="宋体" w:hAnsi="宋体"/>
                <w:color w:val="auto"/>
                <w:kern w:val="0"/>
                <w:szCs w:val="21"/>
                <w:highlight w:val="none"/>
              </w:rPr>
            </w:pPr>
            <w:r>
              <w:rPr>
                <w:rFonts w:ascii="宋体" w:hAnsi="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14:paraId="6DF1D6FA">
            <w:pPr>
              <w:rPr>
                <w:rFonts w:hint="eastAsia"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n]</w:t>
            </w:r>
          </w:p>
        </w:tc>
        <w:tc>
          <w:tcPr>
            <w:tcW w:w="1602" w:type="dxa"/>
            <w:tcBorders>
              <w:top w:val="nil"/>
              <w:left w:val="nil"/>
              <w:bottom w:val="single" w:color="auto" w:sz="4" w:space="0"/>
              <w:right w:val="single" w:color="auto" w:sz="4" w:space="0"/>
            </w:tcBorders>
            <w:vAlign w:val="center"/>
          </w:tcPr>
          <w:p w14:paraId="71D11E3E">
            <w:pPr>
              <w:rPr>
                <w:rFonts w:hint="eastAsia"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7E82203D">
            <w:pPr>
              <w:rPr>
                <w:rFonts w:hint="eastAsia"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611BBDC4">
            <w:pPr>
              <w:rPr>
                <w:rFonts w:hint="eastAsia"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004C00EB">
            <w:pPr>
              <w:rPr>
                <w:rFonts w:hint="eastAsia"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7ECBDC62">
            <w:pPr>
              <w:rPr>
                <w:rFonts w:hint="eastAsia" w:ascii="宋体" w:hAnsi="宋体"/>
                <w:color w:val="auto"/>
                <w:kern w:val="0"/>
                <w:szCs w:val="21"/>
                <w:highlight w:val="none"/>
              </w:rPr>
            </w:pPr>
          </w:p>
        </w:tc>
      </w:tr>
      <w:tr w14:paraId="42B11F65">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42235FD1">
            <w:pP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621FA9D1">
            <w:pPr>
              <w:rPr>
                <w:rFonts w:hint="eastAsia" w:ascii="宋体" w:hAnsi="宋体"/>
                <w:color w:val="auto"/>
                <w:kern w:val="0"/>
                <w:szCs w:val="21"/>
                <w:highlight w:val="none"/>
              </w:rPr>
            </w:pPr>
            <w:r>
              <w:rPr>
                <w:rFonts w:hint="eastAsia" w:ascii="宋体" w:hAnsi="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14:paraId="73C2AF68">
            <w:pPr>
              <w:rPr>
                <w:rFonts w:hint="eastAsia"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0ED02BFC">
            <w:pPr>
              <w:rPr>
                <w:rFonts w:hint="eastAsia"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14:paraId="6334181E">
            <w:pPr>
              <w:rPr>
                <w:rFonts w:hint="eastAsia"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608E323B">
            <w:pPr>
              <w:rPr>
                <w:rFonts w:hint="eastAsia"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4A29DA86">
            <w:pPr>
              <w:rPr>
                <w:rFonts w:hint="eastAsia"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A=A</w:t>
            </w:r>
            <w:r>
              <w:rPr>
                <w:rFonts w:ascii="宋体" w:hAnsi="宋体"/>
                <w:color w:val="auto"/>
                <w:kern w:val="0"/>
                <w:szCs w:val="21"/>
                <w:highlight w:val="none"/>
                <w:vertAlign w:val="subscript"/>
              </w:rPr>
              <w:t>1</w:t>
            </w:r>
            <w:r>
              <w:rPr>
                <w:rFonts w:ascii="宋体" w:hAnsi="宋体"/>
                <w:color w:val="auto"/>
                <w:kern w:val="0"/>
                <w:szCs w:val="21"/>
                <w:highlight w:val="none"/>
              </w:rPr>
              <w:t>+A</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An</w:t>
            </w:r>
            <w:r>
              <w:rPr>
                <w:rFonts w:hint="eastAsia" w:ascii="宋体" w:hAnsi="宋体"/>
                <w:color w:val="auto"/>
                <w:kern w:val="0"/>
                <w:szCs w:val="21"/>
                <w:highlight w:val="none"/>
              </w:rPr>
              <w:t>；∑</w:t>
            </w:r>
            <w:r>
              <w:rPr>
                <w:rFonts w:ascii="宋体" w:hAnsi="宋体"/>
                <w:color w:val="auto"/>
                <w:kern w:val="0"/>
                <w:szCs w:val="21"/>
                <w:highlight w:val="none"/>
              </w:rPr>
              <w:t>B=B</w:t>
            </w:r>
            <w:r>
              <w:rPr>
                <w:rFonts w:ascii="宋体" w:hAnsi="宋体"/>
                <w:color w:val="auto"/>
                <w:kern w:val="0"/>
                <w:szCs w:val="21"/>
                <w:highlight w:val="none"/>
                <w:vertAlign w:val="subscript"/>
              </w:rPr>
              <w:t>1</w:t>
            </w:r>
            <w:r>
              <w:rPr>
                <w:rFonts w:ascii="宋体" w:hAnsi="宋体"/>
                <w:color w:val="auto"/>
                <w:kern w:val="0"/>
                <w:szCs w:val="21"/>
                <w:highlight w:val="none"/>
              </w:rPr>
              <w:t>+B</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Bn</w:t>
            </w:r>
          </w:p>
        </w:tc>
      </w:tr>
    </w:tbl>
    <w:p w14:paraId="200E41EE">
      <w:pPr>
        <w:rPr>
          <w:rFonts w:cs="宋体"/>
          <w:color w:val="auto"/>
          <w:kern w:val="0"/>
          <w:szCs w:val="21"/>
          <w:highlight w:val="none"/>
        </w:rPr>
      </w:pPr>
      <w:r>
        <w:rPr>
          <w:rFonts w:hint="eastAsia" w:cs="宋体"/>
          <w:color w:val="auto"/>
          <w:kern w:val="0"/>
          <w:szCs w:val="21"/>
          <w:highlight w:val="none"/>
        </w:rPr>
        <w:t>修正原则：</w:t>
      </w:r>
      <w:r>
        <w:rPr>
          <w:rFonts w:hint="eastAsia"/>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color w:val="auto"/>
          <w:kern w:val="0"/>
          <w:szCs w:val="21"/>
          <w:highlight w:val="none"/>
        </w:rPr>
        <w:tab/>
      </w:r>
    </w:p>
    <w:p w14:paraId="5E0411F0">
      <w:pPr>
        <w:rPr>
          <w:color w:val="auto"/>
          <w:kern w:val="0"/>
          <w:szCs w:val="21"/>
          <w:highlight w:val="none"/>
        </w:rPr>
      </w:pPr>
    </w:p>
    <w:p w14:paraId="5D311328">
      <w:pPr>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rFonts w:hint="eastAsia"/>
          <w:color w:val="auto"/>
          <w:kern w:val="0"/>
          <w:szCs w:val="21"/>
          <w:highlight w:val="none"/>
          <w:lang w:val="en-US" w:eastAsia="zh-CN"/>
        </w:rPr>
        <w:t xml:space="preserve">                                                                                   </w:t>
      </w:r>
      <w:r>
        <w:rPr>
          <w:rFonts w:hint="eastAsia"/>
          <w:color w:val="auto"/>
          <w:kern w:val="0"/>
          <w:szCs w:val="21"/>
          <w:highlight w:val="none"/>
        </w:rPr>
        <w:t>日期：</w:t>
      </w:r>
    </w:p>
    <w:p w14:paraId="3EB8BFBF">
      <w:pPr>
        <w:rPr>
          <w:color w:val="auto"/>
          <w:highlight w:val="none"/>
        </w:rPr>
      </w:pPr>
    </w:p>
    <w:p w14:paraId="50A0D089">
      <w:pPr>
        <w:rPr>
          <w:color w:val="auto"/>
          <w:highlight w:val="none"/>
        </w:rPr>
        <w:sectPr>
          <w:headerReference r:id="rId9" w:type="first"/>
          <w:footerReference r:id="rId12" w:type="first"/>
          <w:headerReference r:id="rId7" w:type="default"/>
          <w:footerReference r:id="rId10" w:type="default"/>
          <w:headerReference r:id="rId8" w:type="even"/>
          <w:footerReference r:id="rId11" w:type="even"/>
          <w:endnotePr>
            <w:numFmt w:val="decimal"/>
          </w:endnotePr>
          <w:pgSz w:w="16838" w:h="11906" w:orient="landscape"/>
          <w:pgMar w:top="1418" w:right="1247" w:bottom="1418" w:left="1134" w:header="851" w:footer="907" w:gutter="0"/>
          <w:pgBorders>
            <w:top w:val="none" w:sz="0" w:space="0"/>
            <w:left w:val="none" w:sz="0" w:space="0"/>
            <w:bottom w:val="none" w:sz="0" w:space="0"/>
            <w:right w:val="none" w:sz="0" w:space="0"/>
          </w:pgBorders>
          <w:cols w:space="425" w:num="1"/>
          <w:titlePg/>
          <w:docGrid w:type="lines" w:linePitch="312" w:charSpace="0"/>
        </w:sectPr>
      </w:pPr>
      <w:r>
        <w:rPr>
          <w:color w:val="auto"/>
          <w:highlight w:val="none"/>
        </w:rPr>
        <w:br w:type="page"/>
      </w:r>
    </w:p>
    <w:p w14:paraId="446D02EB">
      <w:pPr>
        <w:rPr>
          <w:color w:val="auto"/>
          <w:highlight w:val="none"/>
        </w:rPr>
      </w:pPr>
    </w:p>
    <w:p w14:paraId="2515C179">
      <w:pPr>
        <w:pStyle w:val="3"/>
        <w:rPr>
          <w:color w:val="auto"/>
          <w:highlight w:val="none"/>
        </w:rPr>
      </w:pPr>
      <w:bookmarkStart w:id="62" w:name="_Toc21525511"/>
      <w:bookmarkStart w:id="63" w:name="_Toc2272566"/>
      <w:bookmarkStart w:id="64" w:name="_Toc25611"/>
      <w:bookmarkStart w:id="65" w:name="_Toc15112"/>
      <w:r>
        <w:rPr>
          <w:rFonts w:hint="eastAsia"/>
          <w:color w:val="auto"/>
          <w:highlight w:val="none"/>
        </w:rPr>
        <w:t>第三章</w:t>
      </w:r>
      <w:r>
        <w:rPr>
          <w:color w:val="auto"/>
          <w:highlight w:val="none"/>
        </w:rPr>
        <w:t xml:space="preserve">  </w:t>
      </w:r>
      <w:r>
        <w:rPr>
          <w:rFonts w:hint="eastAsia"/>
          <w:color w:val="auto"/>
          <w:highlight w:val="none"/>
        </w:rPr>
        <w:t>合同条款</w:t>
      </w:r>
      <w:bookmarkEnd w:id="62"/>
      <w:bookmarkEnd w:id="63"/>
      <w:r>
        <w:rPr>
          <w:rFonts w:hint="eastAsia"/>
          <w:color w:val="auto"/>
          <w:highlight w:val="none"/>
        </w:rPr>
        <w:t>及格式</w:t>
      </w:r>
      <w:bookmarkEnd w:id="64"/>
      <w:bookmarkEnd w:id="65"/>
    </w:p>
    <w:p w14:paraId="4EABF91A">
      <w:pPr>
        <w:pStyle w:val="5"/>
        <w:spacing w:line="360" w:lineRule="auto"/>
        <w:jc w:val="center"/>
        <w:rPr>
          <w:color w:val="auto"/>
          <w:sz w:val="24"/>
          <w:szCs w:val="24"/>
          <w:highlight w:val="none"/>
        </w:rPr>
      </w:pPr>
      <w:r>
        <w:rPr>
          <w:rFonts w:hint="eastAsia"/>
          <w:color w:val="auto"/>
          <w:sz w:val="24"/>
          <w:szCs w:val="24"/>
          <w:highlight w:val="none"/>
        </w:rPr>
        <w:t>注：另册。</w:t>
      </w:r>
    </w:p>
    <w:p w14:paraId="3680327D">
      <w:pPr>
        <w:pStyle w:val="5"/>
        <w:spacing w:line="360" w:lineRule="auto"/>
        <w:rPr>
          <w:color w:val="auto"/>
          <w:sz w:val="24"/>
          <w:szCs w:val="24"/>
          <w:highlight w:val="none"/>
        </w:rPr>
      </w:pPr>
    </w:p>
    <w:p w14:paraId="6F1DA94B">
      <w:pPr>
        <w:pStyle w:val="5"/>
        <w:spacing w:line="360" w:lineRule="auto"/>
        <w:rPr>
          <w:color w:val="auto"/>
          <w:sz w:val="24"/>
          <w:szCs w:val="24"/>
          <w:highlight w:val="none"/>
        </w:rPr>
      </w:pPr>
    </w:p>
    <w:p w14:paraId="5FF491D0">
      <w:pPr>
        <w:pStyle w:val="5"/>
        <w:spacing w:line="360" w:lineRule="auto"/>
        <w:rPr>
          <w:color w:val="auto"/>
          <w:sz w:val="24"/>
          <w:szCs w:val="24"/>
          <w:highlight w:val="none"/>
        </w:rPr>
      </w:pPr>
    </w:p>
    <w:p w14:paraId="448AC43C">
      <w:pPr>
        <w:pStyle w:val="5"/>
        <w:spacing w:line="360" w:lineRule="auto"/>
        <w:rPr>
          <w:color w:val="auto"/>
          <w:sz w:val="24"/>
          <w:szCs w:val="24"/>
          <w:highlight w:val="none"/>
        </w:rPr>
      </w:pPr>
    </w:p>
    <w:p w14:paraId="1A970C50">
      <w:pPr>
        <w:pStyle w:val="5"/>
        <w:spacing w:line="360" w:lineRule="auto"/>
        <w:rPr>
          <w:color w:val="auto"/>
          <w:sz w:val="24"/>
          <w:szCs w:val="24"/>
          <w:highlight w:val="none"/>
        </w:rPr>
      </w:pPr>
    </w:p>
    <w:p w14:paraId="2FC01CB9">
      <w:pPr>
        <w:pStyle w:val="5"/>
        <w:spacing w:line="360" w:lineRule="auto"/>
        <w:rPr>
          <w:color w:val="auto"/>
          <w:sz w:val="24"/>
          <w:szCs w:val="24"/>
          <w:highlight w:val="none"/>
        </w:rPr>
      </w:pPr>
    </w:p>
    <w:p w14:paraId="781ABFDE">
      <w:pPr>
        <w:pStyle w:val="5"/>
        <w:spacing w:line="360" w:lineRule="auto"/>
        <w:rPr>
          <w:color w:val="auto"/>
          <w:sz w:val="24"/>
          <w:szCs w:val="24"/>
          <w:highlight w:val="none"/>
        </w:rPr>
      </w:pPr>
    </w:p>
    <w:p w14:paraId="353F9F9C">
      <w:pPr>
        <w:pStyle w:val="5"/>
        <w:spacing w:line="360" w:lineRule="auto"/>
        <w:rPr>
          <w:color w:val="auto"/>
          <w:sz w:val="24"/>
          <w:szCs w:val="24"/>
          <w:highlight w:val="none"/>
        </w:rPr>
      </w:pPr>
    </w:p>
    <w:p w14:paraId="64DAF62A">
      <w:pPr>
        <w:pStyle w:val="5"/>
        <w:spacing w:line="360" w:lineRule="auto"/>
        <w:rPr>
          <w:color w:val="auto"/>
          <w:sz w:val="24"/>
          <w:szCs w:val="24"/>
          <w:highlight w:val="none"/>
        </w:rPr>
      </w:pPr>
    </w:p>
    <w:p w14:paraId="3F22A8F0">
      <w:pPr>
        <w:pStyle w:val="5"/>
        <w:spacing w:line="360" w:lineRule="auto"/>
        <w:rPr>
          <w:color w:val="auto"/>
          <w:sz w:val="24"/>
          <w:szCs w:val="24"/>
          <w:highlight w:val="none"/>
        </w:rPr>
      </w:pPr>
    </w:p>
    <w:p w14:paraId="2FB7C672">
      <w:pPr>
        <w:pStyle w:val="5"/>
        <w:spacing w:line="360" w:lineRule="auto"/>
        <w:rPr>
          <w:color w:val="auto"/>
          <w:sz w:val="24"/>
          <w:szCs w:val="24"/>
          <w:highlight w:val="none"/>
        </w:rPr>
      </w:pPr>
    </w:p>
    <w:p w14:paraId="3844D34A">
      <w:pPr>
        <w:pStyle w:val="5"/>
        <w:spacing w:line="360" w:lineRule="auto"/>
        <w:rPr>
          <w:color w:val="auto"/>
          <w:sz w:val="24"/>
          <w:szCs w:val="24"/>
          <w:highlight w:val="none"/>
        </w:rPr>
      </w:pPr>
    </w:p>
    <w:p w14:paraId="436A897C">
      <w:pPr>
        <w:pStyle w:val="5"/>
        <w:spacing w:line="360" w:lineRule="auto"/>
        <w:ind w:firstLine="0"/>
        <w:rPr>
          <w:color w:val="auto"/>
          <w:sz w:val="24"/>
          <w:szCs w:val="24"/>
          <w:highlight w:val="none"/>
        </w:rPr>
      </w:pPr>
    </w:p>
    <w:p w14:paraId="69293E73">
      <w:pPr>
        <w:pStyle w:val="20"/>
        <w:spacing w:line="360" w:lineRule="auto"/>
        <w:rPr>
          <w:color w:val="auto"/>
          <w:sz w:val="24"/>
          <w:szCs w:val="24"/>
          <w:highlight w:val="none"/>
        </w:rPr>
      </w:pPr>
    </w:p>
    <w:p w14:paraId="6E4DAAE6">
      <w:pPr>
        <w:pStyle w:val="20"/>
        <w:spacing w:line="360" w:lineRule="auto"/>
        <w:rPr>
          <w:color w:val="auto"/>
          <w:sz w:val="24"/>
          <w:szCs w:val="24"/>
          <w:highlight w:val="none"/>
        </w:rPr>
      </w:pPr>
      <w:r>
        <w:rPr>
          <w:color w:val="auto"/>
          <w:sz w:val="24"/>
          <w:szCs w:val="24"/>
          <w:highlight w:val="none"/>
        </w:rPr>
        <w:br w:type="page"/>
      </w:r>
    </w:p>
    <w:p w14:paraId="34A233B0">
      <w:pPr>
        <w:pStyle w:val="3"/>
        <w:rPr>
          <w:color w:val="auto"/>
          <w:highlight w:val="none"/>
        </w:rPr>
      </w:pPr>
      <w:bookmarkStart w:id="66" w:name="_Toc29898"/>
      <w:bookmarkStart w:id="67" w:name="_Toc32300"/>
      <w:bookmarkStart w:id="68" w:name="_Toc21525512"/>
      <w:bookmarkStart w:id="69" w:name="_Toc2272567"/>
      <w:r>
        <w:rPr>
          <w:rFonts w:hint="eastAsia"/>
          <w:color w:val="auto"/>
          <w:highlight w:val="none"/>
        </w:rPr>
        <w:t>第四章</w:t>
      </w:r>
      <w:r>
        <w:rPr>
          <w:color w:val="auto"/>
          <w:highlight w:val="none"/>
        </w:rPr>
        <w:t xml:space="preserve">  </w:t>
      </w:r>
      <w:r>
        <w:rPr>
          <w:rFonts w:hint="eastAsia"/>
          <w:color w:val="auto"/>
          <w:highlight w:val="none"/>
        </w:rPr>
        <w:t>投标文件格式</w:t>
      </w:r>
      <w:bookmarkEnd w:id="66"/>
      <w:bookmarkEnd w:id="67"/>
      <w:bookmarkEnd w:id="68"/>
      <w:bookmarkEnd w:id="69"/>
    </w:p>
    <w:p w14:paraId="4DA5C3C6">
      <w:pPr>
        <w:autoSpaceDE w:val="0"/>
        <w:autoSpaceDN w:val="0"/>
        <w:adjustRightInd w:val="0"/>
        <w:rPr>
          <w:bCs/>
          <w:color w:val="auto"/>
          <w:szCs w:val="21"/>
          <w:highlight w:val="none"/>
        </w:rPr>
      </w:pPr>
      <w:r>
        <w:rPr>
          <w:color w:val="auto"/>
          <w:highlight w:val="none"/>
        </w:rPr>
        <w:br w:type="page"/>
      </w:r>
      <w:r>
        <w:rPr>
          <w:rFonts w:hint="eastAsia"/>
          <w:bCs/>
          <w:color w:val="auto"/>
          <w:sz w:val="28"/>
          <w:szCs w:val="28"/>
          <w:highlight w:val="none"/>
        </w:rPr>
        <w:t>参考格式一</w:t>
      </w:r>
    </w:p>
    <w:p w14:paraId="6B545ECA">
      <w:pPr>
        <w:autoSpaceDE w:val="0"/>
        <w:autoSpaceDN w:val="0"/>
        <w:adjustRightInd w:val="0"/>
        <w:ind w:left="-540" w:leftChars="-257" w:firstLine="1135" w:firstLineChars="257"/>
        <w:jc w:val="center"/>
        <w:rPr>
          <w:rFonts w:hint="eastAsia" w:ascii="宋体" w:hAnsi="宋体" w:cs="宋体"/>
          <w:b/>
          <w:bCs/>
          <w:color w:val="auto"/>
          <w:sz w:val="44"/>
          <w:szCs w:val="44"/>
          <w:highlight w:val="none"/>
          <w:lang w:val="zh-CN"/>
        </w:rPr>
      </w:pPr>
    </w:p>
    <w:p w14:paraId="1EC55FC0">
      <w:pPr>
        <w:jc w:val="center"/>
        <w:rPr>
          <w:b/>
          <w:bCs/>
          <w:color w:val="auto"/>
          <w:sz w:val="44"/>
          <w:szCs w:val="44"/>
          <w:highlight w:val="none"/>
          <w:lang w:val="zh-CN"/>
        </w:rPr>
      </w:pPr>
      <w:r>
        <w:rPr>
          <w:rFonts w:hint="eastAsia"/>
          <w:b/>
          <w:bCs/>
          <w:color w:val="auto"/>
          <w:sz w:val="44"/>
          <w:szCs w:val="44"/>
          <w:highlight w:val="none"/>
          <w:lang w:val="zh-CN"/>
        </w:rPr>
        <w:t>广州建设工程施工招标投标书</w:t>
      </w:r>
    </w:p>
    <w:p w14:paraId="14F6FFAD">
      <w:pPr>
        <w:jc w:val="center"/>
        <w:rPr>
          <w:color w:val="auto"/>
          <w:sz w:val="28"/>
          <w:szCs w:val="28"/>
          <w:highlight w:val="none"/>
          <w:lang w:val="zh-CN"/>
        </w:rPr>
      </w:pPr>
      <w:r>
        <w:rPr>
          <w:rFonts w:hint="eastAsia"/>
          <w:color w:val="auto"/>
          <w:sz w:val="28"/>
          <w:szCs w:val="28"/>
          <w:highlight w:val="none"/>
        </w:rPr>
        <w:t>（适用于技术标与经济标同时开启）</w:t>
      </w:r>
    </w:p>
    <w:tbl>
      <w:tblPr>
        <w:tblStyle w:val="36"/>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14:paraId="6791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62BB48CB">
            <w:pPr>
              <w:rPr>
                <w:color w:val="auto"/>
                <w:sz w:val="28"/>
                <w:szCs w:val="28"/>
                <w:highlight w:val="none"/>
                <w:lang w:val="zh-CN"/>
              </w:rPr>
            </w:pPr>
            <w:r>
              <w:rPr>
                <w:rFonts w:hint="eastAsia"/>
                <w:color w:val="auto"/>
                <w:sz w:val="28"/>
                <w:szCs w:val="28"/>
                <w:highlight w:val="none"/>
                <w:lang w:val="zh-CN"/>
              </w:rPr>
              <w:t>工</w:t>
            </w:r>
            <w:r>
              <w:rPr>
                <w:color w:val="auto"/>
                <w:sz w:val="28"/>
                <w:szCs w:val="28"/>
                <w:highlight w:val="none"/>
                <w:lang w:val="zh-CN"/>
              </w:rPr>
              <w:t xml:space="preserve"> </w:t>
            </w:r>
            <w:r>
              <w:rPr>
                <w:rFonts w:hint="eastAsia"/>
                <w:color w:val="auto"/>
                <w:sz w:val="28"/>
                <w:szCs w:val="28"/>
                <w:highlight w:val="none"/>
                <w:lang w:val="zh-CN"/>
              </w:rPr>
              <w:t>程</w:t>
            </w:r>
            <w:r>
              <w:rPr>
                <w:color w:val="auto"/>
                <w:sz w:val="28"/>
                <w:szCs w:val="28"/>
                <w:highlight w:val="none"/>
                <w:lang w:val="zh-CN"/>
              </w:rPr>
              <w:t xml:space="preserve"> </w:t>
            </w:r>
            <w:r>
              <w:rPr>
                <w:rFonts w:hint="eastAsia"/>
                <w:color w:val="auto"/>
                <w:sz w:val="28"/>
                <w:szCs w:val="28"/>
                <w:highlight w:val="none"/>
                <w:lang w:val="zh-CN"/>
              </w:rPr>
              <w:t>名</w:t>
            </w:r>
            <w:r>
              <w:rPr>
                <w:color w:val="auto"/>
                <w:sz w:val="28"/>
                <w:szCs w:val="28"/>
                <w:highlight w:val="none"/>
                <w:lang w:val="zh-CN"/>
              </w:rPr>
              <w:t xml:space="preserve"> </w:t>
            </w:r>
            <w:r>
              <w:rPr>
                <w:rFonts w:hint="eastAsia"/>
                <w:color w:val="auto"/>
                <w:sz w:val="28"/>
                <w:szCs w:val="28"/>
                <w:highlight w:val="none"/>
                <w:lang w:val="zh-CN"/>
              </w:rPr>
              <w:t>称</w:t>
            </w:r>
          </w:p>
        </w:tc>
        <w:tc>
          <w:tcPr>
            <w:tcW w:w="3574" w:type="dxa"/>
            <w:tcBorders>
              <w:top w:val="single" w:color="auto" w:sz="4" w:space="0"/>
              <w:left w:val="single" w:color="auto" w:sz="4" w:space="0"/>
              <w:bottom w:val="single" w:color="auto" w:sz="4" w:space="0"/>
              <w:right w:val="single" w:color="auto" w:sz="4" w:space="0"/>
            </w:tcBorders>
          </w:tcPr>
          <w:p w14:paraId="45E46F62">
            <w:pPr>
              <w:rPr>
                <w:color w:val="auto"/>
                <w:sz w:val="28"/>
                <w:szCs w:val="28"/>
                <w:highlight w:val="none"/>
                <w:lang w:val="zh-CN"/>
              </w:rPr>
            </w:pPr>
          </w:p>
        </w:tc>
      </w:tr>
      <w:tr w14:paraId="44BD5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629A4305">
            <w:pPr>
              <w:rPr>
                <w:color w:val="auto"/>
                <w:sz w:val="28"/>
                <w:szCs w:val="28"/>
                <w:highlight w:val="none"/>
                <w:lang w:val="zh-CN"/>
              </w:rPr>
            </w:pPr>
            <w:r>
              <w:rPr>
                <w:rFonts w:hint="eastAsia"/>
                <w:color w:val="auto"/>
                <w:sz w:val="28"/>
                <w:szCs w:val="28"/>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14:paraId="530A1465">
            <w:pPr>
              <w:rPr>
                <w:color w:val="auto"/>
                <w:sz w:val="28"/>
                <w:szCs w:val="28"/>
                <w:highlight w:val="none"/>
                <w:lang w:val="zh-CN"/>
              </w:rPr>
            </w:pPr>
          </w:p>
        </w:tc>
      </w:tr>
      <w:tr w14:paraId="6DF6A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2DD9D6A1">
            <w:pPr>
              <w:rPr>
                <w:color w:val="auto"/>
                <w:sz w:val="28"/>
                <w:szCs w:val="28"/>
                <w:highlight w:val="none"/>
                <w:lang w:val="zh-CN"/>
              </w:rPr>
            </w:pPr>
            <w:r>
              <w:rPr>
                <w:rFonts w:hint="eastAsia"/>
                <w:color w:val="auto"/>
                <w:sz w:val="28"/>
                <w:szCs w:val="28"/>
                <w:highlight w:val="none"/>
                <w:lang w:val="zh-CN"/>
              </w:rPr>
              <w:t>其中：人工费（元）</w:t>
            </w:r>
          </w:p>
        </w:tc>
        <w:tc>
          <w:tcPr>
            <w:tcW w:w="3574" w:type="dxa"/>
            <w:tcBorders>
              <w:top w:val="single" w:color="auto" w:sz="4" w:space="0"/>
              <w:left w:val="single" w:color="auto" w:sz="4" w:space="0"/>
              <w:bottom w:val="single" w:color="auto" w:sz="4" w:space="0"/>
              <w:right w:val="single" w:color="auto" w:sz="4" w:space="0"/>
            </w:tcBorders>
            <w:vAlign w:val="center"/>
          </w:tcPr>
          <w:p w14:paraId="190B9F9B">
            <w:pPr>
              <w:rPr>
                <w:color w:val="auto"/>
                <w:sz w:val="28"/>
                <w:szCs w:val="28"/>
                <w:highlight w:val="none"/>
                <w:lang w:val="zh-CN"/>
              </w:rPr>
            </w:pPr>
          </w:p>
        </w:tc>
      </w:tr>
      <w:tr w14:paraId="533CD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2B05CAE9">
            <w:pPr>
              <w:rPr>
                <w:color w:val="auto"/>
                <w:sz w:val="28"/>
                <w:szCs w:val="28"/>
                <w:highlight w:val="none"/>
                <w:lang w:val="zh-CN"/>
              </w:rPr>
            </w:pPr>
            <w:r>
              <w:rPr>
                <w:rFonts w:hint="eastAsia"/>
                <w:color w:val="auto"/>
                <w:sz w:val="28"/>
                <w:szCs w:val="28"/>
                <w:highlight w:val="none"/>
                <w:lang w:val="zh-CN"/>
              </w:rPr>
              <w:t>其中：绿色施工安全防护措施费（元）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14:paraId="18461268">
            <w:pPr>
              <w:rPr>
                <w:color w:val="auto"/>
                <w:sz w:val="28"/>
                <w:szCs w:val="28"/>
                <w:highlight w:val="none"/>
                <w:lang w:val="zh-CN"/>
              </w:rPr>
            </w:pPr>
          </w:p>
        </w:tc>
      </w:tr>
      <w:tr w14:paraId="6834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601F7589">
            <w:pPr>
              <w:rPr>
                <w:color w:val="auto"/>
                <w:sz w:val="28"/>
                <w:szCs w:val="28"/>
                <w:highlight w:val="none"/>
                <w:lang w:val="zh-CN"/>
              </w:rPr>
            </w:pPr>
            <w:r>
              <w:rPr>
                <w:rFonts w:hint="eastAsia"/>
                <w:color w:val="auto"/>
                <w:sz w:val="28"/>
                <w:szCs w:val="28"/>
                <w:highlight w:val="none"/>
                <w:lang w:val="zh-CN"/>
              </w:rPr>
              <w:t>投</w:t>
            </w:r>
            <w:r>
              <w:rPr>
                <w:color w:val="auto"/>
                <w:sz w:val="28"/>
                <w:szCs w:val="28"/>
                <w:highlight w:val="none"/>
                <w:lang w:val="zh-CN"/>
              </w:rPr>
              <w:t xml:space="preserve"> </w:t>
            </w:r>
            <w:r>
              <w:rPr>
                <w:rFonts w:hint="eastAsia"/>
                <w:color w:val="auto"/>
                <w:sz w:val="28"/>
                <w:szCs w:val="28"/>
                <w:highlight w:val="none"/>
                <w:lang w:val="zh-CN"/>
              </w:rPr>
              <w:t>标</w:t>
            </w:r>
            <w:r>
              <w:rPr>
                <w:color w:val="auto"/>
                <w:sz w:val="28"/>
                <w:szCs w:val="28"/>
                <w:highlight w:val="none"/>
                <w:lang w:val="zh-CN"/>
              </w:rPr>
              <w:t xml:space="preserve"> </w:t>
            </w:r>
            <w:r>
              <w:rPr>
                <w:rFonts w:hint="eastAsia"/>
                <w:color w:val="auto"/>
                <w:sz w:val="28"/>
                <w:szCs w:val="28"/>
                <w:highlight w:val="none"/>
                <w:lang w:val="zh-CN"/>
              </w:rPr>
              <w:t>总工</w:t>
            </w:r>
            <w:r>
              <w:rPr>
                <w:color w:val="auto"/>
                <w:sz w:val="28"/>
                <w:szCs w:val="28"/>
                <w:highlight w:val="none"/>
                <w:lang w:val="zh-CN"/>
              </w:rPr>
              <w:t xml:space="preserve"> </w:t>
            </w:r>
            <w:r>
              <w:rPr>
                <w:rFonts w:hint="eastAsia"/>
                <w:color w:val="auto"/>
                <w:sz w:val="28"/>
                <w:szCs w:val="28"/>
                <w:highlight w:val="none"/>
                <w:lang w:val="zh-CN"/>
              </w:rPr>
              <w:t>期</w:t>
            </w:r>
          </w:p>
        </w:tc>
        <w:tc>
          <w:tcPr>
            <w:tcW w:w="3574" w:type="dxa"/>
            <w:tcBorders>
              <w:top w:val="single" w:color="auto" w:sz="4" w:space="0"/>
              <w:left w:val="single" w:color="auto" w:sz="4" w:space="0"/>
              <w:bottom w:val="single" w:color="auto" w:sz="4" w:space="0"/>
              <w:right w:val="single" w:color="auto" w:sz="4" w:space="0"/>
            </w:tcBorders>
          </w:tcPr>
          <w:p w14:paraId="31ECE5AF">
            <w:pPr>
              <w:rPr>
                <w:color w:val="auto"/>
                <w:sz w:val="28"/>
                <w:szCs w:val="28"/>
                <w:highlight w:val="none"/>
                <w:lang w:val="zh-CN"/>
              </w:rPr>
            </w:pPr>
          </w:p>
        </w:tc>
      </w:tr>
      <w:tr w14:paraId="0328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33CA9AE0">
            <w:pPr>
              <w:rPr>
                <w:color w:val="auto"/>
                <w:sz w:val="28"/>
                <w:szCs w:val="28"/>
                <w:highlight w:val="none"/>
              </w:rPr>
            </w:pPr>
            <w:r>
              <w:rPr>
                <w:rFonts w:hint="eastAsia"/>
                <w:color w:val="auto"/>
                <w:sz w:val="28"/>
                <w:szCs w:val="28"/>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14:paraId="7EA460F5">
            <w:pPr>
              <w:rPr>
                <w:color w:val="auto"/>
                <w:sz w:val="28"/>
                <w:szCs w:val="28"/>
                <w:highlight w:val="none"/>
                <w:lang w:val="zh-CN"/>
              </w:rPr>
            </w:pPr>
          </w:p>
        </w:tc>
      </w:tr>
      <w:tr w14:paraId="5BCFB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467D0697">
            <w:pPr>
              <w:rPr>
                <w:color w:val="auto"/>
                <w:sz w:val="28"/>
                <w:szCs w:val="28"/>
                <w:highlight w:val="none"/>
                <w:lang w:val="zh-CN"/>
              </w:rPr>
            </w:pPr>
            <w:r>
              <w:rPr>
                <w:rFonts w:hint="eastAsia"/>
                <w:color w:val="auto"/>
                <w:sz w:val="28"/>
                <w:szCs w:val="28"/>
                <w:highlight w:val="none"/>
                <w:lang w:val="zh-CN"/>
              </w:rPr>
              <w:t>保</w:t>
            </w:r>
            <w:r>
              <w:rPr>
                <w:color w:val="auto"/>
                <w:sz w:val="28"/>
                <w:szCs w:val="28"/>
                <w:highlight w:val="none"/>
                <w:lang w:val="zh-CN"/>
              </w:rPr>
              <w:t xml:space="preserve"> </w:t>
            </w:r>
            <w:r>
              <w:rPr>
                <w:rFonts w:hint="eastAsia"/>
                <w:color w:val="auto"/>
                <w:sz w:val="28"/>
                <w:szCs w:val="28"/>
                <w:highlight w:val="none"/>
                <w:lang w:val="zh-CN"/>
              </w:rPr>
              <w:t>修</w:t>
            </w:r>
            <w:r>
              <w:rPr>
                <w:color w:val="auto"/>
                <w:sz w:val="28"/>
                <w:szCs w:val="28"/>
                <w:highlight w:val="none"/>
                <w:lang w:val="zh-CN"/>
              </w:rPr>
              <w:t xml:space="preserve"> </w:t>
            </w:r>
            <w:r>
              <w:rPr>
                <w:rFonts w:hint="eastAsia"/>
                <w:color w:val="auto"/>
                <w:sz w:val="28"/>
                <w:szCs w:val="28"/>
                <w:highlight w:val="none"/>
                <w:lang w:val="zh-CN"/>
              </w:rPr>
              <w:t>期</w:t>
            </w:r>
            <w:r>
              <w:rPr>
                <w:color w:val="auto"/>
                <w:sz w:val="28"/>
                <w:szCs w:val="28"/>
                <w:highlight w:val="none"/>
                <w:lang w:val="zh-CN"/>
              </w:rPr>
              <w:t xml:space="preserve"> </w:t>
            </w:r>
            <w:r>
              <w:rPr>
                <w:rFonts w:hint="eastAsia"/>
                <w:color w:val="auto"/>
                <w:sz w:val="28"/>
                <w:szCs w:val="28"/>
                <w:highlight w:val="none"/>
                <w:lang w:val="zh-CN"/>
              </w:rPr>
              <w:t>限</w:t>
            </w:r>
          </w:p>
        </w:tc>
        <w:tc>
          <w:tcPr>
            <w:tcW w:w="3574" w:type="dxa"/>
            <w:tcBorders>
              <w:top w:val="single" w:color="auto" w:sz="4" w:space="0"/>
              <w:left w:val="single" w:color="auto" w:sz="4" w:space="0"/>
              <w:bottom w:val="single" w:color="auto" w:sz="4" w:space="0"/>
              <w:right w:val="single" w:color="auto" w:sz="4" w:space="0"/>
            </w:tcBorders>
          </w:tcPr>
          <w:p w14:paraId="4572AFD1">
            <w:pPr>
              <w:rPr>
                <w:color w:val="auto"/>
                <w:sz w:val="28"/>
                <w:szCs w:val="28"/>
                <w:highlight w:val="none"/>
                <w:lang w:val="zh-CN"/>
              </w:rPr>
            </w:pPr>
          </w:p>
        </w:tc>
      </w:tr>
    </w:tbl>
    <w:p w14:paraId="49C82E8B">
      <w:pPr>
        <w:rPr>
          <w:color w:val="auto"/>
          <w:highlight w:val="none"/>
        </w:rPr>
      </w:pPr>
    </w:p>
    <w:tbl>
      <w:tblPr>
        <w:tblStyle w:val="36"/>
        <w:tblW w:w="9008" w:type="dxa"/>
        <w:tblInd w:w="0" w:type="dxa"/>
        <w:tblLayout w:type="fixed"/>
        <w:tblCellMar>
          <w:top w:w="0" w:type="dxa"/>
          <w:left w:w="108" w:type="dxa"/>
          <w:bottom w:w="0" w:type="dxa"/>
          <w:right w:w="108" w:type="dxa"/>
        </w:tblCellMar>
      </w:tblPr>
      <w:tblGrid>
        <w:gridCol w:w="9008"/>
      </w:tblGrid>
      <w:tr w14:paraId="7E43C052">
        <w:tblPrEx>
          <w:tblCellMar>
            <w:top w:w="0" w:type="dxa"/>
            <w:left w:w="108" w:type="dxa"/>
            <w:bottom w:w="0" w:type="dxa"/>
            <w:right w:w="108" w:type="dxa"/>
          </w:tblCellMar>
        </w:tblPrEx>
        <w:trPr>
          <w:trHeight w:val="195" w:hRule="atLeast"/>
        </w:trPr>
        <w:tc>
          <w:tcPr>
            <w:tcW w:w="9008" w:type="dxa"/>
            <w:tcBorders>
              <w:top w:val="nil"/>
              <w:left w:val="nil"/>
              <w:bottom w:val="nil"/>
              <w:right w:val="nil"/>
            </w:tcBorders>
            <w:noWrap/>
            <w:vAlign w:val="bottom"/>
          </w:tcPr>
          <w:p w14:paraId="1FAE56C7">
            <w:pPr>
              <w:rPr>
                <w:color w:val="auto"/>
                <w:highlight w:val="none"/>
              </w:rPr>
            </w:pPr>
            <w:r>
              <w:rPr>
                <w:color w:val="auto"/>
                <w:highlight w:val="none"/>
              </w:rPr>
              <w:t xml:space="preserve">                                                                                             </w:t>
            </w:r>
          </w:p>
        </w:tc>
      </w:tr>
    </w:tbl>
    <w:p w14:paraId="0835F431">
      <w:pPr>
        <w:autoSpaceDE w:val="0"/>
        <w:autoSpaceDN w:val="0"/>
        <w:adjustRightInd w:val="0"/>
        <w:rPr>
          <w:color w:val="auto"/>
          <w:szCs w:val="21"/>
          <w:highlight w:val="none"/>
        </w:rPr>
      </w:pPr>
      <w:r>
        <w:rPr>
          <w:color w:val="auto"/>
          <w:highlight w:val="none"/>
        </w:rPr>
        <w:br w:type="page"/>
      </w:r>
      <w:r>
        <w:rPr>
          <w:rFonts w:hint="eastAsia"/>
          <w:color w:val="auto"/>
          <w:sz w:val="28"/>
          <w:szCs w:val="28"/>
          <w:highlight w:val="none"/>
        </w:rPr>
        <w:t>参考格式二</w:t>
      </w:r>
    </w:p>
    <w:p w14:paraId="18E5AC95">
      <w:pPr>
        <w:tabs>
          <w:tab w:val="left" w:pos="720"/>
        </w:tabs>
        <w:snapToGrid w:val="0"/>
        <w:spacing w:line="360" w:lineRule="auto"/>
        <w:jc w:val="center"/>
        <w:rPr>
          <w:b/>
          <w:color w:val="auto"/>
          <w:sz w:val="32"/>
          <w:szCs w:val="32"/>
          <w:highlight w:val="none"/>
        </w:rPr>
      </w:pPr>
      <w:r>
        <w:rPr>
          <w:rFonts w:hint="eastAsia"/>
          <w:b/>
          <w:color w:val="auto"/>
          <w:sz w:val="32"/>
          <w:szCs w:val="32"/>
          <w:highlight w:val="none"/>
        </w:rPr>
        <w:t>投标文件编制人员名单</w:t>
      </w:r>
    </w:p>
    <w:p w14:paraId="3E1A8D1F">
      <w:pPr>
        <w:tabs>
          <w:tab w:val="left" w:pos="720"/>
        </w:tabs>
        <w:snapToGrid w:val="0"/>
        <w:spacing w:line="360" w:lineRule="auto"/>
        <w:rPr>
          <w:color w:val="auto"/>
          <w:sz w:val="24"/>
          <w:szCs w:val="24"/>
          <w:highlight w:val="none"/>
        </w:rPr>
      </w:pPr>
    </w:p>
    <w:p w14:paraId="1BA4B28F">
      <w:pPr>
        <w:tabs>
          <w:tab w:val="left" w:pos="720"/>
        </w:tabs>
        <w:snapToGrid w:val="0"/>
        <w:spacing w:line="360" w:lineRule="auto"/>
        <w:jc w:val="center"/>
        <w:rPr>
          <w:color w:val="auto"/>
          <w:szCs w:val="21"/>
          <w:highlight w:val="none"/>
        </w:rPr>
      </w:pPr>
      <w:r>
        <w:rPr>
          <w:rFonts w:hint="eastAsia"/>
          <w:color w:val="auto"/>
          <w:szCs w:val="21"/>
          <w:highlight w:val="none"/>
        </w:rPr>
        <w:t>一、参与编制技术标投标文件人员名单</w:t>
      </w:r>
    </w:p>
    <w:tbl>
      <w:tblPr>
        <w:tblStyle w:val="3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231F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296" w:type="dxa"/>
            <w:gridSpan w:val="5"/>
            <w:tcBorders>
              <w:top w:val="single" w:color="auto" w:sz="4" w:space="0"/>
              <w:left w:val="single" w:color="auto" w:sz="4" w:space="0"/>
              <w:bottom w:val="single" w:color="auto" w:sz="4" w:space="0"/>
              <w:right w:val="single" w:color="auto" w:sz="4" w:space="0"/>
            </w:tcBorders>
            <w:vAlign w:val="center"/>
          </w:tcPr>
          <w:p w14:paraId="1862D8B1">
            <w:pPr>
              <w:tabs>
                <w:tab w:val="left" w:pos="720"/>
              </w:tabs>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投标人名称</w:t>
            </w:r>
          </w:p>
        </w:tc>
      </w:tr>
      <w:tr w14:paraId="6828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1197F51B">
            <w:pPr>
              <w:tabs>
                <w:tab w:val="left" w:pos="720"/>
              </w:tabs>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0DA2D09F">
            <w:pPr>
              <w:tabs>
                <w:tab w:val="left" w:pos="720"/>
              </w:tabs>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3A2A2600">
            <w:pPr>
              <w:tabs>
                <w:tab w:val="left" w:pos="720"/>
              </w:tabs>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7E00975A">
            <w:pPr>
              <w:tabs>
                <w:tab w:val="left" w:pos="720"/>
              </w:tabs>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77BB513A">
            <w:pPr>
              <w:tabs>
                <w:tab w:val="left" w:pos="720"/>
              </w:tabs>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本人签名栏</w:t>
            </w:r>
          </w:p>
        </w:tc>
      </w:tr>
      <w:tr w14:paraId="59D1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63F64E01">
            <w:pPr>
              <w:tabs>
                <w:tab w:val="left" w:pos="720"/>
              </w:tabs>
              <w:snapToGrid w:val="0"/>
              <w:spacing w:line="360" w:lineRule="auto"/>
              <w:jc w:val="center"/>
              <w:rPr>
                <w:rFonts w:hint="eastAsia"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7B1B74B2">
            <w:pPr>
              <w:tabs>
                <w:tab w:val="left" w:pos="720"/>
              </w:tabs>
              <w:snapToGrid w:val="0"/>
              <w:spacing w:line="360" w:lineRule="auto"/>
              <w:jc w:val="center"/>
              <w:rPr>
                <w:rFonts w:hint="eastAsia"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6758C5ED">
            <w:pPr>
              <w:tabs>
                <w:tab w:val="left" w:pos="720"/>
              </w:tabs>
              <w:snapToGrid w:val="0"/>
              <w:spacing w:line="360" w:lineRule="auto"/>
              <w:jc w:val="center"/>
              <w:rPr>
                <w:rFonts w:hint="eastAsia"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53ADF947">
            <w:pPr>
              <w:tabs>
                <w:tab w:val="left" w:pos="720"/>
              </w:tabs>
              <w:snapToGrid w:val="0"/>
              <w:spacing w:line="360" w:lineRule="auto"/>
              <w:jc w:val="center"/>
              <w:rPr>
                <w:rFonts w:hint="eastAsia"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5440ED03">
            <w:pPr>
              <w:tabs>
                <w:tab w:val="left" w:pos="720"/>
              </w:tabs>
              <w:snapToGrid w:val="0"/>
              <w:spacing w:line="360" w:lineRule="auto"/>
              <w:jc w:val="center"/>
              <w:rPr>
                <w:rFonts w:hint="eastAsia" w:ascii="宋体" w:hAnsi="宋体"/>
                <w:color w:val="auto"/>
                <w:szCs w:val="21"/>
                <w:highlight w:val="none"/>
              </w:rPr>
            </w:pPr>
          </w:p>
        </w:tc>
      </w:tr>
      <w:tr w14:paraId="138F4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5231A245">
            <w:pPr>
              <w:tabs>
                <w:tab w:val="left" w:pos="720"/>
              </w:tabs>
              <w:snapToGrid w:val="0"/>
              <w:spacing w:line="360" w:lineRule="auto"/>
              <w:jc w:val="center"/>
              <w:rPr>
                <w:rFonts w:hint="eastAsia"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552B098E">
            <w:pPr>
              <w:tabs>
                <w:tab w:val="left" w:pos="720"/>
              </w:tabs>
              <w:snapToGrid w:val="0"/>
              <w:spacing w:line="360" w:lineRule="auto"/>
              <w:jc w:val="center"/>
              <w:rPr>
                <w:rFonts w:hint="eastAsia"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6F1A7A47">
            <w:pPr>
              <w:tabs>
                <w:tab w:val="left" w:pos="720"/>
              </w:tabs>
              <w:snapToGrid w:val="0"/>
              <w:spacing w:line="360" w:lineRule="auto"/>
              <w:jc w:val="center"/>
              <w:rPr>
                <w:rFonts w:hint="eastAsia"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65D1F2FF">
            <w:pPr>
              <w:tabs>
                <w:tab w:val="left" w:pos="720"/>
              </w:tabs>
              <w:snapToGrid w:val="0"/>
              <w:spacing w:line="360" w:lineRule="auto"/>
              <w:jc w:val="center"/>
              <w:rPr>
                <w:rFonts w:hint="eastAsia"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42640E8F">
            <w:pPr>
              <w:tabs>
                <w:tab w:val="left" w:pos="720"/>
              </w:tabs>
              <w:snapToGrid w:val="0"/>
              <w:spacing w:line="360" w:lineRule="auto"/>
              <w:jc w:val="center"/>
              <w:rPr>
                <w:rFonts w:hint="eastAsia" w:ascii="宋体" w:hAnsi="宋体"/>
                <w:color w:val="auto"/>
                <w:szCs w:val="21"/>
                <w:highlight w:val="none"/>
              </w:rPr>
            </w:pPr>
          </w:p>
        </w:tc>
      </w:tr>
      <w:tr w14:paraId="01DE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7AFD235B">
            <w:pPr>
              <w:tabs>
                <w:tab w:val="left" w:pos="720"/>
              </w:tabs>
              <w:snapToGrid w:val="0"/>
              <w:spacing w:line="360" w:lineRule="auto"/>
              <w:jc w:val="center"/>
              <w:rPr>
                <w:rFonts w:hint="eastAsia"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5C426653">
            <w:pPr>
              <w:tabs>
                <w:tab w:val="left" w:pos="720"/>
              </w:tabs>
              <w:snapToGrid w:val="0"/>
              <w:spacing w:line="360" w:lineRule="auto"/>
              <w:jc w:val="center"/>
              <w:rPr>
                <w:rFonts w:hint="eastAsia"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7A5C5930">
            <w:pPr>
              <w:tabs>
                <w:tab w:val="left" w:pos="720"/>
              </w:tabs>
              <w:snapToGrid w:val="0"/>
              <w:spacing w:line="360" w:lineRule="auto"/>
              <w:jc w:val="center"/>
              <w:rPr>
                <w:rFonts w:hint="eastAsia"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43D67AE0">
            <w:pPr>
              <w:tabs>
                <w:tab w:val="left" w:pos="720"/>
              </w:tabs>
              <w:snapToGrid w:val="0"/>
              <w:spacing w:line="360" w:lineRule="auto"/>
              <w:jc w:val="center"/>
              <w:rPr>
                <w:rFonts w:hint="eastAsia"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1634C7B5">
            <w:pPr>
              <w:tabs>
                <w:tab w:val="left" w:pos="720"/>
              </w:tabs>
              <w:snapToGrid w:val="0"/>
              <w:spacing w:line="360" w:lineRule="auto"/>
              <w:jc w:val="center"/>
              <w:rPr>
                <w:rFonts w:hint="eastAsia" w:ascii="宋体" w:hAnsi="宋体"/>
                <w:color w:val="auto"/>
                <w:szCs w:val="21"/>
                <w:highlight w:val="none"/>
              </w:rPr>
            </w:pPr>
          </w:p>
        </w:tc>
      </w:tr>
      <w:tr w14:paraId="5E3E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4279A0C0">
            <w:pPr>
              <w:tabs>
                <w:tab w:val="left" w:pos="720"/>
              </w:tabs>
              <w:snapToGrid w:val="0"/>
              <w:spacing w:line="360" w:lineRule="auto"/>
              <w:jc w:val="center"/>
              <w:rPr>
                <w:rFonts w:hint="eastAsia"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4F18C210">
            <w:pPr>
              <w:tabs>
                <w:tab w:val="left" w:pos="720"/>
              </w:tabs>
              <w:snapToGrid w:val="0"/>
              <w:spacing w:line="360" w:lineRule="auto"/>
              <w:jc w:val="center"/>
              <w:rPr>
                <w:rFonts w:hint="eastAsia"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03D9C844">
            <w:pPr>
              <w:tabs>
                <w:tab w:val="left" w:pos="720"/>
              </w:tabs>
              <w:snapToGrid w:val="0"/>
              <w:spacing w:line="360" w:lineRule="auto"/>
              <w:jc w:val="center"/>
              <w:rPr>
                <w:rFonts w:hint="eastAsia"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54E4941F">
            <w:pPr>
              <w:tabs>
                <w:tab w:val="left" w:pos="720"/>
              </w:tabs>
              <w:snapToGrid w:val="0"/>
              <w:spacing w:line="360" w:lineRule="auto"/>
              <w:jc w:val="center"/>
              <w:rPr>
                <w:rFonts w:hint="eastAsia"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601344AC">
            <w:pPr>
              <w:tabs>
                <w:tab w:val="left" w:pos="720"/>
              </w:tabs>
              <w:snapToGrid w:val="0"/>
              <w:spacing w:line="360" w:lineRule="auto"/>
              <w:jc w:val="center"/>
              <w:rPr>
                <w:rFonts w:hint="eastAsia" w:ascii="宋体" w:hAnsi="宋体"/>
                <w:color w:val="auto"/>
                <w:szCs w:val="21"/>
                <w:highlight w:val="none"/>
              </w:rPr>
            </w:pPr>
          </w:p>
        </w:tc>
      </w:tr>
      <w:tr w14:paraId="0C82E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1BAB1DFF">
            <w:pPr>
              <w:tabs>
                <w:tab w:val="left" w:pos="720"/>
              </w:tabs>
              <w:snapToGrid w:val="0"/>
              <w:spacing w:line="360" w:lineRule="auto"/>
              <w:jc w:val="center"/>
              <w:rPr>
                <w:rFonts w:hint="eastAsia"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0EAA6F5F">
            <w:pPr>
              <w:tabs>
                <w:tab w:val="left" w:pos="720"/>
              </w:tabs>
              <w:snapToGrid w:val="0"/>
              <w:spacing w:line="360" w:lineRule="auto"/>
              <w:jc w:val="center"/>
              <w:rPr>
                <w:rFonts w:hint="eastAsia"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3B7F37AD">
            <w:pPr>
              <w:tabs>
                <w:tab w:val="left" w:pos="720"/>
              </w:tabs>
              <w:snapToGrid w:val="0"/>
              <w:spacing w:line="360" w:lineRule="auto"/>
              <w:jc w:val="center"/>
              <w:rPr>
                <w:rFonts w:hint="eastAsia"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1A87A91D">
            <w:pPr>
              <w:tabs>
                <w:tab w:val="left" w:pos="720"/>
              </w:tabs>
              <w:snapToGrid w:val="0"/>
              <w:spacing w:line="360" w:lineRule="auto"/>
              <w:jc w:val="center"/>
              <w:rPr>
                <w:rFonts w:hint="eastAsia"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616F7907">
            <w:pPr>
              <w:tabs>
                <w:tab w:val="left" w:pos="720"/>
              </w:tabs>
              <w:snapToGrid w:val="0"/>
              <w:spacing w:line="360" w:lineRule="auto"/>
              <w:jc w:val="center"/>
              <w:rPr>
                <w:rFonts w:hint="eastAsia" w:ascii="宋体" w:hAnsi="宋体"/>
                <w:color w:val="auto"/>
                <w:szCs w:val="21"/>
                <w:highlight w:val="none"/>
              </w:rPr>
            </w:pPr>
          </w:p>
        </w:tc>
      </w:tr>
      <w:tr w14:paraId="748E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146EC189">
            <w:pPr>
              <w:tabs>
                <w:tab w:val="left" w:pos="720"/>
              </w:tabs>
              <w:snapToGrid w:val="0"/>
              <w:spacing w:line="360" w:lineRule="auto"/>
              <w:jc w:val="center"/>
              <w:rPr>
                <w:rFonts w:hint="eastAsia"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78034E5A">
            <w:pPr>
              <w:tabs>
                <w:tab w:val="left" w:pos="720"/>
              </w:tabs>
              <w:snapToGrid w:val="0"/>
              <w:spacing w:line="360" w:lineRule="auto"/>
              <w:jc w:val="center"/>
              <w:rPr>
                <w:rFonts w:hint="eastAsia"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31E1CBA1">
            <w:pPr>
              <w:tabs>
                <w:tab w:val="left" w:pos="720"/>
              </w:tabs>
              <w:snapToGrid w:val="0"/>
              <w:spacing w:line="360" w:lineRule="auto"/>
              <w:jc w:val="center"/>
              <w:rPr>
                <w:rFonts w:hint="eastAsia"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3E4DBFEC">
            <w:pPr>
              <w:tabs>
                <w:tab w:val="left" w:pos="720"/>
              </w:tabs>
              <w:snapToGrid w:val="0"/>
              <w:spacing w:line="360" w:lineRule="auto"/>
              <w:jc w:val="center"/>
              <w:rPr>
                <w:rFonts w:hint="eastAsia"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47C891CE">
            <w:pPr>
              <w:tabs>
                <w:tab w:val="left" w:pos="720"/>
              </w:tabs>
              <w:snapToGrid w:val="0"/>
              <w:spacing w:line="360" w:lineRule="auto"/>
              <w:jc w:val="center"/>
              <w:rPr>
                <w:rFonts w:hint="eastAsia" w:ascii="宋体" w:hAnsi="宋体"/>
                <w:color w:val="auto"/>
                <w:szCs w:val="21"/>
                <w:highlight w:val="none"/>
              </w:rPr>
            </w:pPr>
          </w:p>
        </w:tc>
      </w:tr>
      <w:tr w14:paraId="2B6E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18F30C16">
            <w:pPr>
              <w:tabs>
                <w:tab w:val="left" w:pos="720"/>
              </w:tabs>
              <w:snapToGrid w:val="0"/>
              <w:spacing w:line="360" w:lineRule="auto"/>
              <w:jc w:val="center"/>
              <w:rPr>
                <w:rFonts w:hint="eastAsia"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3F2370BF">
            <w:pPr>
              <w:tabs>
                <w:tab w:val="left" w:pos="720"/>
              </w:tabs>
              <w:snapToGrid w:val="0"/>
              <w:spacing w:line="360" w:lineRule="auto"/>
              <w:jc w:val="center"/>
              <w:rPr>
                <w:rFonts w:hint="eastAsia"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4DA93789">
            <w:pPr>
              <w:tabs>
                <w:tab w:val="left" w:pos="720"/>
              </w:tabs>
              <w:snapToGrid w:val="0"/>
              <w:spacing w:line="360" w:lineRule="auto"/>
              <w:jc w:val="center"/>
              <w:rPr>
                <w:rFonts w:hint="eastAsia"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6FC46F0A">
            <w:pPr>
              <w:tabs>
                <w:tab w:val="left" w:pos="720"/>
              </w:tabs>
              <w:snapToGrid w:val="0"/>
              <w:spacing w:line="360" w:lineRule="auto"/>
              <w:jc w:val="center"/>
              <w:rPr>
                <w:rFonts w:hint="eastAsia"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5DE4BE87">
            <w:pPr>
              <w:tabs>
                <w:tab w:val="left" w:pos="720"/>
              </w:tabs>
              <w:snapToGrid w:val="0"/>
              <w:spacing w:line="360" w:lineRule="auto"/>
              <w:jc w:val="center"/>
              <w:rPr>
                <w:rFonts w:hint="eastAsia" w:ascii="宋体" w:hAnsi="宋体"/>
                <w:color w:val="auto"/>
                <w:szCs w:val="21"/>
                <w:highlight w:val="none"/>
              </w:rPr>
            </w:pPr>
          </w:p>
        </w:tc>
      </w:tr>
      <w:tr w14:paraId="662D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3D45FC87">
            <w:pPr>
              <w:tabs>
                <w:tab w:val="left" w:pos="720"/>
              </w:tabs>
              <w:snapToGrid w:val="0"/>
              <w:spacing w:line="360" w:lineRule="auto"/>
              <w:jc w:val="center"/>
              <w:rPr>
                <w:rFonts w:hint="eastAsia"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40F5A2D5">
            <w:pPr>
              <w:tabs>
                <w:tab w:val="left" w:pos="720"/>
              </w:tabs>
              <w:snapToGrid w:val="0"/>
              <w:spacing w:line="360" w:lineRule="auto"/>
              <w:jc w:val="center"/>
              <w:rPr>
                <w:rFonts w:hint="eastAsia"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2A748C6A">
            <w:pPr>
              <w:tabs>
                <w:tab w:val="left" w:pos="720"/>
              </w:tabs>
              <w:snapToGrid w:val="0"/>
              <w:spacing w:line="360" w:lineRule="auto"/>
              <w:jc w:val="center"/>
              <w:rPr>
                <w:rFonts w:hint="eastAsia"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543B797A">
            <w:pPr>
              <w:tabs>
                <w:tab w:val="left" w:pos="720"/>
              </w:tabs>
              <w:snapToGrid w:val="0"/>
              <w:spacing w:line="360" w:lineRule="auto"/>
              <w:jc w:val="center"/>
              <w:rPr>
                <w:rFonts w:hint="eastAsia"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08B0154A">
            <w:pPr>
              <w:tabs>
                <w:tab w:val="left" w:pos="720"/>
              </w:tabs>
              <w:snapToGrid w:val="0"/>
              <w:spacing w:line="360" w:lineRule="auto"/>
              <w:jc w:val="center"/>
              <w:rPr>
                <w:rFonts w:hint="eastAsia" w:ascii="宋体" w:hAnsi="宋体"/>
                <w:color w:val="auto"/>
                <w:szCs w:val="21"/>
                <w:highlight w:val="none"/>
              </w:rPr>
            </w:pPr>
          </w:p>
        </w:tc>
      </w:tr>
    </w:tbl>
    <w:p w14:paraId="78E6A9CC">
      <w:pPr>
        <w:tabs>
          <w:tab w:val="left" w:pos="720"/>
        </w:tabs>
        <w:snapToGrid w:val="0"/>
        <w:spacing w:line="360" w:lineRule="auto"/>
        <w:rPr>
          <w:color w:val="auto"/>
          <w:sz w:val="24"/>
          <w:szCs w:val="24"/>
          <w:highlight w:val="none"/>
        </w:rPr>
      </w:pPr>
    </w:p>
    <w:p w14:paraId="440CE255">
      <w:pPr>
        <w:tabs>
          <w:tab w:val="left" w:pos="720"/>
        </w:tabs>
        <w:snapToGrid w:val="0"/>
        <w:spacing w:line="360" w:lineRule="auto"/>
        <w:rPr>
          <w:color w:val="auto"/>
          <w:sz w:val="24"/>
          <w:szCs w:val="24"/>
          <w:highlight w:val="none"/>
        </w:rPr>
      </w:pPr>
    </w:p>
    <w:p w14:paraId="3D53AE05">
      <w:pPr>
        <w:tabs>
          <w:tab w:val="left" w:pos="720"/>
        </w:tabs>
        <w:snapToGrid w:val="0"/>
        <w:spacing w:line="360" w:lineRule="auto"/>
        <w:jc w:val="center"/>
        <w:rPr>
          <w:color w:val="auto"/>
          <w:szCs w:val="21"/>
          <w:highlight w:val="none"/>
        </w:rPr>
      </w:pPr>
      <w:r>
        <w:rPr>
          <w:rFonts w:hint="eastAsia"/>
          <w:color w:val="auto"/>
          <w:szCs w:val="21"/>
          <w:highlight w:val="none"/>
        </w:rPr>
        <w:t>二、参与编制经济标投标文件人员名单</w:t>
      </w:r>
    </w:p>
    <w:tbl>
      <w:tblPr>
        <w:tblStyle w:val="3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3563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296" w:type="dxa"/>
            <w:gridSpan w:val="5"/>
            <w:tcBorders>
              <w:top w:val="single" w:color="auto" w:sz="4" w:space="0"/>
              <w:left w:val="single" w:color="auto" w:sz="4" w:space="0"/>
              <w:bottom w:val="single" w:color="auto" w:sz="4" w:space="0"/>
              <w:right w:val="single" w:color="auto" w:sz="4" w:space="0"/>
            </w:tcBorders>
            <w:vAlign w:val="center"/>
          </w:tcPr>
          <w:p w14:paraId="4E47D92C">
            <w:pPr>
              <w:tabs>
                <w:tab w:val="left" w:pos="720"/>
              </w:tabs>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投标人名称</w:t>
            </w:r>
          </w:p>
        </w:tc>
      </w:tr>
      <w:tr w14:paraId="67AF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3BCC27E5">
            <w:pPr>
              <w:tabs>
                <w:tab w:val="left" w:pos="720"/>
              </w:tabs>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222353A3">
            <w:pPr>
              <w:tabs>
                <w:tab w:val="left" w:pos="720"/>
              </w:tabs>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404C46B8">
            <w:pPr>
              <w:tabs>
                <w:tab w:val="left" w:pos="720"/>
              </w:tabs>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4941C4A7">
            <w:pPr>
              <w:tabs>
                <w:tab w:val="left" w:pos="720"/>
              </w:tabs>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7B222344">
            <w:pPr>
              <w:tabs>
                <w:tab w:val="left" w:pos="720"/>
              </w:tabs>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本人签名栏</w:t>
            </w:r>
          </w:p>
        </w:tc>
      </w:tr>
      <w:tr w14:paraId="16864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5FE81D7A">
            <w:pPr>
              <w:tabs>
                <w:tab w:val="left" w:pos="720"/>
              </w:tabs>
              <w:snapToGrid w:val="0"/>
              <w:spacing w:line="360" w:lineRule="auto"/>
              <w:jc w:val="center"/>
              <w:rPr>
                <w:rFonts w:hint="eastAsia"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66BFC9F4">
            <w:pPr>
              <w:tabs>
                <w:tab w:val="left" w:pos="720"/>
              </w:tabs>
              <w:snapToGrid w:val="0"/>
              <w:spacing w:line="360" w:lineRule="auto"/>
              <w:jc w:val="center"/>
              <w:rPr>
                <w:rFonts w:hint="eastAsia"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66B38069">
            <w:pPr>
              <w:tabs>
                <w:tab w:val="left" w:pos="720"/>
              </w:tabs>
              <w:snapToGrid w:val="0"/>
              <w:spacing w:line="360" w:lineRule="auto"/>
              <w:jc w:val="center"/>
              <w:rPr>
                <w:rFonts w:hint="eastAsia"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0F523622">
            <w:pPr>
              <w:tabs>
                <w:tab w:val="left" w:pos="720"/>
              </w:tabs>
              <w:snapToGrid w:val="0"/>
              <w:spacing w:line="360" w:lineRule="auto"/>
              <w:jc w:val="center"/>
              <w:rPr>
                <w:rFonts w:hint="eastAsia"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5FF35EBC">
            <w:pPr>
              <w:tabs>
                <w:tab w:val="left" w:pos="720"/>
              </w:tabs>
              <w:snapToGrid w:val="0"/>
              <w:spacing w:line="360" w:lineRule="auto"/>
              <w:jc w:val="center"/>
              <w:rPr>
                <w:rFonts w:hint="eastAsia" w:ascii="宋体" w:hAnsi="宋体"/>
                <w:color w:val="auto"/>
                <w:szCs w:val="21"/>
                <w:highlight w:val="none"/>
              </w:rPr>
            </w:pPr>
          </w:p>
        </w:tc>
      </w:tr>
      <w:tr w14:paraId="4F80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398AF082">
            <w:pPr>
              <w:tabs>
                <w:tab w:val="left" w:pos="720"/>
              </w:tabs>
              <w:snapToGrid w:val="0"/>
              <w:spacing w:line="360" w:lineRule="auto"/>
              <w:jc w:val="center"/>
              <w:rPr>
                <w:rFonts w:hint="eastAsia"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22398EBC">
            <w:pPr>
              <w:tabs>
                <w:tab w:val="left" w:pos="720"/>
              </w:tabs>
              <w:snapToGrid w:val="0"/>
              <w:spacing w:line="360" w:lineRule="auto"/>
              <w:jc w:val="center"/>
              <w:rPr>
                <w:rFonts w:hint="eastAsia"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15257E2B">
            <w:pPr>
              <w:tabs>
                <w:tab w:val="left" w:pos="720"/>
              </w:tabs>
              <w:snapToGrid w:val="0"/>
              <w:spacing w:line="360" w:lineRule="auto"/>
              <w:jc w:val="center"/>
              <w:rPr>
                <w:rFonts w:hint="eastAsia"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5A65F01E">
            <w:pPr>
              <w:tabs>
                <w:tab w:val="left" w:pos="720"/>
              </w:tabs>
              <w:snapToGrid w:val="0"/>
              <w:spacing w:line="360" w:lineRule="auto"/>
              <w:jc w:val="center"/>
              <w:rPr>
                <w:rFonts w:hint="eastAsia"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13B98718">
            <w:pPr>
              <w:tabs>
                <w:tab w:val="left" w:pos="720"/>
              </w:tabs>
              <w:snapToGrid w:val="0"/>
              <w:spacing w:line="360" w:lineRule="auto"/>
              <w:jc w:val="center"/>
              <w:rPr>
                <w:rFonts w:hint="eastAsia" w:ascii="宋体" w:hAnsi="宋体"/>
                <w:color w:val="auto"/>
                <w:szCs w:val="21"/>
                <w:highlight w:val="none"/>
              </w:rPr>
            </w:pPr>
          </w:p>
        </w:tc>
      </w:tr>
      <w:tr w14:paraId="57CB2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086A58AD">
            <w:pPr>
              <w:tabs>
                <w:tab w:val="left" w:pos="720"/>
              </w:tabs>
              <w:snapToGrid w:val="0"/>
              <w:spacing w:line="360" w:lineRule="auto"/>
              <w:jc w:val="center"/>
              <w:rPr>
                <w:rFonts w:hint="eastAsia"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72D8AAD4">
            <w:pPr>
              <w:tabs>
                <w:tab w:val="left" w:pos="720"/>
              </w:tabs>
              <w:snapToGrid w:val="0"/>
              <w:spacing w:line="360" w:lineRule="auto"/>
              <w:jc w:val="center"/>
              <w:rPr>
                <w:rFonts w:hint="eastAsia"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7D1E79E1">
            <w:pPr>
              <w:tabs>
                <w:tab w:val="left" w:pos="720"/>
              </w:tabs>
              <w:snapToGrid w:val="0"/>
              <w:spacing w:line="360" w:lineRule="auto"/>
              <w:jc w:val="center"/>
              <w:rPr>
                <w:rFonts w:hint="eastAsia"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1536981D">
            <w:pPr>
              <w:tabs>
                <w:tab w:val="left" w:pos="720"/>
              </w:tabs>
              <w:snapToGrid w:val="0"/>
              <w:spacing w:line="360" w:lineRule="auto"/>
              <w:jc w:val="center"/>
              <w:rPr>
                <w:rFonts w:hint="eastAsia"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6A764F3F">
            <w:pPr>
              <w:tabs>
                <w:tab w:val="left" w:pos="720"/>
              </w:tabs>
              <w:snapToGrid w:val="0"/>
              <w:spacing w:line="360" w:lineRule="auto"/>
              <w:jc w:val="center"/>
              <w:rPr>
                <w:rFonts w:hint="eastAsia" w:ascii="宋体" w:hAnsi="宋体"/>
                <w:color w:val="auto"/>
                <w:szCs w:val="21"/>
                <w:highlight w:val="none"/>
              </w:rPr>
            </w:pPr>
          </w:p>
        </w:tc>
      </w:tr>
      <w:tr w14:paraId="7A966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276535D5">
            <w:pPr>
              <w:tabs>
                <w:tab w:val="left" w:pos="720"/>
              </w:tabs>
              <w:snapToGrid w:val="0"/>
              <w:spacing w:line="360" w:lineRule="auto"/>
              <w:jc w:val="center"/>
              <w:rPr>
                <w:rFonts w:hint="eastAsia"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70CEE612">
            <w:pPr>
              <w:tabs>
                <w:tab w:val="left" w:pos="720"/>
              </w:tabs>
              <w:snapToGrid w:val="0"/>
              <w:spacing w:line="360" w:lineRule="auto"/>
              <w:jc w:val="center"/>
              <w:rPr>
                <w:rFonts w:hint="eastAsia"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4C5D3B7F">
            <w:pPr>
              <w:tabs>
                <w:tab w:val="left" w:pos="720"/>
              </w:tabs>
              <w:snapToGrid w:val="0"/>
              <w:spacing w:line="360" w:lineRule="auto"/>
              <w:jc w:val="center"/>
              <w:rPr>
                <w:rFonts w:hint="eastAsia"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2FC053D3">
            <w:pPr>
              <w:tabs>
                <w:tab w:val="left" w:pos="720"/>
              </w:tabs>
              <w:snapToGrid w:val="0"/>
              <w:spacing w:line="360" w:lineRule="auto"/>
              <w:jc w:val="center"/>
              <w:rPr>
                <w:rFonts w:hint="eastAsia"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005C9395">
            <w:pPr>
              <w:tabs>
                <w:tab w:val="left" w:pos="720"/>
              </w:tabs>
              <w:snapToGrid w:val="0"/>
              <w:spacing w:line="360" w:lineRule="auto"/>
              <w:jc w:val="center"/>
              <w:rPr>
                <w:rFonts w:hint="eastAsia" w:ascii="宋体" w:hAnsi="宋体"/>
                <w:color w:val="auto"/>
                <w:szCs w:val="21"/>
                <w:highlight w:val="none"/>
              </w:rPr>
            </w:pPr>
          </w:p>
        </w:tc>
      </w:tr>
      <w:tr w14:paraId="40F29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77940830">
            <w:pPr>
              <w:tabs>
                <w:tab w:val="left" w:pos="720"/>
              </w:tabs>
              <w:snapToGrid w:val="0"/>
              <w:spacing w:line="360" w:lineRule="auto"/>
              <w:jc w:val="center"/>
              <w:rPr>
                <w:rFonts w:hint="eastAsia"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050B0736">
            <w:pPr>
              <w:tabs>
                <w:tab w:val="left" w:pos="720"/>
              </w:tabs>
              <w:snapToGrid w:val="0"/>
              <w:spacing w:line="360" w:lineRule="auto"/>
              <w:jc w:val="center"/>
              <w:rPr>
                <w:rFonts w:hint="eastAsia"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13205A24">
            <w:pPr>
              <w:tabs>
                <w:tab w:val="left" w:pos="720"/>
              </w:tabs>
              <w:snapToGrid w:val="0"/>
              <w:spacing w:line="360" w:lineRule="auto"/>
              <w:jc w:val="center"/>
              <w:rPr>
                <w:rFonts w:hint="eastAsia"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5B2EE168">
            <w:pPr>
              <w:tabs>
                <w:tab w:val="left" w:pos="720"/>
              </w:tabs>
              <w:snapToGrid w:val="0"/>
              <w:spacing w:line="360" w:lineRule="auto"/>
              <w:jc w:val="center"/>
              <w:rPr>
                <w:rFonts w:hint="eastAsia"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08A33D1">
            <w:pPr>
              <w:tabs>
                <w:tab w:val="left" w:pos="720"/>
              </w:tabs>
              <w:snapToGrid w:val="0"/>
              <w:spacing w:line="360" w:lineRule="auto"/>
              <w:jc w:val="center"/>
              <w:rPr>
                <w:rFonts w:hint="eastAsia" w:ascii="宋体" w:hAnsi="宋体"/>
                <w:color w:val="auto"/>
                <w:szCs w:val="21"/>
                <w:highlight w:val="none"/>
              </w:rPr>
            </w:pPr>
          </w:p>
        </w:tc>
      </w:tr>
      <w:tr w14:paraId="656BC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354BAE38">
            <w:pPr>
              <w:tabs>
                <w:tab w:val="left" w:pos="720"/>
              </w:tabs>
              <w:snapToGrid w:val="0"/>
              <w:spacing w:line="360" w:lineRule="auto"/>
              <w:jc w:val="center"/>
              <w:rPr>
                <w:rFonts w:hint="eastAsia"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3367662C">
            <w:pPr>
              <w:tabs>
                <w:tab w:val="left" w:pos="720"/>
              </w:tabs>
              <w:snapToGrid w:val="0"/>
              <w:spacing w:line="360" w:lineRule="auto"/>
              <w:jc w:val="center"/>
              <w:rPr>
                <w:rFonts w:hint="eastAsia"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20C778EF">
            <w:pPr>
              <w:tabs>
                <w:tab w:val="left" w:pos="720"/>
              </w:tabs>
              <w:snapToGrid w:val="0"/>
              <w:spacing w:line="360" w:lineRule="auto"/>
              <w:jc w:val="center"/>
              <w:rPr>
                <w:rFonts w:hint="eastAsia"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1F771F39">
            <w:pPr>
              <w:tabs>
                <w:tab w:val="left" w:pos="720"/>
              </w:tabs>
              <w:snapToGrid w:val="0"/>
              <w:spacing w:line="360" w:lineRule="auto"/>
              <w:jc w:val="center"/>
              <w:rPr>
                <w:rFonts w:hint="eastAsia"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7F5A29A">
            <w:pPr>
              <w:tabs>
                <w:tab w:val="left" w:pos="720"/>
              </w:tabs>
              <w:snapToGrid w:val="0"/>
              <w:spacing w:line="360" w:lineRule="auto"/>
              <w:jc w:val="center"/>
              <w:rPr>
                <w:rFonts w:hint="eastAsia" w:ascii="宋体" w:hAnsi="宋体"/>
                <w:color w:val="auto"/>
                <w:szCs w:val="21"/>
                <w:highlight w:val="none"/>
              </w:rPr>
            </w:pPr>
          </w:p>
        </w:tc>
      </w:tr>
      <w:tr w14:paraId="1E592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71B42902">
            <w:pPr>
              <w:tabs>
                <w:tab w:val="left" w:pos="720"/>
              </w:tabs>
              <w:snapToGrid w:val="0"/>
              <w:spacing w:line="360" w:lineRule="auto"/>
              <w:jc w:val="center"/>
              <w:rPr>
                <w:rFonts w:hint="eastAsia"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279633F4">
            <w:pPr>
              <w:tabs>
                <w:tab w:val="left" w:pos="720"/>
              </w:tabs>
              <w:snapToGrid w:val="0"/>
              <w:spacing w:line="360" w:lineRule="auto"/>
              <w:jc w:val="center"/>
              <w:rPr>
                <w:rFonts w:hint="eastAsia"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4853E5CA">
            <w:pPr>
              <w:tabs>
                <w:tab w:val="left" w:pos="720"/>
              </w:tabs>
              <w:snapToGrid w:val="0"/>
              <w:spacing w:line="360" w:lineRule="auto"/>
              <w:jc w:val="center"/>
              <w:rPr>
                <w:rFonts w:hint="eastAsia"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55A36187">
            <w:pPr>
              <w:tabs>
                <w:tab w:val="left" w:pos="720"/>
              </w:tabs>
              <w:snapToGrid w:val="0"/>
              <w:spacing w:line="360" w:lineRule="auto"/>
              <w:jc w:val="center"/>
              <w:rPr>
                <w:rFonts w:hint="eastAsia"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77E16E80">
            <w:pPr>
              <w:tabs>
                <w:tab w:val="left" w:pos="720"/>
              </w:tabs>
              <w:snapToGrid w:val="0"/>
              <w:spacing w:line="360" w:lineRule="auto"/>
              <w:jc w:val="center"/>
              <w:rPr>
                <w:rFonts w:hint="eastAsia" w:ascii="宋体" w:hAnsi="宋体"/>
                <w:color w:val="auto"/>
                <w:szCs w:val="21"/>
                <w:highlight w:val="none"/>
              </w:rPr>
            </w:pPr>
          </w:p>
        </w:tc>
      </w:tr>
      <w:tr w14:paraId="5C14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5DE1B38D">
            <w:pPr>
              <w:tabs>
                <w:tab w:val="left" w:pos="720"/>
              </w:tabs>
              <w:snapToGrid w:val="0"/>
              <w:spacing w:line="360" w:lineRule="auto"/>
              <w:jc w:val="center"/>
              <w:rPr>
                <w:rFonts w:hint="eastAsia"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36B21279">
            <w:pPr>
              <w:tabs>
                <w:tab w:val="left" w:pos="720"/>
              </w:tabs>
              <w:snapToGrid w:val="0"/>
              <w:spacing w:line="360" w:lineRule="auto"/>
              <w:jc w:val="center"/>
              <w:rPr>
                <w:rFonts w:hint="eastAsia"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687B7529">
            <w:pPr>
              <w:tabs>
                <w:tab w:val="left" w:pos="720"/>
              </w:tabs>
              <w:snapToGrid w:val="0"/>
              <w:spacing w:line="360" w:lineRule="auto"/>
              <w:jc w:val="center"/>
              <w:rPr>
                <w:rFonts w:hint="eastAsia"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634A917D">
            <w:pPr>
              <w:tabs>
                <w:tab w:val="left" w:pos="720"/>
              </w:tabs>
              <w:snapToGrid w:val="0"/>
              <w:spacing w:line="360" w:lineRule="auto"/>
              <w:jc w:val="center"/>
              <w:rPr>
                <w:rFonts w:hint="eastAsia"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EBC6252">
            <w:pPr>
              <w:tabs>
                <w:tab w:val="left" w:pos="720"/>
              </w:tabs>
              <w:snapToGrid w:val="0"/>
              <w:spacing w:line="360" w:lineRule="auto"/>
              <w:jc w:val="center"/>
              <w:rPr>
                <w:rFonts w:hint="eastAsia" w:ascii="宋体" w:hAnsi="宋体"/>
                <w:color w:val="auto"/>
                <w:szCs w:val="21"/>
                <w:highlight w:val="none"/>
              </w:rPr>
            </w:pPr>
          </w:p>
        </w:tc>
      </w:tr>
    </w:tbl>
    <w:p w14:paraId="2006DA54">
      <w:pPr>
        <w:pStyle w:val="5"/>
        <w:spacing w:after="0" w:line="360" w:lineRule="auto"/>
        <w:ind w:left="-2" w:leftChars="-1" w:firstLine="367" w:firstLineChars="175"/>
        <w:jc w:val="left"/>
        <w:rPr>
          <w:color w:val="auto"/>
          <w:szCs w:val="21"/>
          <w:highlight w:val="none"/>
        </w:rPr>
      </w:pPr>
      <w:r>
        <w:rPr>
          <w:rFonts w:hint="eastAsia"/>
          <w:color w:val="auto"/>
          <w:szCs w:val="21"/>
          <w:highlight w:val="none"/>
        </w:rPr>
        <w:t>注：参与编制投标文件所有人员名单应包括如编制技术投标方案、编制各种专业工程量清单投标报价、负责清样校对、负责打印及复印等所有人员在内的人员名单。</w:t>
      </w:r>
    </w:p>
    <w:p w14:paraId="41F29DA2">
      <w:pPr>
        <w:autoSpaceDE w:val="0"/>
        <w:autoSpaceDN w:val="0"/>
        <w:adjustRightInd w:val="0"/>
        <w:rPr>
          <w:color w:val="auto"/>
          <w:sz w:val="28"/>
          <w:szCs w:val="28"/>
          <w:highlight w:val="none"/>
        </w:rPr>
      </w:pPr>
    </w:p>
    <w:p w14:paraId="139636E2">
      <w:pPr>
        <w:autoSpaceDE w:val="0"/>
        <w:autoSpaceDN w:val="0"/>
        <w:adjustRightInd w:val="0"/>
        <w:rPr>
          <w:color w:val="auto"/>
          <w:sz w:val="28"/>
          <w:szCs w:val="28"/>
          <w:highlight w:val="none"/>
        </w:rPr>
      </w:pPr>
      <w:r>
        <w:rPr>
          <w:rFonts w:hint="eastAsia"/>
          <w:color w:val="auto"/>
          <w:sz w:val="28"/>
          <w:szCs w:val="28"/>
          <w:highlight w:val="none"/>
        </w:rPr>
        <w:br w:type="page"/>
      </w:r>
    </w:p>
    <w:p w14:paraId="4817F13F">
      <w:pPr>
        <w:autoSpaceDE w:val="0"/>
        <w:autoSpaceDN w:val="0"/>
        <w:rPr>
          <w:rFonts w:hint="eastAsia" w:ascii="Calibri" w:hAnsi="Calibri" w:eastAsia="宋体"/>
          <w:b w:val="0"/>
          <w:bCs w:val="0"/>
          <w:color w:val="auto"/>
          <w:sz w:val="28"/>
          <w:szCs w:val="28"/>
          <w:highlight w:val="none"/>
        </w:rPr>
      </w:pPr>
      <w:r>
        <w:rPr>
          <w:rFonts w:hint="eastAsia" w:ascii="Calibri" w:hAnsi="Calibri" w:eastAsia="宋体"/>
          <w:b w:val="0"/>
          <w:bCs w:val="0"/>
          <w:color w:val="auto"/>
          <w:sz w:val="28"/>
          <w:szCs w:val="28"/>
          <w:highlight w:val="none"/>
        </w:rPr>
        <w:t>参考格式三</w:t>
      </w:r>
    </w:p>
    <w:p w14:paraId="5C6B78E4">
      <w:pPr>
        <w:pStyle w:val="121"/>
        <w:spacing w:before="120" w:beforeLines="50" w:after="156" w:line="240" w:lineRule="auto"/>
        <w:rPr>
          <w:rFonts w:ascii="Times New Roman" w:hAnsi="Times New Roman" w:eastAsia="宋体"/>
          <w:b w:val="0"/>
          <w:bCs/>
          <w:color w:val="auto"/>
          <w:sz w:val="32"/>
          <w:szCs w:val="32"/>
          <w:highlight w:val="none"/>
        </w:rPr>
      </w:pPr>
      <w:r>
        <w:rPr>
          <w:rFonts w:ascii="Times New Roman" w:hAnsi="Times New Roman" w:eastAsia="宋体"/>
          <w:b w:val="0"/>
          <w:bCs/>
          <w:color w:val="auto"/>
          <w:sz w:val="32"/>
          <w:szCs w:val="32"/>
          <w:highlight w:val="none"/>
        </w:rPr>
        <w:t>危险性较大的分部分项工程清单及</w:t>
      </w:r>
    </w:p>
    <w:p w14:paraId="3D2DBF32">
      <w:pPr>
        <w:pStyle w:val="121"/>
        <w:spacing w:before="120" w:beforeLines="50" w:after="156" w:line="240" w:lineRule="auto"/>
        <w:rPr>
          <w:rFonts w:ascii="Times New Roman" w:hAnsi="Times New Roman" w:eastAsia="宋体"/>
          <w:b w:val="0"/>
          <w:bCs/>
          <w:color w:val="auto"/>
          <w:sz w:val="32"/>
          <w:szCs w:val="32"/>
          <w:highlight w:val="none"/>
        </w:rPr>
      </w:pPr>
      <w:r>
        <w:rPr>
          <w:rFonts w:ascii="Times New Roman" w:hAnsi="Times New Roman" w:eastAsia="宋体"/>
          <w:b w:val="0"/>
          <w:bCs/>
          <w:color w:val="auto"/>
          <w:sz w:val="32"/>
          <w:szCs w:val="32"/>
          <w:highlight w:val="none"/>
        </w:rPr>
        <w:t>超过一定规模的危险性较大的分部分项工程清单</w:t>
      </w:r>
    </w:p>
    <w:p w14:paraId="5CDEB560">
      <w:pPr>
        <w:pStyle w:val="110"/>
        <w:numPr>
          <w:ilvl w:val="0"/>
          <w:numId w:val="10"/>
        </w:numPr>
        <w:autoSpaceDE w:val="0"/>
        <w:autoSpaceDN w:val="0"/>
        <w:adjustRightInd w:val="0"/>
        <w:spacing w:line="360" w:lineRule="auto"/>
        <w:ind w:firstLineChars="0"/>
        <w:jc w:val="left"/>
        <w:rPr>
          <w:bCs/>
          <w:color w:val="auto"/>
          <w:szCs w:val="21"/>
          <w:highlight w:val="none"/>
        </w:rPr>
      </w:pPr>
      <w:r>
        <w:rPr>
          <w:rFonts w:hint="eastAsia"/>
          <w:bCs/>
          <w:color w:val="auto"/>
          <w:szCs w:val="21"/>
          <w:highlight w:val="none"/>
        </w:rPr>
        <w:t>根据中华人民共和国住房和城乡建设部令第37号《危险性较大的分部分项工程安全管理规定》（以下简称“37号文”），投标人在投标时须补充完善危大工程清单并明确相应的安全管理措施。</w:t>
      </w:r>
    </w:p>
    <w:p w14:paraId="23BF41FA">
      <w:pPr>
        <w:pStyle w:val="110"/>
        <w:numPr>
          <w:ilvl w:val="0"/>
          <w:numId w:val="10"/>
        </w:numPr>
        <w:autoSpaceDE w:val="0"/>
        <w:autoSpaceDN w:val="0"/>
        <w:adjustRightInd w:val="0"/>
        <w:spacing w:line="360" w:lineRule="auto"/>
        <w:ind w:firstLineChars="0"/>
        <w:jc w:val="left"/>
        <w:rPr>
          <w:bCs/>
          <w:color w:val="auto"/>
          <w:szCs w:val="21"/>
          <w:highlight w:val="none"/>
        </w:rPr>
      </w:pPr>
      <w:r>
        <w:rPr>
          <w:rFonts w:hint="eastAsia"/>
          <w:bCs/>
          <w:color w:val="auto"/>
          <w:szCs w:val="21"/>
          <w:highlight w:val="none"/>
        </w:rPr>
        <w:t>招标人根据设计文件的要求及37号文的规定列出“危险性较大的分部分项工程清单及超过一定规模的危险性较大的分部分项工程清单”中与本招标项目相关的清单项，具体详第5点“打√”标识。</w:t>
      </w:r>
    </w:p>
    <w:p w14:paraId="60603148">
      <w:pPr>
        <w:pStyle w:val="110"/>
        <w:numPr>
          <w:ilvl w:val="0"/>
          <w:numId w:val="11"/>
        </w:numPr>
        <w:autoSpaceDE w:val="0"/>
        <w:autoSpaceDN w:val="0"/>
        <w:adjustRightInd w:val="0"/>
        <w:spacing w:line="360" w:lineRule="auto"/>
        <w:ind w:firstLineChars="0"/>
        <w:jc w:val="left"/>
        <w:rPr>
          <w:bCs/>
          <w:color w:val="auto"/>
          <w:szCs w:val="21"/>
          <w:highlight w:val="none"/>
        </w:rPr>
      </w:pPr>
      <w:r>
        <w:rPr>
          <w:rFonts w:hint="eastAsia"/>
          <w:bCs/>
          <w:color w:val="auto"/>
          <w:szCs w:val="21"/>
          <w:highlight w:val="none"/>
        </w:rPr>
        <w:t>投标单位同意建设单位在清单中标识的该项请在对应项打“√”标识，并在投标文件中提供相应的安全管理措施。</w:t>
      </w:r>
    </w:p>
    <w:p w14:paraId="06BA1FC9">
      <w:pPr>
        <w:pStyle w:val="110"/>
        <w:numPr>
          <w:ilvl w:val="0"/>
          <w:numId w:val="11"/>
        </w:numPr>
        <w:autoSpaceDE w:val="0"/>
        <w:autoSpaceDN w:val="0"/>
        <w:adjustRightInd w:val="0"/>
        <w:spacing w:line="360" w:lineRule="auto"/>
        <w:ind w:firstLineChars="0"/>
        <w:jc w:val="left"/>
        <w:rPr>
          <w:bCs/>
          <w:color w:val="auto"/>
          <w:szCs w:val="21"/>
          <w:highlight w:val="none"/>
        </w:rPr>
      </w:pPr>
      <w:r>
        <w:rPr>
          <w:rFonts w:hint="eastAsia"/>
          <w:bCs/>
          <w:color w:val="auto"/>
          <w:szCs w:val="21"/>
          <w:highlight w:val="none"/>
        </w:rPr>
        <w:t>投标单位对清单中认为需要补充的该项请在对应项打“√”标识，并在投标文件中提供相应的安全管理措施。</w:t>
      </w:r>
    </w:p>
    <w:p w14:paraId="4567E85D">
      <w:pPr>
        <w:pStyle w:val="110"/>
        <w:numPr>
          <w:ilvl w:val="0"/>
          <w:numId w:val="11"/>
        </w:numPr>
        <w:autoSpaceDE w:val="0"/>
        <w:autoSpaceDN w:val="0"/>
        <w:adjustRightInd w:val="0"/>
        <w:spacing w:line="360" w:lineRule="auto"/>
        <w:ind w:firstLineChars="0"/>
        <w:jc w:val="left"/>
        <w:rPr>
          <w:bCs/>
          <w:color w:val="auto"/>
          <w:szCs w:val="21"/>
          <w:highlight w:val="none"/>
        </w:rPr>
      </w:pPr>
      <w:r>
        <w:rPr>
          <w:rFonts w:hint="eastAsia"/>
          <w:bCs/>
          <w:color w:val="auto"/>
          <w:szCs w:val="21"/>
          <w:highlight w:val="none"/>
        </w:rPr>
        <w:t>投标单位不同意建设单位在清单中标识的该项请在对应项打“×”标识，并在备注栏填上相关说明。</w:t>
      </w:r>
    </w:p>
    <w:p w14:paraId="36AAC6E4">
      <w:pPr>
        <w:pStyle w:val="110"/>
        <w:numPr>
          <w:ilvl w:val="0"/>
          <w:numId w:val="10"/>
        </w:numPr>
        <w:autoSpaceDE w:val="0"/>
        <w:autoSpaceDN w:val="0"/>
        <w:adjustRightInd w:val="0"/>
        <w:spacing w:line="360" w:lineRule="auto"/>
        <w:ind w:firstLineChars="0"/>
        <w:jc w:val="left"/>
        <w:rPr>
          <w:bCs/>
          <w:color w:val="auto"/>
          <w:szCs w:val="21"/>
          <w:highlight w:val="none"/>
        </w:rPr>
      </w:pPr>
      <w:r>
        <w:rPr>
          <w:rFonts w:hint="eastAsia"/>
          <w:bCs/>
          <w:color w:val="auto"/>
          <w:szCs w:val="21"/>
          <w:highlight w:val="none"/>
        </w:rPr>
        <w:t>投标单位应当在投标时根据招标人提供的下述第5点清单，在投标施工组织中编制专项施工方案。</w:t>
      </w:r>
    </w:p>
    <w:p w14:paraId="70E48712">
      <w:pPr>
        <w:pStyle w:val="110"/>
        <w:numPr>
          <w:ilvl w:val="0"/>
          <w:numId w:val="10"/>
        </w:numPr>
        <w:autoSpaceDE w:val="0"/>
        <w:autoSpaceDN w:val="0"/>
        <w:adjustRightInd w:val="0"/>
        <w:spacing w:line="360" w:lineRule="auto"/>
        <w:ind w:firstLineChars="0"/>
        <w:jc w:val="left"/>
        <w:rPr>
          <w:bCs/>
          <w:color w:val="auto"/>
          <w:szCs w:val="21"/>
          <w:highlight w:val="none"/>
        </w:rPr>
      </w:pPr>
      <w:r>
        <w:rPr>
          <w:rFonts w:hint="eastAsia"/>
          <w:bCs/>
          <w:color w:val="auto"/>
          <w:szCs w:val="21"/>
          <w:highlight w:val="none"/>
        </w:rPr>
        <w:t>对于超过一定规模的危大工程，中标单位应当组织召开专家论证会对专项施工方案进行论证。</w:t>
      </w:r>
    </w:p>
    <w:p w14:paraId="6413863B">
      <w:pPr>
        <w:pStyle w:val="110"/>
        <w:numPr>
          <w:ilvl w:val="0"/>
          <w:numId w:val="10"/>
        </w:numPr>
        <w:autoSpaceDE w:val="0"/>
        <w:autoSpaceDN w:val="0"/>
        <w:adjustRightInd w:val="0"/>
        <w:spacing w:line="360" w:lineRule="auto"/>
        <w:ind w:firstLineChars="0"/>
        <w:jc w:val="left"/>
        <w:rPr>
          <w:bCs/>
          <w:color w:val="auto"/>
          <w:szCs w:val="21"/>
          <w:highlight w:val="none"/>
        </w:rPr>
      </w:pPr>
      <w:r>
        <w:rPr>
          <w:rFonts w:hint="eastAsia"/>
          <w:bCs/>
          <w:color w:val="auto"/>
          <w:szCs w:val="21"/>
          <w:highlight w:val="none"/>
        </w:rPr>
        <w:t>危险性较大的分部分项工程清单及超过一定规模的危险性较大的分部分项工程清单：</w:t>
      </w:r>
    </w:p>
    <w:tbl>
      <w:tblPr>
        <w:tblStyle w:val="36"/>
        <w:tblW w:w="8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6"/>
        <w:gridCol w:w="1200"/>
        <w:gridCol w:w="1106"/>
        <w:gridCol w:w="659"/>
      </w:tblGrid>
      <w:tr w14:paraId="10544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center"/>
          </w:tcPr>
          <w:p w14:paraId="1FEC85BB">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一、危险性较大的分部分项工程清单</w:t>
            </w:r>
          </w:p>
        </w:tc>
        <w:tc>
          <w:tcPr>
            <w:tcW w:w="1200" w:type="dxa"/>
            <w:noWrap w:val="0"/>
            <w:vAlign w:val="center"/>
          </w:tcPr>
          <w:p w14:paraId="7ACBC0DF">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建设单位</w:t>
            </w:r>
          </w:p>
        </w:tc>
        <w:tc>
          <w:tcPr>
            <w:tcW w:w="1106" w:type="dxa"/>
            <w:noWrap w:val="0"/>
            <w:vAlign w:val="center"/>
          </w:tcPr>
          <w:p w14:paraId="6095641E">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投标单位</w:t>
            </w:r>
          </w:p>
        </w:tc>
        <w:tc>
          <w:tcPr>
            <w:tcW w:w="659" w:type="dxa"/>
            <w:noWrap w:val="0"/>
            <w:vAlign w:val="center"/>
          </w:tcPr>
          <w:p w14:paraId="421A7025">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备注</w:t>
            </w:r>
          </w:p>
        </w:tc>
      </w:tr>
      <w:tr w14:paraId="186F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0030EB46">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一、基坑支护</w:t>
            </w:r>
          </w:p>
        </w:tc>
        <w:tc>
          <w:tcPr>
            <w:tcW w:w="1200" w:type="dxa"/>
            <w:noWrap w:val="0"/>
            <w:vAlign w:val="center"/>
          </w:tcPr>
          <w:p w14:paraId="6DE0ADEE">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xml:space="preserve">( </w:t>
            </w:r>
            <w:r>
              <w:rPr>
                <w:rFonts w:hint="eastAsia" w:ascii="Times New Roman" w:hAnsi="Times New Roman"/>
                <w:bCs/>
                <w:color w:val="auto"/>
                <w:szCs w:val="21"/>
                <w:highlight w:val="none"/>
                <w:lang w:val="en-US" w:eastAsia="zh-CN"/>
              </w:rPr>
              <w:t xml:space="preserve"> </w:t>
            </w:r>
            <w:r>
              <w:rPr>
                <w:rFonts w:hint="eastAsia"/>
                <w:bCs/>
                <w:color w:val="auto"/>
                <w:szCs w:val="21"/>
                <w:highlight w:val="none"/>
              </w:rPr>
              <w:t xml:space="preserve"> </w:t>
            </w:r>
            <w:r>
              <w:rPr>
                <w:rFonts w:hint="eastAsia" w:ascii="Times New Roman" w:hAnsi="Times New Roman"/>
                <w:bCs/>
                <w:color w:val="auto"/>
                <w:szCs w:val="21"/>
                <w:highlight w:val="none"/>
              </w:rPr>
              <w:t xml:space="preserve"> )</w:t>
            </w:r>
          </w:p>
        </w:tc>
        <w:tc>
          <w:tcPr>
            <w:tcW w:w="1106" w:type="dxa"/>
            <w:noWrap w:val="0"/>
            <w:vAlign w:val="center"/>
          </w:tcPr>
          <w:p w14:paraId="01B773D5">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22CEC731">
            <w:pPr>
              <w:spacing w:line="276" w:lineRule="auto"/>
              <w:jc w:val="center"/>
              <w:rPr>
                <w:rFonts w:ascii="Times New Roman" w:hAnsi="Times New Roman"/>
                <w:bCs/>
                <w:color w:val="auto"/>
                <w:szCs w:val="21"/>
                <w:highlight w:val="none"/>
              </w:rPr>
            </w:pPr>
          </w:p>
        </w:tc>
      </w:tr>
      <w:tr w14:paraId="3026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71843070">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（一）开挖深度超过3m（含3m）的基坑（槽）的土方开挖、支护、降水工程。</w:t>
            </w:r>
          </w:p>
        </w:tc>
        <w:tc>
          <w:tcPr>
            <w:tcW w:w="1200" w:type="dxa"/>
            <w:noWrap w:val="0"/>
            <w:vAlign w:val="center"/>
          </w:tcPr>
          <w:p w14:paraId="28E500E9">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xml:space="preserve">( </w:t>
            </w:r>
            <w:r>
              <w:rPr>
                <w:rFonts w:hint="eastAsia" w:ascii="Times New Roman" w:hAnsi="Times New Roman"/>
                <w:bCs/>
                <w:color w:val="auto"/>
                <w:szCs w:val="21"/>
                <w:highlight w:val="none"/>
                <w:lang w:val="en-US" w:eastAsia="zh-CN"/>
              </w:rPr>
              <w:t xml:space="preserve">  </w:t>
            </w:r>
            <w:r>
              <w:rPr>
                <w:rFonts w:hint="eastAsia"/>
                <w:bCs/>
                <w:color w:val="auto"/>
                <w:szCs w:val="21"/>
                <w:highlight w:val="none"/>
              </w:rPr>
              <w:t xml:space="preserve"> </w:t>
            </w:r>
            <w:r>
              <w:rPr>
                <w:rFonts w:hint="eastAsia" w:ascii="Times New Roman" w:hAnsi="Times New Roman"/>
                <w:bCs/>
                <w:color w:val="auto"/>
                <w:szCs w:val="21"/>
                <w:highlight w:val="none"/>
              </w:rPr>
              <w:t>)</w:t>
            </w:r>
          </w:p>
        </w:tc>
        <w:tc>
          <w:tcPr>
            <w:tcW w:w="1106" w:type="dxa"/>
            <w:noWrap w:val="0"/>
            <w:vAlign w:val="center"/>
          </w:tcPr>
          <w:p w14:paraId="78724E4F">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103028C9">
            <w:pPr>
              <w:spacing w:line="276" w:lineRule="auto"/>
              <w:jc w:val="center"/>
              <w:rPr>
                <w:rFonts w:ascii="Times New Roman" w:hAnsi="Times New Roman"/>
                <w:bCs/>
                <w:color w:val="auto"/>
                <w:szCs w:val="21"/>
                <w:highlight w:val="none"/>
              </w:rPr>
            </w:pPr>
          </w:p>
        </w:tc>
      </w:tr>
      <w:tr w14:paraId="3BBB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2B33160C">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（二）开挖深度虽未超过3m，但地质条件、周围环境和地下管线复杂，或影响毗邻建、构筑物安全的基坑（槽）的土方开挖、支护、降水工程。</w:t>
            </w:r>
          </w:p>
        </w:tc>
        <w:tc>
          <w:tcPr>
            <w:tcW w:w="1200" w:type="dxa"/>
            <w:noWrap w:val="0"/>
            <w:vAlign w:val="center"/>
          </w:tcPr>
          <w:p w14:paraId="58355E4B">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xml:space="preserve">( </w:t>
            </w:r>
            <w:r>
              <w:rPr>
                <w:rFonts w:hint="eastAsia" w:ascii="Times New Roman" w:hAnsi="Times New Roman"/>
                <w:bCs/>
                <w:color w:val="auto"/>
                <w:szCs w:val="21"/>
                <w:highlight w:val="none"/>
                <w:lang w:eastAsia="zh-CN"/>
              </w:rPr>
              <w:t>√</w:t>
            </w:r>
            <w:r>
              <w:rPr>
                <w:rFonts w:hint="eastAsia"/>
                <w:bCs/>
                <w:color w:val="auto"/>
                <w:szCs w:val="21"/>
                <w:highlight w:val="none"/>
              </w:rPr>
              <w:t xml:space="preserve"> </w:t>
            </w:r>
            <w:r>
              <w:rPr>
                <w:rFonts w:hint="eastAsia" w:ascii="Times New Roman" w:hAnsi="Times New Roman"/>
                <w:bCs/>
                <w:color w:val="auto"/>
                <w:szCs w:val="21"/>
                <w:highlight w:val="none"/>
              </w:rPr>
              <w:t>)</w:t>
            </w:r>
          </w:p>
        </w:tc>
        <w:tc>
          <w:tcPr>
            <w:tcW w:w="1106" w:type="dxa"/>
            <w:noWrap w:val="0"/>
            <w:vAlign w:val="center"/>
          </w:tcPr>
          <w:p w14:paraId="267F41ED">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7C222170">
            <w:pPr>
              <w:spacing w:line="276" w:lineRule="auto"/>
              <w:jc w:val="center"/>
              <w:rPr>
                <w:rFonts w:ascii="Times New Roman" w:hAnsi="Times New Roman"/>
                <w:bCs/>
                <w:color w:val="auto"/>
                <w:szCs w:val="21"/>
                <w:highlight w:val="none"/>
              </w:rPr>
            </w:pPr>
          </w:p>
        </w:tc>
      </w:tr>
      <w:tr w14:paraId="0466F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6864BF3D">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二、模板工程及支撑体系</w:t>
            </w:r>
          </w:p>
        </w:tc>
        <w:tc>
          <w:tcPr>
            <w:tcW w:w="1200" w:type="dxa"/>
            <w:noWrap w:val="0"/>
            <w:vAlign w:val="center"/>
          </w:tcPr>
          <w:p w14:paraId="6BDF8A0D">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3D58C72E">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06AF2404">
            <w:pPr>
              <w:spacing w:line="276" w:lineRule="auto"/>
              <w:jc w:val="center"/>
              <w:rPr>
                <w:rFonts w:ascii="Times New Roman" w:hAnsi="Times New Roman"/>
                <w:bCs/>
                <w:color w:val="auto"/>
                <w:szCs w:val="21"/>
                <w:highlight w:val="none"/>
              </w:rPr>
            </w:pPr>
          </w:p>
        </w:tc>
      </w:tr>
      <w:tr w14:paraId="4C90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2707CD4B">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（一）各类工具式模板工程：包括滑模、爬模、飞模、隧道模等工程。</w:t>
            </w:r>
          </w:p>
        </w:tc>
        <w:tc>
          <w:tcPr>
            <w:tcW w:w="1200" w:type="dxa"/>
            <w:noWrap w:val="0"/>
            <w:vAlign w:val="center"/>
          </w:tcPr>
          <w:p w14:paraId="1EC332D4">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006B117A">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43B45F01">
            <w:pPr>
              <w:spacing w:line="276" w:lineRule="auto"/>
              <w:jc w:val="center"/>
              <w:rPr>
                <w:rFonts w:ascii="Times New Roman" w:hAnsi="Times New Roman"/>
                <w:bCs/>
                <w:color w:val="auto"/>
                <w:szCs w:val="21"/>
                <w:highlight w:val="none"/>
              </w:rPr>
            </w:pPr>
          </w:p>
        </w:tc>
      </w:tr>
      <w:tr w14:paraId="567B3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3CA285CE">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200" w:type="dxa"/>
            <w:noWrap w:val="0"/>
            <w:vAlign w:val="center"/>
          </w:tcPr>
          <w:p w14:paraId="0029BB80">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xml:space="preserve">( </w:t>
            </w:r>
            <w:r>
              <w:rPr>
                <w:rFonts w:hint="eastAsia" w:ascii="Times New Roman" w:hAnsi="Times New Roman"/>
                <w:bCs/>
                <w:color w:val="auto"/>
                <w:szCs w:val="21"/>
                <w:highlight w:val="none"/>
                <w:lang w:eastAsia="zh-CN"/>
              </w:rPr>
              <w:t>√</w:t>
            </w:r>
            <w:r>
              <w:rPr>
                <w:rFonts w:hint="eastAsia"/>
                <w:bCs/>
                <w:color w:val="auto"/>
                <w:szCs w:val="21"/>
                <w:highlight w:val="none"/>
              </w:rPr>
              <w:t xml:space="preserve"> </w:t>
            </w:r>
            <w:r>
              <w:rPr>
                <w:rFonts w:hint="eastAsia" w:ascii="Times New Roman" w:hAnsi="Times New Roman"/>
                <w:bCs/>
                <w:color w:val="auto"/>
                <w:szCs w:val="21"/>
                <w:highlight w:val="none"/>
              </w:rPr>
              <w:t>)</w:t>
            </w:r>
          </w:p>
        </w:tc>
        <w:tc>
          <w:tcPr>
            <w:tcW w:w="1106" w:type="dxa"/>
            <w:noWrap w:val="0"/>
            <w:vAlign w:val="center"/>
          </w:tcPr>
          <w:p w14:paraId="06C0CB43">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6EFAAE82">
            <w:pPr>
              <w:spacing w:line="276" w:lineRule="auto"/>
              <w:jc w:val="center"/>
              <w:rPr>
                <w:rFonts w:ascii="Times New Roman" w:hAnsi="Times New Roman"/>
                <w:bCs/>
                <w:color w:val="auto"/>
                <w:szCs w:val="21"/>
                <w:highlight w:val="none"/>
              </w:rPr>
            </w:pPr>
          </w:p>
        </w:tc>
      </w:tr>
      <w:tr w14:paraId="6D8D3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4391645E">
            <w:pPr>
              <w:widowControl/>
              <w:spacing w:line="276" w:lineRule="auto"/>
              <w:jc w:val="left"/>
              <w:rPr>
                <w:rFonts w:ascii="Times New Roman" w:hAnsi="Times New Roman" w:cs="宋体"/>
                <w:bCs/>
                <w:color w:val="auto"/>
                <w:szCs w:val="21"/>
                <w:highlight w:val="none"/>
              </w:rPr>
            </w:pPr>
            <w:r>
              <w:rPr>
                <w:rFonts w:hint="eastAsia" w:ascii="Times New Roman" w:hAnsi="Times New Roman" w:cs="宋体"/>
                <w:bCs/>
                <w:color w:val="auto"/>
                <w:szCs w:val="21"/>
                <w:highlight w:val="none"/>
              </w:rPr>
              <w:t>（三）承重支撑体系：用于钢结构安装等满堂支撑体系。</w:t>
            </w:r>
          </w:p>
        </w:tc>
        <w:tc>
          <w:tcPr>
            <w:tcW w:w="1200" w:type="dxa"/>
            <w:noWrap w:val="0"/>
            <w:vAlign w:val="center"/>
          </w:tcPr>
          <w:p w14:paraId="5FC4B362">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410E57F0">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5B853FA0">
            <w:pPr>
              <w:spacing w:line="276" w:lineRule="auto"/>
              <w:jc w:val="center"/>
              <w:rPr>
                <w:rFonts w:ascii="Times New Roman" w:hAnsi="Times New Roman"/>
                <w:bCs/>
                <w:color w:val="auto"/>
                <w:szCs w:val="21"/>
                <w:highlight w:val="none"/>
              </w:rPr>
            </w:pPr>
          </w:p>
        </w:tc>
      </w:tr>
      <w:tr w14:paraId="529E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606" w:type="dxa"/>
            <w:noWrap w:val="0"/>
            <w:vAlign w:val="top"/>
          </w:tcPr>
          <w:p w14:paraId="1F9773D1">
            <w:pPr>
              <w:widowControl/>
              <w:spacing w:line="276" w:lineRule="auto"/>
              <w:jc w:val="left"/>
              <w:rPr>
                <w:rFonts w:ascii="Times New Roman" w:hAnsi="Times New Roman" w:cs="宋体"/>
                <w:bCs/>
                <w:color w:val="auto"/>
                <w:szCs w:val="21"/>
                <w:highlight w:val="none"/>
              </w:rPr>
            </w:pPr>
            <w:r>
              <w:rPr>
                <w:rFonts w:hint="eastAsia" w:ascii="Times New Roman" w:hAnsi="Times New Roman" w:cs="宋体"/>
                <w:bCs/>
                <w:color w:val="auto"/>
                <w:szCs w:val="21"/>
                <w:highlight w:val="none"/>
              </w:rPr>
              <w:t>　三、起重吊装及起重机械安装拆卸工程</w:t>
            </w:r>
          </w:p>
        </w:tc>
        <w:tc>
          <w:tcPr>
            <w:tcW w:w="1200" w:type="dxa"/>
            <w:noWrap w:val="0"/>
            <w:vAlign w:val="center"/>
          </w:tcPr>
          <w:p w14:paraId="7CFA81F7">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65CAF06B">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663D71A3">
            <w:pPr>
              <w:spacing w:line="276" w:lineRule="auto"/>
              <w:jc w:val="center"/>
              <w:rPr>
                <w:rFonts w:ascii="Times New Roman" w:hAnsi="Times New Roman"/>
                <w:bCs/>
                <w:color w:val="auto"/>
                <w:szCs w:val="21"/>
                <w:highlight w:val="none"/>
              </w:rPr>
            </w:pPr>
          </w:p>
        </w:tc>
      </w:tr>
      <w:tr w14:paraId="2393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28EB9BAB">
            <w:pPr>
              <w:widowControl/>
              <w:spacing w:line="276" w:lineRule="auto"/>
              <w:jc w:val="left"/>
              <w:rPr>
                <w:rFonts w:ascii="Times New Roman" w:hAnsi="Times New Roman" w:cs="宋体"/>
                <w:bCs/>
                <w:color w:val="auto"/>
                <w:szCs w:val="21"/>
                <w:highlight w:val="none"/>
              </w:rPr>
            </w:pPr>
            <w:r>
              <w:rPr>
                <w:rFonts w:hint="eastAsia" w:ascii="Times New Roman" w:hAnsi="Times New Roman" w:cs="宋体"/>
                <w:bCs/>
                <w:color w:val="auto"/>
                <w:szCs w:val="21"/>
                <w:highlight w:val="none"/>
              </w:rPr>
              <w:t>（一）采用非常规起重设备、方法，且单件起吊重量在10kN及以上的起重吊装工程。</w:t>
            </w:r>
          </w:p>
        </w:tc>
        <w:tc>
          <w:tcPr>
            <w:tcW w:w="1200" w:type="dxa"/>
            <w:noWrap w:val="0"/>
            <w:vAlign w:val="center"/>
          </w:tcPr>
          <w:p w14:paraId="5384C89F">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7DEC6252">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0CFE1E20">
            <w:pPr>
              <w:spacing w:line="276" w:lineRule="auto"/>
              <w:jc w:val="center"/>
              <w:rPr>
                <w:rFonts w:ascii="Times New Roman" w:hAnsi="Times New Roman"/>
                <w:bCs/>
                <w:color w:val="auto"/>
                <w:szCs w:val="21"/>
                <w:highlight w:val="none"/>
              </w:rPr>
            </w:pPr>
          </w:p>
        </w:tc>
      </w:tr>
      <w:tr w14:paraId="3E7B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21E3227F">
            <w:pPr>
              <w:spacing w:line="276" w:lineRule="auto"/>
              <w:jc w:val="left"/>
              <w:rPr>
                <w:rFonts w:ascii="Times New Roman" w:hAnsi="Times New Roman"/>
                <w:bCs/>
                <w:color w:val="auto"/>
                <w:szCs w:val="21"/>
                <w:highlight w:val="none"/>
              </w:rPr>
            </w:pPr>
            <w:r>
              <w:rPr>
                <w:rFonts w:hint="eastAsia" w:ascii="Times New Roman" w:hAnsi="Times New Roman" w:cs="宋体"/>
                <w:bCs/>
                <w:color w:val="auto"/>
                <w:szCs w:val="21"/>
                <w:highlight w:val="none"/>
              </w:rPr>
              <w:t>（二）采用起重机械进行安装的工程。</w:t>
            </w:r>
          </w:p>
        </w:tc>
        <w:tc>
          <w:tcPr>
            <w:tcW w:w="1200" w:type="dxa"/>
            <w:noWrap w:val="0"/>
            <w:vAlign w:val="center"/>
          </w:tcPr>
          <w:p w14:paraId="4C533772">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62F5BE73">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708B3AF8">
            <w:pPr>
              <w:spacing w:line="276" w:lineRule="auto"/>
              <w:jc w:val="center"/>
              <w:rPr>
                <w:rFonts w:ascii="Times New Roman" w:hAnsi="Times New Roman"/>
                <w:bCs/>
                <w:color w:val="auto"/>
                <w:szCs w:val="21"/>
                <w:highlight w:val="none"/>
              </w:rPr>
            </w:pPr>
          </w:p>
        </w:tc>
      </w:tr>
      <w:tr w14:paraId="2541C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3E1DB575">
            <w:pPr>
              <w:spacing w:line="276" w:lineRule="auto"/>
              <w:jc w:val="left"/>
              <w:rPr>
                <w:rFonts w:ascii="Times New Roman" w:hAnsi="Times New Roman" w:cs="宋体"/>
                <w:bCs/>
                <w:color w:val="auto"/>
                <w:szCs w:val="21"/>
                <w:highlight w:val="none"/>
              </w:rPr>
            </w:pPr>
            <w:r>
              <w:rPr>
                <w:rFonts w:hint="eastAsia" w:ascii="Times New Roman" w:hAnsi="Times New Roman" w:cs="宋体"/>
                <w:bCs/>
                <w:color w:val="auto"/>
                <w:szCs w:val="21"/>
                <w:highlight w:val="none"/>
              </w:rPr>
              <w:t>（三）起重机械安装和拆卸工程。</w:t>
            </w:r>
          </w:p>
        </w:tc>
        <w:tc>
          <w:tcPr>
            <w:tcW w:w="1200" w:type="dxa"/>
            <w:noWrap w:val="0"/>
            <w:vAlign w:val="center"/>
          </w:tcPr>
          <w:p w14:paraId="468A5179">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31B59562">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142FE659">
            <w:pPr>
              <w:spacing w:line="276" w:lineRule="auto"/>
              <w:jc w:val="center"/>
              <w:rPr>
                <w:rFonts w:ascii="Times New Roman" w:hAnsi="Times New Roman"/>
                <w:bCs/>
                <w:color w:val="auto"/>
                <w:szCs w:val="21"/>
                <w:highlight w:val="none"/>
              </w:rPr>
            </w:pPr>
          </w:p>
        </w:tc>
      </w:tr>
      <w:tr w14:paraId="284D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3FF7396E">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四、脚手架工程</w:t>
            </w:r>
          </w:p>
        </w:tc>
        <w:tc>
          <w:tcPr>
            <w:tcW w:w="1200" w:type="dxa"/>
            <w:noWrap w:val="0"/>
            <w:vAlign w:val="center"/>
          </w:tcPr>
          <w:p w14:paraId="68CD9143">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3F669247">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046CC40C">
            <w:pPr>
              <w:spacing w:line="276" w:lineRule="auto"/>
              <w:jc w:val="center"/>
              <w:rPr>
                <w:rFonts w:ascii="Times New Roman" w:hAnsi="Times New Roman"/>
                <w:bCs/>
                <w:color w:val="auto"/>
                <w:szCs w:val="21"/>
                <w:highlight w:val="none"/>
              </w:rPr>
            </w:pPr>
          </w:p>
        </w:tc>
      </w:tr>
      <w:tr w14:paraId="6DF3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260E0CD0">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（一）搭设高度24m及以上的落地式钢管脚手架工程（包括采光井、电梯井脚手架）。</w:t>
            </w:r>
          </w:p>
        </w:tc>
        <w:tc>
          <w:tcPr>
            <w:tcW w:w="1200" w:type="dxa"/>
            <w:noWrap w:val="0"/>
            <w:vAlign w:val="center"/>
          </w:tcPr>
          <w:p w14:paraId="5980D6F4">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66848B62">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42F36185">
            <w:pPr>
              <w:spacing w:line="276" w:lineRule="auto"/>
              <w:jc w:val="center"/>
              <w:rPr>
                <w:rFonts w:ascii="Times New Roman" w:hAnsi="Times New Roman"/>
                <w:bCs/>
                <w:color w:val="auto"/>
                <w:szCs w:val="21"/>
                <w:highlight w:val="none"/>
              </w:rPr>
            </w:pPr>
          </w:p>
        </w:tc>
      </w:tr>
      <w:tr w14:paraId="7961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2E7B7696">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（二）附着式升降脚手架工程。</w:t>
            </w:r>
          </w:p>
        </w:tc>
        <w:tc>
          <w:tcPr>
            <w:tcW w:w="1200" w:type="dxa"/>
            <w:noWrap w:val="0"/>
            <w:vAlign w:val="center"/>
          </w:tcPr>
          <w:p w14:paraId="0B000F51">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230313EA">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4DF08389">
            <w:pPr>
              <w:spacing w:line="276" w:lineRule="auto"/>
              <w:jc w:val="center"/>
              <w:rPr>
                <w:rFonts w:ascii="Times New Roman" w:hAnsi="Times New Roman"/>
                <w:bCs/>
                <w:color w:val="auto"/>
                <w:szCs w:val="21"/>
                <w:highlight w:val="none"/>
              </w:rPr>
            </w:pPr>
          </w:p>
        </w:tc>
      </w:tr>
      <w:tr w14:paraId="54CA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29CCA881">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（三）悬挑式脚手架工程。</w:t>
            </w:r>
          </w:p>
        </w:tc>
        <w:tc>
          <w:tcPr>
            <w:tcW w:w="1200" w:type="dxa"/>
            <w:noWrap w:val="0"/>
            <w:vAlign w:val="center"/>
          </w:tcPr>
          <w:p w14:paraId="0009F574">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53CB0C09">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441EC0DB">
            <w:pPr>
              <w:spacing w:line="276" w:lineRule="auto"/>
              <w:jc w:val="center"/>
              <w:rPr>
                <w:rFonts w:ascii="Times New Roman" w:hAnsi="Times New Roman"/>
                <w:bCs/>
                <w:color w:val="auto"/>
                <w:szCs w:val="21"/>
                <w:highlight w:val="none"/>
              </w:rPr>
            </w:pPr>
          </w:p>
        </w:tc>
      </w:tr>
      <w:tr w14:paraId="3ED67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4223EFF6">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（四）高处作业吊篮。</w:t>
            </w:r>
          </w:p>
        </w:tc>
        <w:tc>
          <w:tcPr>
            <w:tcW w:w="1200" w:type="dxa"/>
            <w:noWrap w:val="0"/>
            <w:vAlign w:val="center"/>
          </w:tcPr>
          <w:p w14:paraId="007434CA">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3FCB8CA8">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55DF0D32">
            <w:pPr>
              <w:spacing w:line="276" w:lineRule="auto"/>
              <w:jc w:val="center"/>
              <w:rPr>
                <w:rFonts w:ascii="Times New Roman" w:hAnsi="Times New Roman"/>
                <w:bCs/>
                <w:color w:val="auto"/>
                <w:szCs w:val="21"/>
                <w:highlight w:val="none"/>
              </w:rPr>
            </w:pPr>
          </w:p>
        </w:tc>
      </w:tr>
      <w:tr w14:paraId="5E7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4B7EBF85">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（五）卸料平台、操作平台工程。</w:t>
            </w:r>
          </w:p>
        </w:tc>
        <w:tc>
          <w:tcPr>
            <w:tcW w:w="1200" w:type="dxa"/>
            <w:noWrap w:val="0"/>
            <w:vAlign w:val="center"/>
          </w:tcPr>
          <w:p w14:paraId="5D658248">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0B2714C6">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79C0F055">
            <w:pPr>
              <w:spacing w:line="276" w:lineRule="auto"/>
              <w:jc w:val="center"/>
              <w:rPr>
                <w:rFonts w:ascii="Times New Roman" w:hAnsi="Times New Roman"/>
                <w:bCs/>
                <w:color w:val="auto"/>
                <w:szCs w:val="21"/>
                <w:highlight w:val="none"/>
              </w:rPr>
            </w:pPr>
          </w:p>
        </w:tc>
      </w:tr>
      <w:tr w14:paraId="460A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4BE0A5EF">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（六）异型脚手架工程。</w:t>
            </w:r>
          </w:p>
        </w:tc>
        <w:tc>
          <w:tcPr>
            <w:tcW w:w="1200" w:type="dxa"/>
            <w:noWrap w:val="0"/>
            <w:vAlign w:val="center"/>
          </w:tcPr>
          <w:p w14:paraId="258866B8">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451C6825">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6F60A6A0">
            <w:pPr>
              <w:spacing w:line="276" w:lineRule="auto"/>
              <w:jc w:val="center"/>
              <w:rPr>
                <w:rFonts w:ascii="Times New Roman" w:hAnsi="Times New Roman"/>
                <w:bCs/>
                <w:color w:val="auto"/>
                <w:szCs w:val="21"/>
                <w:highlight w:val="none"/>
              </w:rPr>
            </w:pPr>
          </w:p>
        </w:tc>
      </w:tr>
      <w:tr w14:paraId="08A6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540BECC3">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五、拆除工程</w:t>
            </w:r>
          </w:p>
        </w:tc>
        <w:tc>
          <w:tcPr>
            <w:tcW w:w="1200" w:type="dxa"/>
            <w:noWrap w:val="0"/>
            <w:vAlign w:val="center"/>
          </w:tcPr>
          <w:p w14:paraId="20B65EBC">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246DDF90">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1DE78F51">
            <w:pPr>
              <w:spacing w:line="276" w:lineRule="auto"/>
              <w:jc w:val="center"/>
              <w:rPr>
                <w:rFonts w:ascii="Times New Roman" w:hAnsi="Times New Roman"/>
                <w:bCs/>
                <w:color w:val="auto"/>
                <w:szCs w:val="21"/>
                <w:highlight w:val="none"/>
              </w:rPr>
            </w:pPr>
          </w:p>
        </w:tc>
      </w:tr>
      <w:tr w14:paraId="1E55B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4AF739B9">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可能影响行人、交通、电力设施、通讯设施或其它建、构筑物安全的拆除工程。</w:t>
            </w:r>
          </w:p>
        </w:tc>
        <w:tc>
          <w:tcPr>
            <w:tcW w:w="1200" w:type="dxa"/>
            <w:noWrap w:val="0"/>
            <w:vAlign w:val="center"/>
          </w:tcPr>
          <w:p w14:paraId="57FE9A74">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02C8CB3D">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3E6B7D55">
            <w:pPr>
              <w:spacing w:line="276" w:lineRule="auto"/>
              <w:jc w:val="center"/>
              <w:rPr>
                <w:rFonts w:ascii="Times New Roman" w:hAnsi="Times New Roman"/>
                <w:bCs/>
                <w:color w:val="auto"/>
                <w:szCs w:val="21"/>
                <w:highlight w:val="none"/>
              </w:rPr>
            </w:pPr>
          </w:p>
        </w:tc>
      </w:tr>
      <w:tr w14:paraId="7B5A4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43BE4FC5">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　六、暗挖工程</w:t>
            </w:r>
          </w:p>
        </w:tc>
        <w:tc>
          <w:tcPr>
            <w:tcW w:w="1200" w:type="dxa"/>
            <w:noWrap w:val="0"/>
            <w:vAlign w:val="center"/>
          </w:tcPr>
          <w:p w14:paraId="52C73D08">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166AD4D3">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4785E8C7">
            <w:pPr>
              <w:spacing w:line="276" w:lineRule="auto"/>
              <w:jc w:val="center"/>
              <w:rPr>
                <w:rFonts w:ascii="Times New Roman" w:hAnsi="Times New Roman"/>
                <w:bCs/>
                <w:color w:val="auto"/>
                <w:szCs w:val="21"/>
                <w:highlight w:val="none"/>
              </w:rPr>
            </w:pPr>
          </w:p>
        </w:tc>
      </w:tr>
      <w:tr w14:paraId="1926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77EE3073">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采用矿山法、盾构法、顶管法施工的隧道、洞室工程。</w:t>
            </w:r>
          </w:p>
        </w:tc>
        <w:tc>
          <w:tcPr>
            <w:tcW w:w="1200" w:type="dxa"/>
            <w:noWrap w:val="0"/>
            <w:vAlign w:val="center"/>
          </w:tcPr>
          <w:p w14:paraId="70BFFBF8">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20F68DF0">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11BC8B29">
            <w:pPr>
              <w:spacing w:line="276" w:lineRule="auto"/>
              <w:jc w:val="center"/>
              <w:rPr>
                <w:rFonts w:ascii="Times New Roman" w:hAnsi="Times New Roman"/>
                <w:bCs/>
                <w:color w:val="auto"/>
                <w:szCs w:val="21"/>
                <w:highlight w:val="none"/>
              </w:rPr>
            </w:pPr>
          </w:p>
        </w:tc>
      </w:tr>
      <w:tr w14:paraId="78B5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4C1EF412">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七、其它</w:t>
            </w:r>
          </w:p>
        </w:tc>
        <w:tc>
          <w:tcPr>
            <w:tcW w:w="1200" w:type="dxa"/>
            <w:noWrap w:val="0"/>
            <w:vAlign w:val="center"/>
          </w:tcPr>
          <w:p w14:paraId="6B48340F">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22AB682F">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724F7F37">
            <w:pPr>
              <w:spacing w:line="276" w:lineRule="auto"/>
              <w:jc w:val="center"/>
              <w:rPr>
                <w:rFonts w:ascii="Times New Roman" w:hAnsi="Times New Roman"/>
                <w:bCs/>
                <w:color w:val="auto"/>
                <w:szCs w:val="21"/>
                <w:highlight w:val="none"/>
              </w:rPr>
            </w:pPr>
          </w:p>
        </w:tc>
      </w:tr>
      <w:tr w14:paraId="7E49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7B919076">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（一）建筑幕墙安装工程。</w:t>
            </w:r>
          </w:p>
        </w:tc>
        <w:tc>
          <w:tcPr>
            <w:tcW w:w="1200" w:type="dxa"/>
            <w:noWrap w:val="0"/>
            <w:vAlign w:val="center"/>
          </w:tcPr>
          <w:p w14:paraId="3D32362F">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4D23C438">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7ED607E0">
            <w:pPr>
              <w:spacing w:line="276" w:lineRule="auto"/>
              <w:jc w:val="center"/>
              <w:rPr>
                <w:rFonts w:ascii="Times New Roman" w:hAnsi="Times New Roman"/>
                <w:bCs/>
                <w:color w:val="auto"/>
                <w:szCs w:val="21"/>
                <w:highlight w:val="none"/>
              </w:rPr>
            </w:pPr>
          </w:p>
        </w:tc>
      </w:tr>
      <w:tr w14:paraId="29FC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363685BD">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（二）钢结构、网架和索膜结构安装工程。</w:t>
            </w:r>
          </w:p>
        </w:tc>
        <w:tc>
          <w:tcPr>
            <w:tcW w:w="1200" w:type="dxa"/>
            <w:noWrap w:val="0"/>
            <w:vAlign w:val="center"/>
          </w:tcPr>
          <w:p w14:paraId="0D309F21">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501CDA35">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3F7F0576">
            <w:pPr>
              <w:spacing w:line="276" w:lineRule="auto"/>
              <w:jc w:val="center"/>
              <w:rPr>
                <w:rFonts w:ascii="Times New Roman" w:hAnsi="Times New Roman"/>
                <w:bCs/>
                <w:color w:val="auto"/>
                <w:szCs w:val="21"/>
                <w:highlight w:val="none"/>
              </w:rPr>
            </w:pPr>
          </w:p>
        </w:tc>
      </w:tr>
      <w:tr w14:paraId="46A0C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1D22F698">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（三）人工挖孔桩工程。</w:t>
            </w:r>
          </w:p>
        </w:tc>
        <w:tc>
          <w:tcPr>
            <w:tcW w:w="1200" w:type="dxa"/>
            <w:noWrap w:val="0"/>
            <w:vAlign w:val="center"/>
          </w:tcPr>
          <w:p w14:paraId="415F3260">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703ADC23">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47EB5427">
            <w:pPr>
              <w:spacing w:line="276" w:lineRule="auto"/>
              <w:jc w:val="center"/>
              <w:rPr>
                <w:rFonts w:ascii="Times New Roman" w:hAnsi="Times New Roman"/>
                <w:bCs/>
                <w:color w:val="auto"/>
                <w:szCs w:val="21"/>
                <w:highlight w:val="none"/>
              </w:rPr>
            </w:pPr>
          </w:p>
        </w:tc>
      </w:tr>
      <w:tr w14:paraId="6F88B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72DC2FB4">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（四）水下作业工程。</w:t>
            </w:r>
          </w:p>
        </w:tc>
        <w:tc>
          <w:tcPr>
            <w:tcW w:w="1200" w:type="dxa"/>
            <w:noWrap w:val="0"/>
            <w:vAlign w:val="center"/>
          </w:tcPr>
          <w:p w14:paraId="18A3056F">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48204290">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260ED8D6">
            <w:pPr>
              <w:spacing w:line="276" w:lineRule="auto"/>
              <w:jc w:val="center"/>
              <w:rPr>
                <w:rFonts w:ascii="Times New Roman" w:hAnsi="Times New Roman"/>
                <w:bCs/>
                <w:color w:val="auto"/>
                <w:szCs w:val="21"/>
                <w:highlight w:val="none"/>
              </w:rPr>
            </w:pPr>
          </w:p>
        </w:tc>
      </w:tr>
      <w:tr w14:paraId="2608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411AD000">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（五）装配式建筑混凝土预制构件安装工程。</w:t>
            </w:r>
          </w:p>
        </w:tc>
        <w:tc>
          <w:tcPr>
            <w:tcW w:w="1200" w:type="dxa"/>
            <w:noWrap w:val="0"/>
            <w:vAlign w:val="center"/>
          </w:tcPr>
          <w:p w14:paraId="58E9970C">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0BDD761F">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44A3102C">
            <w:pPr>
              <w:spacing w:line="276" w:lineRule="auto"/>
              <w:jc w:val="center"/>
              <w:rPr>
                <w:rFonts w:ascii="Times New Roman" w:hAnsi="Times New Roman"/>
                <w:bCs/>
                <w:color w:val="auto"/>
                <w:szCs w:val="21"/>
                <w:highlight w:val="none"/>
              </w:rPr>
            </w:pPr>
          </w:p>
        </w:tc>
      </w:tr>
      <w:tr w14:paraId="71EA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08367171">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（六）采用新技术、新工艺、新材料、新设备可能影响工程施工安全，尚无国家、行业及地方技术标准的分部分项工程。</w:t>
            </w:r>
          </w:p>
        </w:tc>
        <w:tc>
          <w:tcPr>
            <w:tcW w:w="1200" w:type="dxa"/>
            <w:noWrap w:val="0"/>
            <w:vAlign w:val="center"/>
          </w:tcPr>
          <w:p w14:paraId="190EA719">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35CC6D07">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7369555D">
            <w:pPr>
              <w:spacing w:line="276" w:lineRule="auto"/>
              <w:jc w:val="center"/>
              <w:rPr>
                <w:rFonts w:ascii="Times New Roman" w:hAnsi="Times New Roman"/>
                <w:bCs/>
                <w:color w:val="auto"/>
                <w:szCs w:val="21"/>
                <w:highlight w:val="none"/>
              </w:rPr>
            </w:pPr>
          </w:p>
        </w:tc>
      </w:tr>
      <w:tr w14:paraId="1FF8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center"/>
          </w:tcPr>
          <w:p w14:paraId="4C593171">
            <w:pPr>
              <w:widowControl/>
              <w:spacing w:line="276" w:lineRule="auto"/>
              <w:rPr>
                <w:rFonts w:ascii="Times New Roman" w:hAnsi="Times New Roman" w:cs="宋体"/>
                <w:bCs/>
                <w:color w:val="auto"/>
                <w:szCs w:val="21"/>
                <w:highlight w:val="none"/>
              </w:rPr>
            </w:pPr>
            <w:r>
              <w:rPr>
                <w:rFonts w:hint="eastAsia" w:ascii="Times New Roman" w:hAnsi="Times New Roman" w:cs="宋体"/>
                <w:bCs/>
                <w:color w:val="auto"/>
                <w:szCs w:val="21"/>
                <w:highlight w:val="none"/>
              </w:rPr>
              <w:t>二、超过一定规模的危险性较大的分部分项工程清单</w:t>
            </w:r>
          </w:p>
        </w:tc>
        <w:tc>
          <w:tcPr>
            <w:tcW w:w="1200" w:type="dxa"/>
            <w:noWrap w:val="0"/>
            <w:vAlign w:val="center"/>
          </w:tcPr>
          <w:p w14:paraId="66DED7B1">
            <w:pPr>
              <w:spacing w:line="276" w:lineRule="auto"/>
              <w:jc w:val="center"/>
              <w:rPr>
                <w:rFonts w:ascii="Times New Roman" w:hAnsi="Times New Roman"/>
                <w:bCs/>
                <w:color w:val="auto"/>
                <w:szCs w:val="21"/>
                <w:highlight w:val="none"/>
              </w:rPr>
            </w:pPr>
          </w:p>
        </w:tc>
        <w:tc>
          <w:tcPr>
            <w:tcW w:w="1106" w:type="dxa"/>
            <w:noWrap w:val="0"/>
            <w:vAlign w:val="center"/>
          </w:tcPr>
          <w:p w14:paraId="201C902F">
            <w:pPr>
              <w:spacing w:line="276" w:lineRule="auto"/>
              <w:jc w:val="center"/>
              <w:rPr>
                <w:rFonts w:ascii="Times New Roman" w:hAnsi="Times New Roman"/>
                <w:bCs/>
                <w:color w:val="auto"/>
                <w:szCs w:val="21"/>
                <w:highlight w:val="none"/>
              </w:rPr>
            </w:pPr>
          </w:p>
        </w:tc>
        <w:tc>
          <w:tcPr>
            <w:tcW w:w="659" w:type="dxa"/>
            <w:noWrap w:val="0"/>
            <w:vAlign w:val="center"/>
          </w:tcPr>
          <w:p w14:paraId="7F73BF9F">
            <w:pPr>
              <w:spacing w:line="276" w:lineRule="auto"/>
              <w:jc w:val="center"/>
              <w:rPr>
                <w:rFonts w:ascii="Times New Roman" w:hAnsi="Times New Roman"/>
                <w:bCs/>
                <w:color w:val="auto"/>
                <w:szCs w:val="21"/>
                <w:highlight w:val="none"/>
              </w:rPr>
            </w:pPr>
          </w:p>
        </w:tc>
      </w:tr>
      <w:tr w14:paraId="6035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522AAE64">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一、深基坑工程</w:t>
            </w:r>
          </w:p>
        </w:tc>
        <w:tc>
          <w:tcPr>
            <w:tcW w:w="1200" w:type="dxa"/>
            <w:noWrap w:val="0"/>
            <w:vAlign w:val="center"/>
          </w:tcPr>
          <w:p w14:paraId="6D4D8019">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xml:space="preserve">( </w:t>
            </w:r>
            <w:r>
              <w:rPr>
                <w:rFonts w:hint="eastAsia" w:ascii="Times New Roman" w:hAnsi="Times New Roman"/>
                <w:bCs/>
                <w:color w:val="auto"/>
                <w:szCs w:val="21"/>
                <w:highlight w:val="none"/>
                <w:lang w:eastAsia="zh-CN"/>
              </w:rPr>
              <w:t>√</w:t>
            </w:r>
            <w:r>
              <w:rPr>
                <w:rFonts w:hint="eastAsia"/>
                <w:bCs/>
                <w:color w:val="auto"/>
                <w:szCs w:val="21"/>
                <w:highlight w:val="none"/>
              </w:rPr>
              <w:t xml:space="preserve"> </w:t>
            </w:r>
            <w:r>
              <w:rPr>
                <w:rFonts w:hint="eastAsia" w:ascii="Times New Roman" w:hAnsi="Times New Roman"/>
                <w:bCs/>
                <w:color w:val="auto"/>
                <w:szCs w:val="21"/>
                <w:highlight w:val="none"/>
              </w:rPr>
              <w:t>)</w:t>
            </w:r>
          </w:p>
        </w:tc>
        <w:tc>
          <w:tcPr>
            <w:tcW w:w="1106" w:type="dxa"/>
            <w:noWrap w:val="0"/>
            <w:vAlign w:val="center"/>
          </w:tcPr>
          <w:p w14:paraId="133E48F5">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655AC115">
            <w:pPr>
              <w:spacing w:line="276" w:lineRule="auto"/>
              <w:jc w:val="center"/>
              <w:rPr>
                <w:rFonts w:ascii="Times New Roman" w:hAnsi="Times New Roman"/>
                <w:bCs/>
                <w:color w:val="auto"/>
                <w:szCs w:val="21"/>
                <w:highlight w:val="none"/>
              </w:rPr>
            </w:pPr>
          </w:p>
        </w:tc>
      </w:tr>
      <w:tr w14:paraId="0C3FD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7EFCB2AF">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开挖深度超过5m（含5m）的基坑（槽）的土方开挖、支护、降水工程。</w:t>
            </w:r>
          </w:p>
        </w:tc>
        <w:tc>
          <w:tcPr>
            <w:tcW w:w="1200" w:type="dxa"/>
            <w:noWrap w:val="0"/>
            <w:vAlign w:val="center"/>
          </w:tcPr>
          <w:p w14:paraId="21BE0DA3">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xml:space="preserve">( </w:t>
            </w:r>
            <w:r>
              <w:rPr>
                <w:rFonts w:hint="eastAsia" w:ascii="Times New Roman" w:hAnsi="Times New Roman"/>
                <w:bCs/>
                <w:color w:val="auto"/>
                <w:szCs w:val="21"/>
                <w:highlight w:val="none"/>
                <w:lang w:eastAsia="zh-CN"/>
              </w:rPr>
              <w:t>√</w:t>
            </w:r>
            <w:r>
              <w:rPr>
                <w:rFonts w:hint="eastAsia"/>
                <w:bCs/>
                <w:color w:val="auto"/>
                <w:szCs w:val="21"/>
                <w:highlight w:val="none"/>
              </w:rPr>
              <w:t xml:space="preserve"> </w:t>
            </w:r>
            <w:r>
              <w:rPr>
                <w:rFonts w:hint="eastAsia" w:ascii="Times New Roman" w:hAnsi="Times New Roman"/>
                <w:bCs/>
                <w:color w:val="auto"/>
                <w:szCs w:val="21"/>
                <w:highlight w:val="none"/>
              </w:rPr>
              <w:t>)</w:t>
            </w:r>
          </w:p>
        </w:tc>
        <w:tc>
          <w:tcPr>
            <w:tcW w:w="1106" w:type="dxa"/>
            <w:noWrap w:val="0"/>
            <w:vAlign w:val="center"/>
          </w:tcPr>
          <w:p w14:paraId="61BC9230">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1B1D7628">
            <w:pPr>
              <w:spacing w:line="276" w:lineRule="auto"/>
              <w:ind w:firstLine="480"/>
              <w:jc w:val="center"/>
              <w:rPr>
                <w:rFonts w:ascii="Times New Roman" w:hAnsi="Times New Roman"/>
                <w:bCs/>
                <w:color w:val="auto"/>
                <w:szCs w:val="21"/>
                <w:highlight w:val="none"/>
              </w:rPr>
            </w:pPr>
          </w:p>
        </w:tc>
      </w:tr>
      <w:tr w14:paraId="5D00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35E16421">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二、模板工程及支撑体系</w:t>
            </w:r>
          </w:p>
        </w:tc>
        <w:tc>
          <w:tcPr>
            <w:tcW w:w="1200" w:type="dxa"/>
            <w:noWrap w:val="0"/>
            <w:vAlign w:val="center"/>
          </w:tcPr>
          <w:p w14:paraId="71AD089C">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1EF07B97">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243B5406">
            <w:pPr>
              <w:spacing w:line="276" w:lineRule="auto"/>
              <w:ind w:firstLine="480"/>
              <w:jc w:val="center"/>
              <w:rPr>
                <w:rFonts w:ascii="Times New Roman" w:hAnsi="Times New Roman"/>
                <w:bCs/>
                <w:color w:val="auto"/>
                <w:szCs w:val="21"/>
                <w:highlight w:val="none"/>
              </w:rPr>
            </w:pPr>
          </w:p>
        </w:tc>
      </w:tr>
      <w:tr w14:paraId="2CD7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03BC2A48">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（一）各类工具式模板工程：包括滑模、爬模、飞模、隧道模等工程。</w:t>
            </w:r>
          </w:p>
        </w:tc>
        <w:tc>
          <w:tcPr>
            <w:tcW w:w="1200" w:type="dxa"/>
            <w:noWrap w:val="0"/>
            <w:vAlign w:val="center"/>
          </w:tcPr>
          <w:p w14:paraId="798E4AEC">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2C7553BC">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0366DDB7">
            <w:pPr>
              <w:spacing w:line="276" w:lineRule="auto"/>
              <w:ind w:firstLine="480"/>
              <w:jc w:val="center"/>
              <w:rPr>
                <w:rFonts w:ascii="Times New Roman" w:hAnsi="Times New Roman"/>
                <w:bCs/>
                <w:color w:val="auto"/>
                <w:szCs w:val="21"/>
                <w:highlight w:val="none"/>
              </w:rPr>
            </w:pPr>
          </w:p>
        </w:tc>
      </w:tr>
      <w:tr w14:paraId="54BB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4CED79E4">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（二）混凝土模板支撑工程：搭设高度8m及以上，或搭设跨度18m及以上，或施工总荷载（设计值）15kN/m2及以上，或集中线荷载（设计值）20kN/m及以上。</w:t>
            </w:r>
          </w:p>
        </w:tc>
        <w:tc>
          <w:tcPr>
            <w:tcW w:w="1200" w:type="dxa"/>
            <w:noWrap w:val="0"/>
            <w:vAlign w:val="center"/>
          </w:tcPr>
          <w:p w14:paraId="7AAC62EE">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4523D1C8">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6572E9B8">
            <w:pPr>
              <w:spacing w:line="276" w:lineRule="auto"/>
              <w:jc w:val="center"/>
              <w:rPr>
                <w:rFonts w:ascii="Times New Roman" w:hAnsi="Times New Roman"/>
                <w:bCs/>
                <w:color w:val="auto"/>
                <w:szCs w:val="21"/>
                <w:highlight w:val="none"/>
              </w:rPr>
            </w:pPr>
          </w:p>
        </w:tc>
      </w:tr>
      <w:tr w14:paraId="7C74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11E573AE">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（三）承重支撑体系：用于钢结构安装等满堂支撑体系，承受单点集中荷载7kN及以上。</w:t>
            </w:r>
          </w:p>
        </w:tc>
        <w:tc>
          <w:tcPr>
            <w:tcW w:w="1200" w:type="dxa"/>
            <w:noWrap w:val="0"/>
            <w:vAlign w:val="center"/>
          </w:tcPr>
          <w:p w14:paraId="3EF44B9F">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78821BE7">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5858E549">
            <w:pPr>
              <w:spacing w:line="276" w:lineRule="auto"/>
              <w:jc w:val="center"/>
              <w:rPr>
                <w:rFonts w:ascii="Times New Roman" w:hAnsi="Times New Roman"/>
                <w:bCs/>
                <w:color w:val="auto"/>
                <w:szCs w:val="21"/>
                <w:highlight w:val="none"/>
              </w:rPr>
            </w:pPr>
          </w:p>
        </w:tc>
      </w:tr>
      <w:tr w14:paraId="65EA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5BCA6600">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　三、起重吊装及起重机械安装拆卸工程</w:t>
            </w:r>
          </w:p>
        </w:tc>
        <w:tc>
          <w:tcPr>
            <w:tcW w:w="1200" w:type="dxa"/>
            <w:noWrap w:val="0"/>
            <w:vAlign w:val="center"/>
          </w:tcPr>
          <w:p w14:paraId="23760443">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2803598E">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6CF25B71">
            <w:pPr>
              <w:spacing w:line="276" w:lineRule="auto"/>
              <w:jc w:val="center"/>
              <w:rPr>
                <w:rFonts w:ascii="Times New Roman" w:hAnsi="Times New Roman"/>
                <w:bCs/>
                <w:color w:val="auto"/>
                <w:szCs w:val="21"/>
                <w:highlight w:val="none"/>
              </w:rPr>
            </w:pPr>
          </w:p>
        </w:tc>
      </w:tr>
      <w:tr w14:paraId="64088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06361A70">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（一）采用非常规起重设备、方法，且单件起吊重量在100kN及以上的起重吊装工程。</w:t>
            </w:r>
          </w:p>
        </w:tc>
        <w:tc>
          <w:tcPr>
            <w:tcW w:w="1200" w:type="dxa"/>
            <w:noWrap w:val="0"/>
            <w:vAlign w:val="center"/>
          </w:tcPr>
          <w:p w14:paraId="77C6C6D3">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0479CDCD">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17A59641">
            <w:pPr>
              <w:spacing w:line="276" w:lineRule="auto"/>
              <w:jc w:val="center"/>
              <w:rPr>
                <w:rFonts w:ascii="Times New Roman" w:hAnsi="Times New Roman"/>
                <w:bCs/>
                <w:color w:val="auto"/>
                <w:szCs w:val="21"/>
                <w:highlight w:val="none"/>
              </w:rPr>
            </w:pPr>
          </w:p>
        </w:tc>
      </w:tr>
      <w:tr w14:paraId="43ED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14867168">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（二）起重量300kN及以上，或搭设总高度200m及以上，或搭设基础标高在200m及以上的起重机械安装和拆卸工程。</w:t>
            </w:r>
          </w:p>
        </w:tc>
        <w:tc>
          <w:tcPr>
            <w:tcW w:w="1200" w:type="dxa"/>
            <w:noWrap w:val="0"/>
            <w:vAlign w:val="center"/>
          </w:tcPr>
          <w:p w14:paraId="46A6A0D5">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0BE04318">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7E2FE018">
            <w:pPr>
              <w:spacing w:line="276" w:lineRule="auto"/>
              <w:jc w:val="center"/>
              <w:rPr>
                <w:rFonts w:ascii="Times New Roman" w:hAnsi="Times New Roman"/>
                <w:bCs/>
                <w:color w:val="auto"/>
                <w:szCs w:val="21"/>
                <w:highlight w:val="none"/>
              </w:rPr>
            </w:pPr>
          </w:p>
        </w:tc>
      </w:tr>
      <w:tr w14:paraId="61BE3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1661B3EB">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四、脚手架工程</w:t>
            </w:r>
          </w:p>
        </w:tc>
        <w:tc>
          <w:tcPr>
            <w:tcW w:w="1200" w:type="dxa"/>
            <w:noWrap w:val="0"/>
            <w:vAlign w:val="center"/>
          </w:tcPr>
          <w:p w14:paraId="2DE9400F">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7F9002B0">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3D353C13">
            <w:pPr>
              <w:spacing w:line="276" w:lineRule="auto"/>
              <w:jc w:val="center"/>
              <w:rPr>
                <w:rFonts w:ascii="Times New Roman" w:hAnsi="Times New Roman"/>
                <w:bCs/>
                <w:color w:val="auto"/>
                <w:szCs w:val="21"/>
                <w:highlight w:val="none"/>
              </w:rPr>
            </w:pPr>
          </w:p>
        </w:tc>
      </w:tr>
      <w:tr w14:paraId="6BE8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1AD6E1B8">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（一）搭设高度50m及以上的落地式钢管脚手架工程。</w:t>
            </w:r>
          </w:p>
        </w:tc>
        <w:tc>
          <w:tcPr>
            <w:tcW w:w="1200" w:type="dxa"/>
            <w:noWrap w:val="0"/>
            <w:vAlign w:val="center"/>
          </w:tcPr>
          <w:p w14:paraId="30C155D3">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04810BC2">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648AE913">
            <w:pPr>
              <w:spacing w:line="276" w:lineRule="auto"/>
              <w:jc w:val="center"/>
              <w:rPr>
                <w:rFonts w:ascii="Times New Roman" w:hAnsi="Times New Roman"/>
                <w:bCs/>
                <w:color w:val="auto"/>
                <w:szCs w:val="21"/>
                <w:highlight w:val="none"/>
              </w:rPr>
            </w:pPr>
          </w:p>
        </w:tc>
      </w:tr>
      <w:tr w14:paraId="399C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630F1070">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（二）提升高度在150m及以上的附着式升降脚手架工程或附着式升降操作平台工程。</w:t>
            </w:r>
          </w:p>
        </w:tc>
        <w:tc>
          <w:tcPr>
            <w:tcW w:w="1200" w:type="dxa"/>
            <w:noWrap w:val="0"/>
            <w:vAlign w:val="center"/>
          </w:tcPr>
          <w:p w14:paraId="6EFD2F7F">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16DD5A4B">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606DB84B">
            <w:pPr>
              <w:spacing w:line="276" w:lineRule="auto"/>
              <w:jc w:val="center"/>
              <w:rPr>
                <w:rFonts w:ascii="Times New Roman" w:hAnsi="Times New Roman"/>
                <w:bCs/>
                <w:color w:val="auto"/>
                <w:szCs w:val="21"/>
                <w:highlight w:val="none"/>
              </w:rPr>
            </w:pPr>
          </w:p>
        </w:tc>
      </w:tr>
      <w:tr w14:paraId="31EE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5271DAA6">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（三）分段架体搭设高度20m及以上的悬挑式脚手架工程。</w:t>
            </w:r>
          </w:p>
        </w:tc>
        <w:tc>
          <w:tcPr>
            <w:tcW w:w="1200" w:type="dxa"/>
            <w:noWrap w:val="0"/>
            <w:vAlign w:val="center"/>
          </w:tcPr>
          <w:p w14:paraId="25095A6C">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1EC214A5">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7DB1D97E">
            <w:pPr>
              <w:spacing w:line="276" w:lineRule="auto"/>
              <w:jc w:val="center"/>
              <w:rPr>
                <w:rFonts w:ascii="Times New Roman" w:hAnsi="Times New Roman"/>
                <w:bCs/>
                <w:color w:val="auto"/>
                <w:szCs w:val="21"/>
                <w:highlight w:val="none"/>
              </w:rPr>
            </w:pPr>
          </w:p>
        </w:tc>
      </w:tr>
      <w:tr w14:paraId="6DBA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3751FE02">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五、拆除工程</w:t>
            </w:r>
          </w:p>
        </w:tc>
        <w:tc>
          <w:tcPr>
            <w:tcW w:w="1200" w:type="dxa"/>
            <w:noWrap w:val="0"/>
            <w:vAlign w:val="center"/>
          </w:tcPr>
          <w:p w14:paraId="4097D5D3">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0292EB61">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695D0F58">
            <w:pPr>
              <w:spacing w:line="276" w:lineRule="auto"/>
              <w:jc w:val="center"/>
              <w:rPr>
                <w:rFonts w:ascii="Times New Roman" w:hAnsi="Times New Roman"/>
                <w:bCs/>
                <w:color w:val="auto"/>
                <w:szCs w:val="21"/>
                <w:highlight w:val="none"/>
              </w:rPr>
            </w:pPr>
          </w:p>
        </w:tc>
      </w:tr>
      <w:tr w14:paraId="7AFB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342C4E27">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（一）码头、桥梁、高架、烟囱、水塔或拆除中容易引起有毒有害气（液）体或粉尘扩散、易燃易爆事故发生的特殊建、构筑物的拆除工程。</w:t>
            </w:r>
          </w:p>
        </w:tc>
        <w:tc>
          <w:tcPr>
            <w:tcW w:w="1200" w:type="dxa"/>
            <w:noWrap w:val="0"/>
            <w:vAlign w:val="center"/>
          </w:tcPr>
          <w:p w14:paraId="7F34B71F">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42EFA364">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612D3E97">
            <w:pPr>
              <w:spacing w:line="276" w:lineRule="auto"/>
              <w:jc w:val="center"/>
              <w:rPr>
                <w:rFonts w:ascii="Times New Roman" w:hAnsi="Times New Roman"/>
                <w:bCs/>
                <w:color w:val="auto"/>
                <w:szCs w:val="21"/>
                <w:highlight w:val="none"/>
              </w:rPr>
            </w:pPr>
          </w:p>
        </w:tc>
      </w:tr>
      <w:tr w14:paraId="77BAA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52A38215">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（二）文物保护建筑、优秀历史建筑或历史文化风貌区影响范围内的拆除工程。</w:t>
            </w:r>
          </w:p>
        </w:tc>
        <w:tc>
          <w:tcPr>
            <w:tcW w:w="1200" w:type="dxa"/>
            <w:noWrap w:val="0"/>
            <w:vAlign w:val="center"/>
          </w:tcPr>
          <w:p w14:paraId="290A129E">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76048E9B">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66C3CC36">
            <w:pPr>
              <w:spacing w:line="276" w:lineRule="auto"/>
              <w:jc w:val="center"/>
              <w:rPr>
                <w:rFonts w:ascii="Times New Roman" w:hAnsi="Times New Roman"/>
                <w:bCs/>
                <w:color w:val="auto"/>
                <w:szCs w:val="21"/>
                <w:highlight w:val="none"/>
              </w:rPr>
            </w:pPr>
          </w:p>
        </w:tc>
      </w:tr>
      <w:tr w14:paraId="5F65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06ABFAB8">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六、暗挖工程</w:t>
            </w:r>
          </w:p>
        </w:tc>
        <w:tc>
          <w:tcPr>
            <w:tcW w:w="1200" w:type="dxa"/>
            <w:noWrap w:val="0"/>
            <w:vAlign w:val="center"/>
          </w:tcPr>
          <w:p w14:paraId="3648DB55">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17E867EE">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62AB9E03">
            <w:pPr>
              <w:spacing w:line="276" w:lineRule="auto"/>
              <w:jc w:val="center"/>
              <w:rPr>
                <w:rFonts w:ascii="Times New Roman" w:hAnsi="Times New Roman"/>
                <w:bCs/>
                <w:color w:val="auto"/>
                <w:szCs w:val="21"/>
                <w:highlight w:val="none"/>
              </w:rPr>
            </w:pPr>
          </w:p>
        </w:tc>
      </w:tr>
      <w:tr w14:paraId="38384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5B980817">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采用矿山法、盾构法、顶管法施工的隧道、洞室工程。</w:t>
            </w:r>
          </w:p>
        </w:tc>
        <w:tc>
          <w:tcPr>
            <w:tcW w:w="1200" w:type="dxa"/>
            <w:noWrap w:val="0"/>
            <w:vAlign w:val="center"/>
          </w:tcPr>
          <w:p w14:paraId="7737AA7E">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6ED44A7C">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20426130">
            <w:pPr>
              <w:spacing w:line="276" w:lineRule="auto"/>
              <w:jc w:val="center"/>
              <w:rPr>
                <w:rFonts w:ascii="Times New Roman" w:hAnsi="Times New Roman"/>
                <w:bCs/>
                <w:color w:val="auto"/>
                <w:szCs w:val="21"/>
                <w:highlight w:val="none"/>
              </w:rPr>
            </w:pPr>
          </w:p>
        </w:tc>
      </w:tr>
      <w:tr w14:paraId="27511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2E3D0408">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七、其它</w:t>
            </w:r>
          </w:p>
        </w:tc>
        <w:tc>
          <w:tcPr>
            <w:tcW w:w="1200" w:type="dxa"/>
            <w:noWrap w:val="0"/>
            <w:vAlign w:val="center"/>
          </w:tcPr>
          <w:p w14:paraId="74ED220F">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316C5AA4">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33B5013D">
            <w:pPr>
              <w:spacing w:line="276" w:lineRule="auto"/>
              <w:jc w:val="center"/>
              <w:rPr>
                <w:rFonts w:ascii="Times New Roman" w:hAnsi="Times New Roman"/>
                <w:bCs/>
                <w:color w:val="auto"/>
                <w:szCs w:val="21"/>
                <w:highlight w:val="none"/>
              </w:rPr>
            </w:pPr>
          </w:p>
        </w:tc>
      </w:tr>
      <w:tr w14:paraId="64D0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78D45582">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（一）施工高度50m及以上的建筑幕墙安装工程。</w:t>
            </w:r>
          </w:p>
        </w:tc>
        <w:tc>
          <w:tcPr>
            <w:tcW w:w="1200" w:type="dxa"/>
            <w:noWrap w:val="0"/>
            <w:vAlign w:val="center"/>
          </w:tcPr>
          <w:p w14:paraId="09678C73">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0AACDD78">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44FF4267">
            <w:pPr>
              <w:spacing w:line="276" w:lineRule="auto"/>
              <w:jc w:val="center"/>
              <w:rPr>
                <w:rFonts w:ascii="Times New Roman" w:hAnsi="Times New Roman"/>
                <w:bCs/>
                <w:color w:val="auto"/>
                <w:szCs w:val="21"/>
                <w:highlight w:val="none"/>
              </w:rPr>
            </w:pPr>
          </w:p>
        </w:tc>
      </w:tr>
      <w:tr w14:paraId="08C5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658843FD">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（二）跨度36m及以上的钢结构安装工程，或跨度60m及以上的网架和索膜结构安装工程。</w:t>
            </w:r>
          </w:p>
        </w:tc>
        <w:tc>
          <w:tcPr>
            <w:tcW w:w="1200" w:type="dxa"/>
            <w:noWrap w:val="0"/>
            <w:vAlign w:val="center"/>
          </w:tcPr>
          <w:p w14:paraId="6FAE3B74">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2D943976">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0E84775D">
            <w:pPr>
              <w:spacing w:line="276" w:lineRule="auto"/>
              <w:jc w:val="center"/>
              <w:rPr>
                <w:rFonts w:ascii="Times New Roman" w:hAnsi="Times New Roman"/>
                <w:bCs/>
                <w:color w:val="auto"/>
                <w:szCs w:val="21"/>
                <w:highlight w:val="none"/>
              </w:rPr>
            </w:pPr>
          </w:p>
        </w:tc>
      </w:tr>
      <w:tr w14:paraId="5DBC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0E902D2A">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（三）开挖深度16m及以上的人工挖孔桩工程。</w:t>
            </w:r>
          </w:p>
        </w:tc>
        <w:tc>
          <w:tcPr>
            <w:tcW w:w="1200" w:type="dxa"/>
            <w:noWrap w:val="0"/>
            <w:vAlign w:val="center"/>
          </w:tcPr>
          <w:p w14:paraId="483FF142">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5BD64525">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24309E0D">
            <w:pPr>
              <w:spacing w:line="276" w:lineRule="auto"/>
              <w:jc w:val="center"/>
              <w:rPr>
                <w:rFonts w:ascii="Times New Roman" w:hAnsi="Times New Roman"/>
                <w:bCs/>
                <w:color w:val="auto"/>
                <w:szCs w:val="21"/>
                <w:highlight w:val="none"/>
              </w:rPr>
            </w:pPr>
          </w:p>
        </w:tc>
      </w:tr>
      <w:tr w14:paraId="63FA6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1FE84A2F">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（四）水下作业工程。</w:t>
            </w:r>
          </w:p>
        </w:tc>
        <w:tc>
          <w:tcPr>
            <w:tcW w:w="1200" w:type="dxa"/>
            <w:noWrap w:val="0"/>
            <w:vAlign w:val="center"/>
          </w:tcPr>
          <w:p w14:paraId="43089834">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7D4D521B">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39013843">
            <w:pPr>
              <w:spacing w:line="276" w:lineRule="auto"/>
              <w:jc w:val="center"/>
              <w:rPr>
                <w:rFonts w:ascii="Times New Roman" w:hAnsi="Times New Roman"/>
                <w:bCs/>
                <w:color w:val="auto"/>
                <w:szCs w:val="21"/>
                <w:highlight w:val="none"/>
              </w:rPr>
            </w:pPr>
          </w:p>
        </w:tc>
      </w:tr>
      <w:tr w14:paraId="666E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6D41956D">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（五）重量1000kN及以上的大型结构整体顶升、平移、转体等施工工艺。</w:t>
            </w:r>
          </w:p>
        </w:tc>
        <w:tc>
          <w:tcPr>
            <w:tcW w:w="1200" w:type="dxa"/>
            <w:noWrap w:val="0"/>
            <w:vAlign w:val="center"/>
          </w:tcPr>
          <w:p w14:paraId="4E6647AE">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2E5946C1">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1976FED0">
            <w:pPr>
              <w:spacing w:line="276" w:lineRule="auto"/>
              <w:jc w:val="center"/>
              <w:rPr>
                <w:rFonts w:ascii="Times New Roman" w:hAnsi="Times New Roman"/>
                <w:bCs/>
                <w:color w:val="auto"/>
                <w:szCs w:val="21"/>
                <w:highlight w:val="none"/>
              </w:rPr>
            </w:pPr>
          </w:p>
        </w:tc>
      </w:tr>
      <w:tr w14:paraId="1B9A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6" w:type="dxa"/>
            <w:noWrap w:val="0"/>
            <w:vAlign w:val="top"/>
          </w:tcPr>
          <w:p w14:paraId="1197C26C">
            <w:pPr>
              <w:spacing w:line="276" w:lineRule="auto"/>
              <w:jc w:val="left"/>
              <w:rPr>
                <w:rFonts w:ascii="Times New Roman" w:hAnsi="Times New Roman"/>
                <w:bCs/>
                <w:color w:val="auto"/>
                <w:szCs w:val="21"/>
                <w:highlight w:val="none"/>
              </w:rPr>
            </w:pPr>
            <w:r>
              <w:rPr>
                <w:rFonts w:hint="eastAsia" w:ascii="Times New Roman" w:hAnsi="Times New Roman"/>
                <w:bCs/>
                <w:color w:val="auto"/>
                <w:szCs w:val="21"/>
                <w:highlight w:val="none"/>
              </w:rPr>
              <w:t>（六）采用新技术、新工艺、新材料、新设备可能影响工程施工安全，尚无国家、行业及地方技术标准的分部分项工程。</w:t>
            </w:r>
          </w:p>
        </w:tc>
        <w:tc>
          <w:tcPr>
            <w:tcW w:w="1200" w:type="dxa"/>
            <w:noWrap w:val="0"/>
            <w:vAlign w:val="center"/>
          </w:tcPr>
          <w:p w14:paraId="34738D5C">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1106" w:type="dxa"/>
            <w:noWrap w:val="0"/>
            <w:vAlign w:val="center"/>
          </w:tcPr>
          <w:p w14:paraId="4F8E002F">
            <w:pPr>
              <w:spacing w:line="276"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    )</w:t>
            </w:r>
          </w:p>
        </w:tc>
        <w:tc>
          <w:tcPr>
            <w:tcW w:w="659" w:type="dxa"/>
            <w:noWrap w:val="0"/>
            <w:vAlign w:val="center"/>
          </w:tcPr>
          <w:p w14:paraId="2689CDB2">
            <w:pPr>
              <w:spacing w:line="276" w:lineRule="auto"/>
              <w:jc w:val="center"/>
              <w:rPr>
                <w:rFonts w:ascii="Times New Roman" w:hAnsi="Times New Roman"/>
                <w:bCs/>
                <w:color w:val="auto"/>
                <w:szCs w:val="21"/>
                <w:highlight w:val="none"/>
              </w:rPr>
            </w:pPr>
          </w:p>
        </w:tc>
      </w:tr>
    </w:tbl>
    <w:p w14:paraId="73FD5712">
      <w:pPr>
        <w:pStyle w:val="122"/>
        <w:ind w:firstLine="496"/>
        <w:rPr>
          <w:bCs/>
          <w:color w:val="auto"/>
          <w:highlight w:val="none"/>
        </w:rPr>
      </w:pPr>
    </w:p>
    <w:p w14:paraId="5FDAF7C5">
      <w:pPr>
        <w:spacing w:line="360" w:lineRule="auto"/>
        <w:ind w:firstLine="5520"/>
        <w:jc w:val="right"/>
        <w:rPr>
          <w:rFonts w:cs="宋体"/>
          <w:bCs/>
          <w:color w:val="auto"/>
          <w:sz w:val="24"/>
          <w:szCs w:val="20"/>
          <w:highlight w:val="none"/>
        </w:rPr>
      </w:pPr>
      <w:r>
        <w:rPr>
          <w:rFonts w:hint="eastAsia" w:cs="宋体"/>
          <w:bCs/>
          <w:color w:val="auto"/>
          <w:sz w:val="24"/>
          <w:szCs w:val="20"/>
          <w:highlight w:val="none"/>
        </w:rPr>
        <w:t>投标人名称（盖法人公章）：</w:t>
      </w:r>
    </w:p>
    <w:p w14:paraId="65694EEB">
      <w:pPr>
        <w:spacing w:line="360" w:lineRule="auto"/>
        <w:ind w:right="26"/>
        <w:jc w:val="right"/>
        <w:rPr>
          <w:rFonts w:cs="宋体"/>
          <w:bCs/>
          <w:color w:val="auto"/>
          <w:sz w:val="24"/>
          <w:szCs w:val="20"/>
          <w:highlight w:val="none"/>
        </w:rPr>
      </w:pPr>
      <w:r>
        <w:rPr>
          <w:rFonts w:hint="eastAsia" w:cs="宋体"/>
          <w:bCs/>
          <w:color w:val="auto"/>
          <w:sz w:val="24"/>
          <w:szCs w:val="20"/>
          <w:highlight w:val="none"/>
        </w:rPr>
        <w:t>法定代表人或被授权人（签字或盖章）：</w:t>
      </w:r>
    </w:p>
    <w:p w14:paraId="60A8C5CE">
      <w:pPr>
        <w:autoSpaceDE w:val="0"/>
        <w:autoSpaceDN w:val="0"/>
        <w:adjustRightInd w:val="0"/>
        <w:jc w:val="right"/>
        <w:rPr>
          <w:color w:val="auto"/>
          <w:sz w:val="28"/>
          <w:szCs w:val="28"/>
          <w:highlight w:val="none"/>
        </w:rPr>
      </w:pPr>
      <w:r>
        <w:rPr>
          <w:rFonts w:hint="eastAsia" w:cs="宋体"/>
          <w:bCs/>
          <w:color w:val="auto"/>
          <w:sz w:val="24"/>
          <w:szCs w:val="20"/>
          <w:highlight w:val="none"/>
        </w:rPr>
        <w:t>日期：   年  月  日</w:t>
      </w:r>
      <w:r>
        <w:rPr>
          <w:rStyle w:val="125"/>
          <w:rFonts w:hint="eastAsia"/>
          <w:color w:val="auto"/>
          <w:highlight w:val="none"/>
        </w:rPr>
        <w:br w:type="page"/>
      </w:r>
    </w:p>
    <w:p w14:paraId="45B96A58">
      <w:pPr>
        <w:autoSpaceDE w:val="0"/>
        <w:autoSpaceDN w:val="0"/>
        <w:adjustRightInd w:val="0"/>
        <w:rPr>
          <w:color w:val="auto"/>
          <w:sz w:val="28"/>
          <w:szCs w:val="28"/>
          <w:highlight w:val="none"/>
        </w:rPr>
      </w:pPr>
      <w:r>
        <w:rPr>
          <w:rFonts w:hint="eastAsia"/>
          <w:color w:val="auto"/>
          <w:sz w:val="28"/>
          <w:szCs w:val="28"/>
          <w:highlight w:val="none"/>
        </w:rPr>
        <w:t>参考格式四</w:t>
      </w:r>
    </w:p>
    <w:p w14:paraId="75318B21">
      <w:pPr>
        <w:pStyle w:val="5"/>
        <w:spacing w:after="0" w:line="360" w:lineRule="auto"/>
        <w:ind w:firstLine="0"/>
        <w:jc w:val="center"/>
        <w:rPr>
          <w:color w:val="auto"/>
          <w:sz w:val="32"/>
          <w:szCs w:val="32"/>
          <w:highlight w:val="none"/>
        </w:rPr>
      </w:pPr>
      <w:r>
        <w:rPr>
          <w:rFonts w:hint="eastAsia"/>
          <w:b/>
          <w:color w:val="auto"/>
          <w:sz w:val="32"/>
          <w:szCs w:val="32"/>
          <w:highlight w:val="none"/>
        </w:rPr>
        <w:t>对投标文件编制的承诺</w:t>
      </w:r>
    </w:p>
    <w:p w14:paraId="08B3770A">
      <w:pPr>
        <w:pStyle w:val="5"/>
        <w:spacing w:after="0" w:line="360" w:lineRule="auto"/>
        <w:ind w:left="-2" w:leftChars="-1"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本公司授权</w:t>
      </w:r>
      <w:r>
        <w:rPr>
          <w:rFonts w:hint="eastAsia" w:ascii="宋体" w:hAnsi="宋体"/>
          <w:color w:val="auto"/>
          <w:sz w:val="24"/>
          <w:szCs w:val="24"/>
          <w:highlight w:val="none"/>
          <w:u w:val="single"/>
        </w:rPr>
        <w:t xml:space="preserve">         （身份证号：               ）</w:t>
      </w:r>
      <w:r>
        <w:rPr>
          <w:rFonts w:hint="eastAsia" w:ascii="宋体" w:hAnsi="宋体"/>
          <w:color w:val="auto"/>
          <w:sz w:val="24"/>
          <w:szCs w:val="24"/>
          <w:highlight w:val="none"/>
        </w:rPr>
        <w:t>负责对投标文件的编制及内容进行解释、说明，并承诺以下事项：</w:t>
      </w:r>
    </w:p>
    <w:p w14:paraId="67EA6C75">
      <w:pPr>
        <w:pStyle w:val="5"/>
        <w:spacing w:after="0" w:line="360" w:lineRule="auto"/>
        <w:ind w:left="-2" w:leftChars="-1"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1.被授权人清楚投标文件编制的具体情况，包括技术方案文件、工程量清单、以及投标文件的加密打包的理解；</w:t>
      </w:r>
    </w:p>
    <w:p w14:paraId="274FBCB1">
      <w:pPr>
        <w:pStyle w:val="5"/>
        <w:spacing w:after="0" w:line="360" w:lineRule="auto"/>
        <w:ind w:left="-2" w:leftChars="-1"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2.在本项目开标至评标结束前，努力确保被授权人在项目评标所在地附近；</w:t>
      </w:r>
    </w:p>
    <w:p w14:paraId="39069344">
      <w:pPr>
        <w:pStyle w:val="5"/>
        <w:spacing w:after="0" w:line="360" w:lineRule="auto"/>
        <w:ind w:left="-2" w:leftChars="-1"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3.从评标委员会要求澄清起二小时内，被授权人应如实地书面澄清。</w:t>
      </w:r>
    </w:p>
    <w:p w14:paraId="4C4C5DB0">
      <w:pPr>
        <w:pStyle w:val="5"/>
        <w:spacing w:after="0" w:line="360" w:lineRule="auto"/>
        <w:ind w:left="-2" w:leftChars="-1"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 xml:space="preserve">如由于未遵守上述承诺内容之一导致无法进行澄清的，我公司认可和接受评标委员会作出的评审结论。                                 </w:t>
      </w:r>
    </w:p>
    <w:p w14:paraId="28B2F571">
      <w:pPr>
        <w:pStyle w:val="5"/>
        <w:spacing w:after="0"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747EB4FB">
      <w:pPr>
        <w:pStyle w:val="5"/>
        <w:spacing w:after="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附件：《投标文件编制情况》</w:t>
      </w:r>
    </w:p>
    <w:p w14:paraId="3BF20595">
      <w:pPr>
        <w:spacing w:line="360" w:lineRule="auto"/>
        <w:ind w:right="90" w:firstLine="3240" w:firstLineChars="1350"/>
        <w:rPr>
          <w:rFonts w:hint="eastAsia" w:ascii="宋体" w:hAnsi="宋体"/>
          <w:color w:val="auto"/>
          <w:sz w:val="24"/>
          <w:szCs w:val="24"/>
          <w:highlight w:val="none"/>
          <w:u w:val="single"/>
        </w:rPr>
      </w:pPr>
      <w:r>
        <w:rPr>
          <w:rFonts w:hint="eastAsia" w:ascii="宋体" w:hAnsi="宋体"/>
          <w:color w:val="auto"/>
          <w:sz w:val="24"/>
          <w:szCs w:val="24"/>
          <w:highlight w:val="none"/>
        </w:rPr>
        <w:t xml:space="preserve"> 投标人名称（盖法人公章）：</w:t>
      </w:r>
      <w:r>
        <w:rPr>
          <w:rFonts w:hint="eastAsia" w:ascii="宋体" w:hAnsi="宋体"/>
          <w:color w:val="auto"/>
          <w:sz w:val="24"/>
          <w:szCs w:val="24"/>
          <w:highlight w:val="none"/>
          <w:u w:val="single"/>
        </w:rPr>
        <w:t xml:space="preserve">                  </w:t>
      </w:r>
    </w:p>
    <w:p w14:paraId="4ECCFD78">
      <w:pPr>
        <w:spacing w:line="360" w:lineRule="auto"/>
        <w:ind w:firstLine="2160" w:firstLineChars="900"/>
        <w:rPr>
          <w:rFonts w:hint="eastAsia" w:ascii="宋体" w:hAnsi="宋体"/>
          <w:color w:val="auto"/>
          <w:sz w:val="24"/>
          <w:szCs w:val="24"/>
          <w:highlight w:val="none"/>
          <w:u w:val="single"/>
        </w:rPr>
      </w:pPr>
      <w:r>
        <w:rPr>
          <w:rFonts w:hint="eastAsia" w:ascii="宋体" w:hAnsi="宋体"/>
          <w:color w:val="auto"/>
          <w:sz w:val="24"/>
          <w:szCs w:val="24"/>
          <w:highlight w:val="none"/>
        </w:rPr>
        <w:t>法定代表人或被授权人（签字或盖章）：</w:t>
      </w:r>
      <w:r>
        <w:rPr>
          <w:rFonts w:hint="eastAsia" w:ascii="宋体" w:hAnsi="宋体"/>
          <w:color w:val="auto"/>
          <w:sz w:val="24"/>
          <w:szCs w:val="24"/>
          <w:highlight w:val="none"/>
          <w:u w:val="single"/>
        </w:rPr>
        <w:t xml:space="preserve">                  </w:t>
      </w:r>
    </w:p>
    <w:p w14:paraId="2924C45B">
      <w:pPr>
        <w:spacing w:line="360" w:lineRule="auto"/>
        <w:ind w:firstLine="4440" w:firstLineChars="1850"/>
        <w:jc w:val="center"/>
        <w:rPr>
          <w:color w:val="auto"/>
          <w:sz w:val="24"/>
          <w:szCs w:val="24"/>
          <w:highlight w:val="none"/>
        </w:rPr>
      </w:pPr>
      <w:r>
        <w:rPr>
          <w:rFonts w:hint="eastAsia"/>
          <w:color w:val="auto"/>
          <w:sz w:val="24"/>
          <w:szCs w:val="24"/>
          <w:highlight w:val="none"/>
        </w:rPr>
        <w:t xml:space="preserve"> 日期：      年   月   日 </w:t>
      </w:r>
      <w:r>
        <w:rPr>
          <w:rFonts w:hint="eastAsia"/>
          <w:color w:val="auto"/>
          <w:sz w:val="18"/>
          <w:szCs w:val="18"/>
          <w:highlight w:val="none"/>
        </w:rPr>
        <w:t xml:space="preserve"> </w:t>
      </w:r>
      <w:r>
        <w:rPr>
          <w:rFonts w:hint="eastAsia"/>
          <w:color w:val="auto"/>
          <w:sz w:val="24"/>
          <w:szCs w:val="24"/>
          <w:highlight w:val="none"/>
        </w:rPr>
        <w:t xml:space="preserve">    </w:t>
      </w:r>
    </w:p>
    <w:p w14:paraId="028D8FC9">
      <w:pPr>
        <w:pStyle w:val="5"/>
        <w:spacing w:after="0" w:line="360" w:lineRule="auto"/>
        <w:ind w:firstLine="0"/>
        <w:rPr>
          <w:b/>
          <w:color w:val="auto"/>
          <w:sz w:val="32"/>
          <w:szCs w:val="32"/>
          <w:highlight w:val="none"/>
        </w:rPr>
      </w:pPr>
    </w:p>
    <w:p w14:paraId="0BD1B264">
      <w:pPr>
        <w:pStyle w:val="5"/>
        <w:spacing w:after="0" w:line="360" w:lineRule="auto"/>
        <w:ind w:firstLine="643" w:firstLineChars="200"/>
        <w:jc w:val="center"/>
        <w:rPr>
          <w:color w:val="auto"/>
          <w:sz w:val="18"/>
          <w:szCs w:val="18"/>
          <w:highlight w:val="none"/>
        </w:rPr>
      </w:pPr>
      <w:r>
        <w:rPr>
          <w:rFonts w:hint="eastAsia"/>
          <w:b/>
          <w:color w:val="auto"/>
          <w:sz w:val="32"/>
          <w:szCs w:val="32"/>
          <w:highlight w:val="none"/>
        </w:rPr>
        <w:t>投标文件编制情况</w:t>
      </w:r>
    </w:p>
    <w:p w14:paraId="06B56BCB">
      <w:pPr>
        <w:pStyle w:val="5"/>
        <w:spacing w:after="0"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1.投标文件报价编制方式: □自行编制的，编制的负责人：</w:t>
      </w:r>
      <w:r>
        <w:rPr>
          <w:rFonts w:hint="eastAsia" w:ascii="宋体" w:hAnsi="宋体"/>
          <w:color w:val="auto"/>
          <w:sz w:val="24"/>
          <w:szCs w:val="24"/>
          <w:highlight w:val="none"/>
          <w:u w:val="single"/>
        </w:rPr>
        <w:t xml:space="preserve"> （盖造价工程师执业专用章或全国建设工程造价员章，执业单位应与投标人一致） </w:t>
      </w:r>
      <w:r>
        <w:rPr>
          <w:rFonts w:hint="eastAsia" w:ascii="宋体" w:hAnsi="宋体"/>
          <w:color w:val="auto"/>
          <w:sz w:val="24"/>
          <w:szCs w:val="24"/>
          <w:highlight w:val="none"/>
        </w:rPr>
        <w:t>。□委托编制的，受委托单位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，编制的负责人：</w:t>
      </w:r>
      <w:r>
        <w:rPr>
          <w:rFonts w:hint="eastAsia" w:ascii="宋体" w:hAnsi="宋体"/>
          <w:color w:val="auto"/>
          <w:sz w:val="24"/>
          <w:szCs w:val="24"/>
          <w:highlight w:val="none"/>
          <w:u w:val="single"/>
        </w:rPr>
        <w:t xml:space="preserve"> （盖造价工程师执业专用章或全国建设工程造价员章，执业单位应与受委托单位一致） </w:t>
      </w:r>
      <w:r>
        <w:rPr>
          <w:rFonts w:hint="eastAsia" w:ascii="宋体" w:hAnsi="宋体"/>
          <w:color w:val="auto"/>
          <w:sz w:val="24"/>
          <w:szCs w:val="24"/>
          <w:highlight w:val="none"/>
        </w:rPr>
        <w:t>。</w:t>
      </w:r>
    </w:p>
    <w:p w14:paraId="78F4FD76">
      <w:pPr>
        <w:pStyle w:val="5"/>
        <w:spacing w:after="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2.投标文件加密打包的电脑情况</w:t>
      </w:r>
    </w:p>
    <w:tbl>
      <w:tblPr>
        <w:tblStyle w:val="36"/>
        <w:tblW w:w="9871" w:type="dxa"/>
        <w:tblInd w:w="0" w:type="dxa"/>
        <w:tblLayout w:type="fixed"/>
        <w:tblCellMar>
          <w:top w:w="0" w:type="dxa"/>
          <w:left w:w="108" w:type="dxa"/>
          <w:bottom w:w="0" w:type="dxa"/>
          <w:right w:w="108" w:type="dxa"/>
        </w:tblCellMar>
      </w:tblPr>
      <w:tblGrid>
        <w:gridCol w:w="9871"/>
      </w:tblGrid>
      <w:tr w14:paraId="5D45A093">
        <w:tblPrEx>
          <w:tblCellMar>
            <w:top w:w="0" w:type="dxa"/>
            <w:left w:w="108" w:type="dxa"/>
            <w:bottom w:w="0" w:type="dxa"/>
            <w:right w:w="108" w:type="dxa"/>
          </w:tblCellMar>
        </w:tblPrEx>
        <w:trPr>
          <w:trHeight w:val="2819" w:hRule="atLeast"/>
        </w:trPr>
        <w:tc>
          <w:tcPr>
            <w:tcW w:w="9871" w:type="dxa"/>
            <w:shd w:val="clear" w:color="auto" w:fill="auto"/>
          </w:tcPr>
          <w:p w14:paraId="69AC87B0">
            <w:pPr>
              <w:pStyle w:val="5"/>
              <w:spacing w:after="0" w:line="360" w:lineRule="auto"/>
              <w:ind w:firstLine="0"/>
              <w:rPr>
                <w:rFonts w:hint="eastAsia" w:ascii="宋体" w:hAnsi="宋体"/>
                <w:color w:val="auto"/>
                <w:sz w:val="24"/>
                <w:szCs w:val="24"/>
                <w:highlight w:val="none"/>
              </w:rPr>
            </w:pPr>
            <w:r>
              <w:rPr>
                <w:rFonts w:hint="eastAsia" w:ascii="宋体" w:hAnsi="宋体"/>
                <w:color w:val="auto"/>
                <w:sz w:val="24"/>
                <w:szCs w:val="24"/>
                <w:highlight w:val="none"/>
              </w:rPr>
              <w:t>投标文件加密打包的电脑     自有   □      外包    □     其他    □</w:t>
            </w:r>
          </w:p>
          <w:p w14:paraId="1ADE4C92">
            <w:pPr>
              <w:pStyle w:val="5"/>
              <w:spacing w:after="0" w:line="360" w:lineRule="auto"/>
              <w:ind w:firstLine="0"/>
              <w:rPr>
                <w:rFonts w:hint="eastAsia" w:ascii="宋体" w:hAnsi="宋体"/>
                <w:color w:val="auto"/>
                <w:sz w:val="24"/>
                <w:szCs w:val="24"/>
                <w:highlight w:val="none"/>
              </w:rPr>
            </w:pPr>
            <w:r>
              <w:rPr>
                <w:rFonts w:hint="eastAsia" w:ascii="宋体" w:hAnsi="宋体"/>
                <w:color w:val="auto"/>
                <w:sz w:val="24"/>
                <w:szCs w:val="24"/>
                <w:highlight w:val="none"/>
              </w:rPr>
              <w:t>电脑类型</w:t>
            </w:r>
          </w:p>
          <w:p w14:paraId="5D2C4A83">
            <w:pPr>
              <w:pStyle w:val="5"/>
              <w:spacing w:after="0" w:line="360" w:lineRule="auto"/>
              <w:ind w:firstLine="0"/>
              <w:rPr>
                <w:rFonts w:hint="eastAsia" w:ascii="宋体" w:hAnsi="宋体"/>
                <w:color w:val="auto"/>
                <w:sz w:val="24"/>
                <w:szCs w:val="24"/>
                <w:highlight w:val="none"/>
              </w:rPr>
            </w:pPr>
            <w:r>
              <w:rPr>
                <w:rFonts w:hint="eastAsia" w:ascii="宋体" w:hAnsi="宋体"/>
                <w:color w:val="auto"/>
                <w:sz w:val="24"/>
                <w:szCs w:val="24"/>
                <w:highlight w:val="none"/>
              </w:rPr>
              <w:t>电脑所属单位</w:t>
            </w:r>
          </w:p>
          <w:p w14:paraId="07337CC1">
            <w:pPr>
              <w:pStyle w:val="5"/>
              <w:spacing w:after="0" w:line="360" w:lineRule="auto"/>
              <w:ind w:firstLine="0"/>
              <w:rPr>
                <w:rFonts w:hint="eastAsia" w:ascii="宋体" w:hAnsi="宋体"/>
                <w:color w:val="auto"/>
                <w:sz w:val="24"/>
                <w:szCs w:val="24"/>
                <w:highlight w:val="none"/>
              </w:rPr>
            </w:pPr>
            <w:r>
              <w:rPr>
                <w:rFonts w:hint="eastAsia" w:ascii="宋体" w:hAnsi="宋体"/>
                <w:color w:val="auto"/>
                <w:sz w:val="24"/>
                <w:szCs w:val="24"/>
                <w:highlight w:val="none"/>
              </w:rPr>
              <w:t>电脑所在地址        （如××市××区(县) ××街（路）××号××大厦××房）</w:t>
            </w:r>
          </w:p>
        </w:tc>
      </w:tr>
    </w:tbl>
    <w:p w14:paraId="532E048A">
      <w:pPr>
        <w:rPr>
          <w:rFonts w:cs="宋体"/>
          <w:color w:val="auto"/>
          <w:sz w:val="28"/>
          <w:szCs w:val="28"/>
          <w:highlight w:val="none"/>
        </w:rPr>
      </w:pPr>
      <w:bookmarkStart w:id="70" w:name="_Toc21525513"/>
      <w:bookmarkStart w:id="71" w:name="_Toc2272568"/>
      <w:bookmarkStart w:id="72" w:name="_Toc15835"/>
      <w:r>
        <w:rPr>
          <w:rFonts w:hint="eastAsia" w:cs="宋体"/>
          <w:color w:val="auto"/>
          <w:sz w:val="28"/>
          <w:szCs w:val="28"/>
          <w:highlight w:val="none"/>
        </w:rPr>
        <w:br w:type="page"/>
      </w:r>
    </w:p>
    <w:p w14:paraId="2770F382">
      <w:pPr>
        <w:autoSpaceDE w:val="0"/>
        <w:autoSpaceDN w:val="0"/>
        <w:adjustRightInd w:val="0"/>
        <w:rPr>
          <w:color w:val="auto"/>
          <w:sz w:val="28"/>
          <w:szCs w:val="28"/>
          <w:highlight w:val="none"/>
        </w:rPr>
      </w:pPr>
      <w:r>
        <w:rPr>
          <w:rFonts w:hint="eastAsia"/>
          <w:color w:val="auto"/>
          <w:sz w:val="28"/>
          <w:szCs w:val="28"/>
          <w:highlight w:val="none"/>
        </w:rPr>
        <w:t>参考格式五</w:t>
      </w:r>
    </w:p>
    <w:p w14:paraId="333A7FBE">
      <w:pPr>
        <w:jc w:val="center"/>
        <w:rPr>
          <w:rFonts w:ascii="Arial" w:hAnsi="Arial"/>
          <w:b/>
          <w:color w:val="auto"/>
          <w:kern w:val="44"/>
          <w:sz w:val="28"/>
          <w:szCs w:val="28"/>
          <w:highlight w:val="none"/>
        </w:rPr>
      </w:pPr>
      <w:r>
        <w:rPr>
          <w:rFonts w:hint="eastAsia" w:ascii="宋体" w:hAnsi="宋体" w:cs="宋体"/>
          <w:b/>
          <w:color w:val="auto"/>
          <w:kern w:val="44"/>
          <w:sz w:val="28"/>
          <w:szCs w:val="28"/>
          <w:highlight w:val="none"/>
          <w:lang w:bidi="ar"/>
        </w:rPr>
        <w:t>施工项目管理团队人员信息表</w:t>
      </w:r>
    </w:p>
    <w:p w14:paraId="66437ABB">
      <w:pPr>
        <w:rPr>
          <w:rFonts w:hint="eastAsia" w:ascii="宋体" w:hAnsi="宋体"/>
          <w:color w:val="auto"/>
          <w:szCs w:val="21"/>
          <w:highlight w:val="none"/>
        </w:rPr>
      </w:pP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1707"/>
        <w:gridCol w:w="2099"/>
        <w:gridCol w:w="2099"/>
        <w:gridCol w:w="3190"/>
      </w:tblGrid>
      <w:tr w14:paraId="1042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433" w:type="pct"/>
            <w:vAlign w:val="center"/>
          </w:tcPr>
          <w:p w14:paraId="45C8488D">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857" w:type="pct"/>
            <w:vAlign w:val="center"/>
          </w:tcPr>
          <w:p w14:paraId="2F94234A">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姓名</w:t>
            </w:r>
          </w:p>
        </w:tc>
        <w:tc>
          <w:tcPr>
            <w:tcW w:w="1054" w:type="pct"/>
            <w:vAlign w:val="center"/>
          </w:tcPr>
          <w:p w14:paraId="611A8E18">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岗位</w:t>
            </w:r>
          </w:p>
        </w:tc>
        <w:tc>
          <w:tcPr>
            <w:tcW w:w="1054" w:type="pct"/>
            <w:vAlign w:val="center"/>
          </w:tcPr>
          <w:p w14:paraId="52CA221C">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职称</w:t>
            </w:r>
          </w:p>
        </w:tc>
        <w:tc>
          <w:tcPr>
            <w:tcW w:w="1599" w:type="pct"/>
            <w:vAlign w:val="center"/>
          </w:tcPr>
          <w:p w14:paraId="2F8B5B86">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职称证书或资格证书编号</w:t>
            </w:r>
          </w:p>
        </w:tc>
      </w:tr>
      <w:tr w14:paraId="34CDA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noWrap/>
            <w:vAlign w:val="center"/>
          </w:tcPr>
          <w:p w14:paraId="7152F38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857" w:type="pct"/>
            <w:noWrap/>
            <w:vAlign w:val="center"/>
          </w:tcPr>
          <w:p w14:paraId="1655B54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4" w:type="pct"/>
            <w:noWrap/>
            <w:vAlign w:val="center"/>
          </w:tcPr>
          <w:p w14:paraId="7118047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4" w:type="pct"/>
            <w:noWrap/>
            <w:vAlign w:val="center"/>
          </w:tcPr>
          <w:p w14:paraId="417102E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99" w:type="pct"/>
            <w:noWrap/>
            <w:vAlign w:val="center"/>
          </w:tcPr>
          <w:p w14:paraId="2788591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6C76B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noWrap/>
            <w:vAlign w:val="center"/>
          </w:tcPr>
          <w:p w14:paraId="50929C6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857" w:type="pct"/>
            <w:noWrap/>
            <w:vAlign w:val="center"/>
          </w:tcPr>
          <w:p w14:paraId="2386B9F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4" w:type="pct"/>
            <w:noWrap/>
            <w:vAlign w:val="center"/>
          </w:tcPr>
          <w:p w14:paraId="0299FCF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4" w:type="pct"/>
            <w:noWrap/>
            <w:vAlign w:val="center"/>
          </w:tcPr>
          <w:p w14:paraId="6889A82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99" w:type="pct"/>
            <w:noWrap/>
            <w:vAlign w:val="center"/>
          </w:tcPr>
          <w:p w14:paraId="0405C58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5E77A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noWrap/>
            <w:vAlign w:val="center"/>
          </w:tcPr>
          <w:p w14:paraId="21BF386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857" w:type="pct"/>
            <w:noWrap/>
            <w:vAlign w:val="center"/>
          </w:tcPr>
          <w:p w14:paraId="3FE3DE1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4" w:type="pct"/>
            <w:noWrap/>
            <w:vAlign w:val="center"/>
          </w:tcPr>
          <w:p w14:paraId="23CC49A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4" w:type="pct"/>
            <w:noWrap/>
            <w:vAlign w:val="center"/>
          </w:tcPr>
          <w:p w14:paraId="6F31C2E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99" w:type="pct"/>
            <w:noWrap/>
            <w:vAlign w:val="center"/>
          </w:tcPr>
          <w:p w14:paraId="630F568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6720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noWrap/>
            <w:vAlign w:val="center"/>
          </w:tcPr>
          <w:p w14:paraId="2EBCEF2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857" w:type="pct"/>
            <w:noWrap/>
            <w:vAlign w:val="center"/>
          </w:tcPr>
          <w:p w14:paraId="212EE51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4" w:type="pct"/>
            <w:noWrap/>
            <w:vAlign w:val="center"/>
          </w:tcPr>
          <w:p w14:paraId="1F18436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4" w:type="pct"/>
            <w:noWrap/>
            <w:vAlign w:val="center"/>
          </w:tcPr>
          <w:p w14:paraId="00DDC2C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99" w:type="pct"/>
            <w:noWrap/>
            <w:vAlign w:val="center"/>
          </w:tcPr>
          <w:p w14:paraId="5685D3E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7AA7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noWrap/>
            <w:vAlign w:val="center"/>
          </w:tcPr>
          <w:p w14:paraId="60F1E0F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857" w:type="pct"/>
            <w:noWrap/>
            <w:vAlign w:val="center"/>
          </w:tcPr>
          <w:p w14:paraId="3A50A80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4" w:type="pct"/>
            <w:noWrap/>
            <w:vAlign w:val="center"/>
          </w:tcPr>
          <w:p w14:paraId="434B83F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4" w:type="pct"/>
            <w:noWrap/>
            <w:vAlign w:val="center"/>
          </w:tcPr>
          <w:p w14:paraId="4311752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99" w:type="pct"/>
            <w:noWrap/>
            <w:vAlign w:val="center"/>
          </w:tcPr>
          <w:p w14:paraId="0FC7AF9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7D54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noWrap/>
            <w:vAlign w:val="center"/>
          </w:tcPr>
          <w:p w14:paraId="11B98F3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857" w:type="pct"/>
            <w:noWrap/>
            <w:vAlign w:val="center"/>
          </w:tcPr>
          <w:p w14:paraId="16B8471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4" w:type="pct"/>
            <w:noWrap/>
            <w:vAlign w:val="center"/>
          </w:tcPr>
          <w:p w14:paraId="368B03F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4" w:type="pct"/>
            <w:noWrap/>
            <w:vAlign w:val="center"/>
          </w:tcPr>
          <w:p w14:paraId="0E24A5D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99" w:type="pct"/>
            <w:noWrap/>
            <w:vAlign w:val="center"/>
          </w:tcPr>
          <w:p w14:paraId="2EFB64B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07DA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6" w:hRule="atLeast"/>
          <w:jc w:val="center"/>
        </w:trPr>
        <w:tc>
          <w:tcPr>
            <w:tcW w:w="5000" w:type="pct"/>
            <w:gridSpan w:val="5"/>
            <w:vAlign w:val="center"/>
          </w:tcPr>
          <w:p w14:paraId="1B96523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1备注：</w:t>
            </w:r>
          </w:p>
          <w:p w14:paraId="5B26F47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1、“岗位”要求</w:t>
            </w:r>
            <w:r>
              <w:rPr>
                <w:rFonts w:hint="eastAsia" w:ascii="宋体" w:hAnsi="宋体" w:cs="宋体"/>
                <w:b/>
                <w:bCs/>
                <w:color w:val="auto"/>
                <w:kern w:val="0"/>
                <w:szCs w:val="21"/>
                <w:highlight w:val="none"/>
              </w:rPr>
              <w:t>（除项目负责人和专职安全员外）</w:t>
            </w:r>
            <w:r>
              <w:rPr>
                <w:rFonts w:hint="eastAsia" w:ascii="宋体" w:hAnsi="宋体" w:cs="宋体"/>
                <w:color w:val="auto"/>
                <w:kern w:val="0"/>
                <w:szCs w:val="21"/>
                <w:highlight w:val="none"/>
              </w:rPr>
              <w:t>由招标人根据项目管理需要在本表备注中明确提出，如：拟派技术负责人、质量负责人、安全负责人、造价负责人等。</w:t>
            </w:r>
          </w:p>
          <w:p w14:paraId="4AA0B48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123B4BE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72271C6C">
      <w:pPr>
        <w:autoSpaceDE w:val="0"/>
        <w:autoSpaceDN w:val="0"/>
        <w:adjustRightInd w:val="0"/>
        <w:rPr>
          <w:rFonts w:hint="eastAsia" w:ascii="宋体" w:hAnsi="宋体" w:cs="宋体"/>
          <w:b/>
          <w:color w:val="auto"/>
          <w:szCs w:val="21"/>
          <w:highlight w:val="none"/>
        </w:rPr>
      </w:pPr>
    </w:p>
    <w:p w14:paraId="617A6301">
      <w:pPr>
        <w:rPr>
          <w:rFonts w:cs="宋体"/>
          <w:color w:val="auto"/>
          <w:sz w:val="28"/>
          <w:szCs w:val="28"/>
          <w:highlight w:val="none"/>
        </w:rPr>
      </w:pPr>
      <w:r>
        <w:rPr>
          <w:rFonts w:hint="eastAsia" w:cs="宋体"/>
          <w:color w:val="auto"/>
          <w:sz w:val="28"/>
          <w:szCs w:val="28"/>
          <w:highlight w:val="none"/>
        </w:rPr>
        <w:br w:type="page"/>
      </w:r>
    </w:p>
    <w:p w14:paraId="2F34FC4C">
      <w:pPr>
        <w:autoSpaceDE w:val="0"/>
        <w:autoSpaceDN w:val="0"/>
        <w:adjustRightInd w:val="0"/>
        <w:rPr>
          <w:color w:val="auto"/>
          <w:sz w:val="28"/>
          <w:szCs w:val="28"/>
          <w:highlight w:val="none"/>
        </w:rPr>
      </w:pPr>
      <w:bookmarkStart w:id="73" w:name="_Toc10641"/>
      <w:bookmarkStart w:id="74" w:name="_Toc29953"/>
      <w:r>
        <w:rPr>
          <w:rFonts w:hint="eastAsia"/>
          <w:color w:val="auto"/>
          <w:sz w:val="28"/>
          <w:szCs w:val="28"/>
          <w:highlight w:val="none"/>
        </w:rPr>
        <w:t>参考格式六</w:t>
      </w:r>
    </w:p>
    <w:p w14:paraId="1EBFCEC5">
      <w:pPr>
        <w:autoSpaceDE w:val="0"/>
        <w:autoSpaceDN w:val="0"/>
        <w:adjustRightInd w:val="0"/>
        <w:jc w:val="center"/>
        <w:outlineLvl w:val="1"/>
        <w:rPr>
          <w:rFonts w:hint="eastAsia" w:ascii="宋体" w:hAnsi="宋体" w:cs="宋体"/>
          <w:b/>
          <w:bCs/>
          <w:color w:val="auto"/>
          <w:sz w:val="36"/>
          <w:szCs w:val="36"/>
          <w:highlight w:val="none"/>
          <w:lang w:val="zh-CN"/>
        </w:rPr>
      </w:pPr>
    </w:p>
    <w:p w14:paraId="3F6C2944">
      <w:pPr>
        <w:autoSpaceDE w:val="0"/>
        <w:autoSpaceDN w:val="0"/>
        <w:adjustRightInd w:val="0"/>
        <w:jc w:val="center"/>
        <w:outlineLvl w:val="1"/>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响应招标文件所附施工组织设计要点的承诺书</w:t>
      </w:r>
      <w:bookmarkEnd w:id="73"/>
      <w:bookmarkEnd w:id="74"/>
    </w:p>
    <w:p w14:paraId="3377FD68">
      <w:pPr>
        <w:spacing w:line="360" w:lineRule="auto"/>
        <w:rPr>
          <w:rFonts w:hint="eastAsia" w:ascii="宋体" w:hAnsi="宋体"/>
          <w:color w:val="auto"/>
          <w:sz w:val="24"/>
          <w:szCs w:val="24"/>
          <w:highlight w:val="none"/>
        </w:rPr>
      </w:pPr>
    </w:p>
    <w:p w14:paraId="1D41413F">
      <w:pPr>
        <w:spacing w:line="360" w:lineRule="auto"/>
        <w:rPr>
          <w:rFonts w:hint="eastAsia" w:ascii="宋体" w:hAnsi="宋体"/>
          <w:color w:val="auto"/>
          <w:sz w:val="24"/>
          <w:szCs w:val="24"/>
          <w:highlight w:val="none"/>
        </w:rPr>
      </w:pPr>
      <w:r>
        <w:rPr>
          <w:rFonts w:hint="eastAsia" w:ascii="宋体" w:hAnsi="宋体"/>
          <w:color w:val="auto"/>
          <w:sz w:val="24"/>
          <w:szCs w:val="24"/>
          <w:highlight w:val="none"/>
          <w:u w:val="single"/>
        </w:rPr>
        <w:t xml:space="preserve">             （招标人）</w:t>
      </w:r>
      <w:r>
        <w:rPr>
          <w:rFonts w:hint="eastAsia" w:ascii="宋体" w:hAnsi="宋体"/>
          <w:color w:val="auto"/>
          <w:sz w:val="24"/>
          <w:szCs w:val="24"/>
          <w:highlight w:val="none"/>
        </w:rPr>
        <w:t>：</w:t>
      </w:r>
    </w:p>
    <w:p w14:paraId="6B70C5C8">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 xml:space="preserve">    我方承诺，如中标承建</w:t>
      </w:r>
      <w:r>
        <w:rPr>
          <w:rFonts w:hint="eastAsia" w:ascii="宋体" w:hAnsi="宋体"/>
          <w:color w:val="auto"/>
          <w:sz w:val="24"/>
          <w:szCs w:val="24"/>
          <w:highlight w:val="none"/>
          <w:u w:val="single"/>
        </w:rPr>
        <w:t xml:space="preserve">            (项目名称)</w:t>
      </w:r>
      <w:r>
        <w:rPr>
          <w:rFonts w:hint="eastAsia" w:ascii="宋体" w:hAnsi="宋体"/>
          <w:color w:val="auto"/>
          <w:sz w:val="24"/>
          <w:szCs w:val="24"/>
          <w:highlight w:val="none"/>
        </w:rPr>
        <w:t>，将按招标文件所附的本工程</w:t>
      </w:r>
      <w:r>
        <w:rPr>
          <w:rFonts w:hint="eastAsia" w:ascii="宋体" w:hAnsi="宋体"/>
          <w:color w:val="auto"/>
          <w:sz w:val="24"/>
          <w:szCs w:val="24"/>
          <w:highlight w:val="none"/>
          <w:u w:val="single"/>
        </w:rPr>
        <w:t>（施工组织设计要点）</w:t>
      </w:r>
      <w:r>
        <w:rPr>
          <w:rFonts w:hint="eastAsia" w:ascii="宋体" w:hAnsi="宋体"/>
          <w:color w:val="auto"/>
          <w:sz w:val="24"/>
          <w:szCs w:val="24"/>
          <w:highlight w:val="none"/>
        </w:rPr>
        <w:t>进行响应的基础上自行组织施工。并承诺在中标后按招标文件所附的</w:t>
      </w:r>
      <w:r>
        <w:rPr>
          <w:rFonts w:hint="eastAsia" w:ascii="宋体" w:hAnsi="宋体"/>
          <w:color w:val="auto"/>
          <w:sz w:val="24"/>
          <w:szCs w:val="24"/>
          <w:highlight w:val="none"/>
          <w:u w:val="single"/>
        </w:rPr>
        <w:t>（施工组织设计要点）</w:t>
      </w:r>
      <w:r>
        <w:rPr>
          <w:rFonts w:hint="eastAsia" w:ascii="宋体" w:hAnsi="宋体"/>
          <w:color w:val="auto"/>
          <w:sz w:val="24"/>
          <w:szCs w:val="24"/>
          <w:highlight w:val="none"/>
        </w:rPr>
        <w:t>基础上编制详细的施工组织设计，并报经监理单位和建设单位审批后实施。</w:t>
      </w:r>
    </w:p>
    <w:p w14:paraId="606076D3">
      <w:pPr>
        <w:spacing w:line="360" w:lineRule="auto"/>
        <w:rPr>
          <w:rFonts w:hint="eastAsia" w:ascii="宋体" w:hAnsi="宋体"/>
          <w:color w:val="auto"/>
          <w:sz w:val="24"/>
          <w:szCs w:val="24"/>
          <w:highlight w:val="none"/>
        </w:rPr>
      </w:pPr>
    </w:p>
    <w:p w14:paraId="6FBB6F84">
      <w:pPr>
        <w:spacing w:line="360" w:lineRule="auto"/>
        <w:rPr>
          <w:rFonts w:hint="eastAsia" w:ascii="宋体" w:hAnsi="宋体"/>
          <w:color w:val="auto"/>
          <w:sz w:val="24"/>
          <w:szCs w:val="24"/>
          <w:highlight w:val="none"/>
        </w:rPr>
      </w:pPr>
    </w:p>
    <w:p w14:paraId="04B20641">
      <w:pPr>
        <w:topLinePunct/>
        <w:adjustRightInd w:val="0"/>
        <w:snapToGrid w:val="0"/>
        <w:spacing w:line="440" w:lineRule="exact"/>
        <w:ind w:firstLine="3462" w:firstLineChars="1396"/>
        <w:rPr>
          <w:rFonts w:hint="eastAsia" w:ascii="宋体" w:hAnsi="宋体" w:cs="宋体"/>
          <w:snapToGrid w:val="0"/>
          <w:color w:val="auto"/>
          <w:spacing w:val="4"/>
          <w:kern w:val="0"/>
          <w:sz w:val="24"/>
          <w:szCs w:val="24"/>
          <w:highlight w:val="none"/>
        </w:rPr>
      </w:pPr>
    </w:p>
    <w:p w14:paraId="3CA6A349">
      <w:pPr>
        <w:topLinePunct/>
        <w:adjustRightInd w:val="0"/>
        <w:snapToGrid w:val="0"/>
        <w:spacing w:line="440" w:lineRule="exact"/>
        <w:ind w:firstLine="3462" w:firstLineChars="1396"/>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 标 人：    （盖章）</w:t>
      </w:r>
    </w:p>
    <w:p w14:paraId="5FD2FFC9">
      <w:pPr>
        <w:topLinePunct/>
        <w:adjustRightInd w:val="0"/>
        <w:snapToGrid w:val="0"/>
        <w:spacing w:line="440" w:lineRule="exact"/>
        <w:ind w:firstLine="3462" w:firstLineChars="1396"/>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法定代表人或授权代理人（签字或盖章）：</w:t>
      </w:r>
    </w:p>
    <w:p w14:paraId="3CAB9ACF">
      <w:pPr>
        <w:topLinePunct/>
        <w:adjustRightInd w:val="0"/>
        <w:snapToGrid w:val="0"/>
        <w:spacing w:line="440" w:lineRule="exact"/>
        <w:ind w:firstLine="3462" w:firstLineChars="1396"/>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日    期：    年    月    日</w:t>
      </w:r>
    </w:p>
    <w:p w14:paraId="1E5EDA68">
      <w:pPr>
        <w:rPr>
          <w:rFonts w:cs="宋体"/>
          <w:color w:val="auto"/>
          <w:sz w:val="28"/>
          <w:szCs w:val="28"/>
          <w:highlight w:val="none"/>
        </w:rPr>
      </w:pPr>
      <w:r>
        <w:rPr>
          <w:rFonts w:hint="eastAsia" w:cs="宋体"/>
          <w:color w:val="auto"/>
          <w:sz w:val="28"/>
          <w:szCs w:val="28"/>
          <w:highlight w:val="none"/>
        </w:rPr>
        <w:br w:type="page"/>
      </w:r>
    </w:p>
    <w:p w14:paraId="37ED8E24">
      <w:pPr>
        <w:pStyle w:val="33"/>
        <w:spacing w:before="120" w:beforeLines="50" w:beforeAutospacing="0" w:after="120" w:afterLines="50" w:afterAutospacing="0" w:line="360" w:lineRule="auto"/>
        <w:jc w:val="left"/>
        <w:rPr>
          <w:rFonts w:hint="eastAsia" w:eastAsia="宋体"/>
          <w:color w:val="auto"/>
          <w:sz w:val="28"/>
          <w:szCs w:val="28"/>
          <w:highlight w:val="none"/>
        </w:rPr>
      </w:pPr>
      <w:r>
        <w:rPr>
          <w:rFonts w:hint="eastAsia" w:eastAsia="宋体"/>
          <w:color w:val="auto"/>
          <w:sz w:val="28"/>
          <w:szCs w:val="28"/>
          <w:highlight w:val="none"/>
        </w:rPr>
        <w:t>参考格式七</w:t>
      </w:r>
    </w:p>
    <w:p w14:paraId="2F72C40F">
      <w:pPr>
        <w:pStyle w:val="33"/>
        <w:spacing w:before="120" w:beforeLines="50" w:beforeAutospacing="0" w:after="120" w:afterLines="50" w:afterAutospacing="0" w:line="360" w:lineRule="auto"/>
        <w:ind w:firstLine="482"/>
        <w:jc w:val="center"/>
        <w:rPr>
          <w:rFonts w:hint="eastAsia"/>
          <w:b/>
          <w:bCs/>
          <w:color w:val="auto"/>
          <w:sz w:val="32"/>
          <w:szCs w:val="32"/>
          <w:highlight w:val="none"/>
        </w:rPr>
      </w:pPr>
      <w:r>
        <w:rPr>
          <w:rFonts w:hint="eastAsia" w:eastAsia="宋体"/>
          <w:b/>
          <w:bCs/>
          <w:color w:val="auto"/>
          <w:sz w:val="32"/>
          <w:szCs w:val="32"/>
          <w:highlight w:val="none"/>
        </w:rPr>
        <w:t>投标人廉洁承诺书</w:t>
      </w:r>
    </w:p>
    <w:p w14:paraId="60D84A24">
      <w:pPr>
        <w:pStyle w:val="20"/>
        <w:spacing w:line="360" w:lineRule="auto"/>
        <w:ind w:right="420"/>
        <w:rPr>
          <w:rFonts w:hint="eastAsia" w:hAnsi="宋体" w:cs="宋体"/>
          <w:color w:val="auto"/>
          <w:szCs w:val="21"/>
          <w:highlight w:val="none"/>
        </w:rPr>
      </w:pPr>
      <w:r>
        <w:rPr>
          <w:rFonts w:hint="eastAsia" w:hAnsi="宋体" w:cs="宋体"/>
          <w:color w:val="auto"/>
          <w:szCs w:val="21"/>
          <w:highlight w:val="none"/>
        </w:rPr>
        <w:t>本招标项目招标人及招标监管机构：</w:t>
      </w:r>
    </w:p>
    <w:p w14:paraId="64A126FC">
      <w:pPr>
        <w:pStyle w:val="20"/>
        <w:spacing w:line="360" w:lineRule="auto"/>
        <w:ind w:right="420" w:firstLine="420" w:firstLineChars="200"/>
        <w:rPr>
          <w:rFonts w:hint="eastAsia" w:hAnsi="宋体" w:cs="宋体"/>
          <w:color w:val="auto"/>
          <w:szCs w:val="21"/>
          <w:highlight w:val="none"/>
        </w:rPr>
      </w:pPr>
      <w:r>
        <w:rPr>
          <w:rFonts w:hint="eastAsia" w:hAnsi="宋体" w:cs="宋体"/>
          <w:color w:val="auto"/>
          <w:szCs w:val="21"/>
          <w:highlight w:val="none"/>
        </w:rPr>
        <w:t>本公司参加了</w:t>
      </w:r>
      <w:r>
        <w:rPr>
          <w:rFonts w:hint="eastAsia" w:hAnsi="宋体" w:cs="宋体"/>
          <w:color w:val="auto"/>
          <w:szCs w:val="21"/>
          <w:highlight w:val="none"/>
          <w:u w:val="single"/>
        </w:rPr>
        <w:t xml:space="preserve">   （项目名称/标段名称）    </w:t>
      </w:r>
      <w:r>
        <w:rPr>
          <w:rFonts w:hint="eastAsia" w:hAnsi="宋体" w:cs="宋体"/>
          <w:color w:val="auto"/>
          <w:szCs w:val="21"/>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14:paraId="15617E92">
      <w:pPr>
        <w:pStyle w:val="20"/>
        <w:spacing w:line="360" w:lineRule="auto"/>
        <w:ind w:right="420" w:firstLine="420" w:firstLineChars="200"/>
        <w:rPr>
          <w:rFonts w:hint="eastAsia" w:hAnsi="宋体" w:cs="宋体"/>
          <w:color w:val="auto"/>
          <w:szCs w:val="21"/>
          <w:highlight w:val="none"/>
        </w:rPr>
      </w:pPr>
      <w:r>
        <w:rPr>
          <w:rFonts w:hint="eastAsia" w:hAnsi="宋体" w:cs="宋体"/>
          <w:color w:val="auto"/>
          <w:szCs w:val="21"/>
          <w:highlight w:val="none"/>
        </w:rPr>
        <w:t>一、自觉遵守国家有关法律法规及廉洁规定。</w:t>
      </w:r>
    </w:p>
    <w:p w14:paraId="58416587">
      <w:pPr>
        <w:pStyle w:val="20"/>
        <w:spacing w:line="360" w:lineRule="auto"/>
        <w:ind w:right="420" w:firstLine="420" w:firstLineChars="200"/>
        <w:rPr>
          <w:rFonts w:hint="eastAsia" w:hAnsi="宋体" w:cs="宋体"/>
          <w:color w:val="auto"/>
          <w:szCs w:val="21"/>
          <w:highlight w:val="none"/>
        </w:rPr>
      </w:pPr>
      <w:r>
        <w:rPr>
          <w:rFonts w:hint="eastAsia" w:hAnsi="宋体" w:cs="宋体"/>
          <w:color w:val="auto"/>
          <w:szCs w:val="21"/>
          <w:highlight w:val="none"/>
        </w:rPr>
        <w:t>二、不与招标单位工作人员串通投标，损害国家利益、企业利益以及他人的合法利益；</w:t>
      </w:r>
    </w:p>
    <w:p w14:paraId="5FE0D89D">
      <w:pPr>
        <w:pStyle w:val="20"/>
        <w:spacing w:line="360" w:lineRule="auto"/>
        <w:ind w:right="420" w:firstLine="420" w:firstLineChars="200"/>
        <w:rPr>
          <w:rFonts w:hint="eastAsia" w:hAnsi="宋体" w:cs="宋体"/>
          <w:color w:val="auto"/>
          <w:szCs w:val="21"/>
          <w:highlight w:val="none"/>
        </w:rPr>
      </w:pPr>
      <w:r>
        <w:rPr>
          <w:rFonts w:hint="eastAsia" w:hAnsi="宋体" w:cs="宋体"/>
          <w:color w:val="auto"/>
          <w:szCs w:val="21"/>
          <w:highlight w:val="none"/>
        </w:rPr>
        <w:t>三、不与其他单位围标、串标，不出让投标资格，不向招标人或评标委员会成员行贿。</w:t>
      </w:r>
    </w:p>
    <w:p w14:paraId="4FE2E071">
      <w:pPr>
        <w:pStyle w:val="20"/>
        <w:spacing w:line="360" w:lineRule="auto"/>
        <w:ind w:right="420" w:firstLine="420" w:firstLineChars="200"/>
        <w:rPr>
          <w:rFonts w:hint="eastAsia" w:hAnsi="宋体" w:cs="宋体"/>
          <w:color w:val="auto"/>
          <w:szCs w:val="21"/>
          <w:highlight w:val="none"/>
        </w:rPr>
      </w:pPr>
      <w:r>
        <w:rPr>
          <w:rFonts w:hint="eastAsia" w:hAnsi="宋体" w:cs="宋体"/>
          <w:color w:val="auto"/>
          <w:szCs w:val="21"/>
          <w:highlight w:val="none"/>
        </w:rPr>
        <w:t xml:space="preserve">四、不以任何名义向参与招标、评标工作的有关人员提供高消费宴请及娱乐活动和赠送回扣、红包、礼金、购物卡、有价证券、贵重物品和好处费、感谢费等； </w:t>
      </w:r>
    </w:p>
    <w:p w14:paraId="4DC92DFC">
      <w:pPr>
        <w:pStyle w:val="20"/>
        <w:spacing w:line="360" w:lineRule="auto"/>
        <w:ind w:right="420" w:firstLine="420" w:firstLineChars="200"/>
        <w:rPr>
          <w:rFonts w:hint="eastAsia" w:hAnsi="宋体" w:cs="宋体"/>
          <w:color w:val="auto"/>
          <w:szCs w:val="21"/>
          <w:highlight w:val="none"/>
        </w:rPr>
      </w:pPr>
      <w:r>
        <w:rPr>
          <w:rFonts w:hint="eastAsia" w:hAnsi="宋体" w:cs="宋体"/>
          <w:color w:val="auto"/>
          <w:szCs w:val="21"/>
          <w:highlight w:val="none"/>
        </w:rPr>
        <w:t>五、不以任何名义为参与招标、评标工作的有关人员装修住房、婚丧嫁娶、配偶子女的工作安排以及境内外旅游等提供方便；</w:t>
      </w:r>
    </w:p>
    <w:p w14:paraId="39F5FBB5">
      <w:pPr>
        <w:pStyle w:val="20"/>
        <w:spacing w:line="360" w:lineRule="auto"/>
        <w:ind w:right="420" w:firstLine="420" w:firstLineChars="200"/>
        <w:rPr>
          <w:rFonts w:hint="eastAsia" w:hAnsi="宋体" w:cs="宋体"/>
          <w:color w:val="auto"/>
          <w:szCs w:val="21"/>
          <w:highlight w:val="none"/>
        </w:rPr>
      </w:pPr>
      <w:r>
        <w:rPr>
          <w:rFonts w:hint="eastAsia" w:hAnsi="宋体" w:cs="宋体"/>
          <w:color w:val="auto"/>
          <w:szCs w:val="21"/>
          <w:highlight w:val="none"/>
        </w:rPr>
        <w:t>六、不以谋取非正当利益为目的，擅自与参与招标、评标工作的有关人员就业务问题进行私下商谈或者达成利益默契。</w:t>
      </w:r>
    </w:p>
    <w:p w14:paraId="2CC61C75">
      <w:pPr>
        <w:pStyle w:val="20"/>
        <w:spacing w:line="360" w:lineRule="auto"/>
        <w:ind w:right="420" w:firstLine="420" w:firstLineChars="200"/>
        <w:rPr>
          <w:rFonts w:hint="eastAsia" w:hAnsi="宋体" w:cs="宋体"/>
          <w:color w:val="auto"/>
          <w:szCs w:val="21"/>
          <w:highlight w:val="none"/>
        </w:rPr>
      </w:pPr>
      <w:r>
        <w:rPr>
          <w:rFonts w:hint="eastAsia" w:hAnsi="宋体" w:cs="宋体"/>
          <w:color w:val="auto"/>
          <w:szCs w:val="21"/>
          <w:highlight w:val="none"/>
        </w:rPr>
        <w:t>本公司违反上述承诺，或本承诺陈述与事实不符，经查实，本公司愿意接受公开通报，被招标监管部门信用评价记录不良行为并扣分，并承担由此带来的法律后果。</w:t>
      </w:r>
    </w:p>
    <w:p w14:paraId="473E75D7">
      <w:pPr>
        <w:rPr>
          <w:rFonts w:hint="eastAsia" w:hAnsi="宋体" w:cs="宋体"/>
          <w:color w:val="auto"/>
          <w:szCs w:val="21"/>
          <w:highlight w:val="none"/>
        </w:rPr>
      </w:pPr>
    </w:p>
    <w:p w14:paraId="423BA1EE">
      <w:pPr>
        <w:pStyle w:val="2"/>
        <w:rPr>
          <w:rFonts w:hint="eastAsia" w:hAnsi="宋体" w:cs="宋体"/>
          <w:color w:val="auto"/>
          <w:szCs w:val="21"/>
          <w:highlight w:val="none"/>
        </w:rPr>
      </w:pPr>
    </w:p>
    <w:p w14:paraId="04C005BA">
      <w:pPr>
        <w:jc w:val="right"/>
        <w:rPr>
          <w:rFonts w:hint="eastAsia" w:hAnsi="宋体" w:cs="宋体"/>
          <w:color w:val="auto"/>
          <w:szCs w:val="21"/>
          <w:highlight w:val="none"/>
        </w:rPr>
      </w:pPr>
      <w:r>
        <w:rPr>
          <w:rFonts w:hint="eastAsia" w:hAnsi="宋体" w:cs="宋体"/>
          <w:color w:val="auto"/>
          <w:szCs w:val="21"/>
          <w:highlight w:val="none"/>
        </w:rPr>
        <w:t>承诺企业：</w:t>
      </w:r>
      <w:r>
        <w:rPr>
          <w:rFonts w:hint="eastAsia" w:hAnsi="宋体" w:cs="宋体"/>
          <w:color w:val="auto"/>
          <w:szCs w:val="21"/>
          <w:highlight w:val="none"/>
          <w:u w:val="single"/>
        </w:rPr>
        <w:t xml:space="preserve">                           </w:t>
      </w:r>
      <w:r>
        <w:rPr>
          <w:rFonts w:hint="eastAsia" w:hAnsi="宋体" w:cs="宋体"/>
          <w:color w:val="auto"/>
          <w:szCs w:val="21"/>
          <w:highlight w:val="none"/>
        </w:rPr>
        <w:t>（盖单位章）</w:t>
      </w:r>
    </w:p>
    <w:p w14:paraId="55A85103">
      <w:pPr>
        <w:pStyle w:val="2"/>
        <w:rPr>
          <w:color w:val="auto"/>
          <w:highlight w:val="none"/>
        </w:rPr>
      </w:pPr>
    </w:p>
    <w:p w14:paraId="3538D2E2">
      <w:pPr>
        <w:pStyle w:val="2"/>
        <w:wordWrap w:val="0"/>
        <w:jc w:val="right"/>
        <w:rPr>
          <w:color w:val="auto"/>
          <w:highlight w:val="none"/>
          <w:u w:val="single"/>
        </w:rPr>
      </w:pPr>
      <w:r>
        <w:rPr>
          <w:rFonts w:hint="eastAsia" w:hAnsi="宋体" w:cs="宋体"/>
          <w:color w:val="auto"/>
          <w:szCs w:val="21"/>
          <w:highlight w:val="none"/>
        </w:rPr>
        <w:t>法定代表人：</w:t>
      </w:r>
      <w:r>
        <w:rPr>
          <w:rFonts w:hint="eastAsia" w:hAnsi="宋体" w:cs="宋体"/>
          <w:color w:val="auto"/>
          <w:szCs w:val="21"/>
          <w:highlight w:val="none"/>
          <w:u w:val="single"/>
        </w:rPr>
        <w:t xml:space="preserve">                                                          </w:t>
      </w:r>
      <w:r>
        <w:rPr>
          <w:rFonts w:hint="eastAsia" w:hAnsi="宋体" w:cs="宋体"/>
          <w:color w:val="auto"/>
          <w:szCs w:val="21"/>
          <w:highlight w:val="none"/>
        </w:rPr>
        <w:t>（签字或盖章）</w:t>
      </w:r>
    </w:p>
    <w:p w14:paraId="5FFEE611">
      <w:pPr>
        <w:snapToGrid/>
        <w:spacing w:line="240" w:lineRule="auto"/>
        <w:ind w:firstLine="0" w:firstLineChars="0"/>
        <w:rPr>
          <w:rStyle w:val="60"/>
          <w:color w:val="auto"/>
          <w:highlight w:val="none"/>
        </w:rPr>
      </w:pPr>
      <w:bookmarkStart w:id="75" w:name="_Toc26180"/>
      <w:r>
        <w:rPr>
          <w:rStyle w:val="60"/>
          <w:color w:val="auto"/>
          <w:highlight w:val="none"/>
        </w:rPr>
        <w:br w:type="page"/>
      </w:r>
    </w:p>
    <w:p w14:paraId="766A60D4">
      <w:pPr>
        <w:pStyle w:val="33"/>
        <w:spacing w:before="120" w:beforeLines="50" w:beforeAutospacing="0" w:after="120" w:afterLines="50" w:afterAutospacing="0" w:line="360" w:lineRule="auto"/>
        <w:jc w:val="left"/>
        <w:rPr>
          <w:rFonts w:hint="eastAsia" w:eastAsia="宋体"/>
          <w:color w:val="auto"/>
          <w:sz w:val="28"/>
          <w:szCs w:val="28"/>
          <w:highlight w:val="none"/>
          <w:lang w:val="en-US" w:eastAsia="zh-CN"/>
        </w:rPr>
      </w:pPr>
      <w:r>
        <w:rPr>
          <w:rFonts w:hint="eastAsia" w:eastAsia="宋体"/>
          <w:color w:val="auto"/>
          <w:sz w:val="28"/>
          <w:szCs w:val="28"/>
          <w:highlight w:val="none"/>
        </w:rPr>
        <w:t>参考格式</w:t>
      </w:r>
      <w:r>
        <w:rPr>
          <w:rFonts w:hint="eastAsia" w:eastAsia="宋体"/>
          <w:color w:val="auto"/>
          <w:sz w:val="28"/>
          <w:szCs w:val="28"/>
          <w:highlight w:val="none"/>
          <w:lang w:val="en-US" w:eastAsia="zh-CN"/>
        </w:rPr>
        <w:t>八</w:t>
      </w:r>
    </w:p>
    <w:p w14:paraId="7B1ACC6C">
      <w:pPr>
        <w:tabs>
          <w:tab w:val="left" w:pos="720"/>
        </w:tabs>
        <w:snapToGrid w:val="0"/>
        <w:spacing w:line="360" w:lineRule="auto"/>
        <w:jc w:val="center"/>
        <w:rPr>
          <w:rStyle w:val="123"/>
          <w:rFonts w:hint="eastAsia"/>
          <w:b/>
          <w:bCs w:val="0"/>
          <w:color w:val="auto"/>
          <w:highlight w:val="none"/>
        </w:rPr>
      </w:pPr>
      <w:r>
        <w:rPr>
          <w:rStyle w:val="123"/>
          <w:rFonts w:hint="eastAsia"/>
          <w:b/>
          <w:bCs w:val="0"/>
          <w:color w:val="auto"/>
          <w:highlight w:val="none"/>
        </w:rPr>
        <w:t>关于主动参与建筑业结对帮扶的承诺函</w:t>
      </w:r>
    </w:p>
    <w:p w14:paraId="25F18724">
      <w:pPr>
        <w:tabs>
          <w:tab w:val="left" w:pos="720"/>
        </w:tabs>
        <w:snapToGrid w:val="0"/>
        <w:spacing w:line="360" w:lineRule="auto"/>
        <w:jc w:val="left"/>
        <w:rPr>
          <w:rStyle w:val="123"/>
          <w:rFonts w:hint="eastAsia" w:eastAsia="宋体"/>
          <w:b w:val="0"/>
          <w:bCs/>
          <w:color w:val="auto"/>
          <w:highlight w:val="none"/>
          <w:lang w:eastAsia="zh-CN"/>
        </w:rPr>
      </w:pPr>
      <w:r>
        <w:rPr>
          <w:rStyle w:val="123"/>
          <w:rFonts w:hint="eastAsia"/>
          <w:b w:val="0"/>
          <w:bCs/>
          <w:color w:val="auto"/>
          <w:highlight w:val="none"/>
          <w:u w:val="single"/>
        </w:rPr>
        <w:t>(招标人)</w:t>
      </w:r>
      <w:r>
        <w:rPr>
          <w:rStyle w:val="123"/>
          <w:rFonts w:hint="eastAsia"/>
          <w:b w:val="0"/>
          <w:bCs/>
          <w:color w:val="auto"/>
          <w:highlight w:val="none"/>
          <w:lang w:eastAsia="zh-CN"/>
        </w:rPr>
        <w:t>：</w:t>
      </w:r>
    </w:p>
    <w:p w14:paraId="69162C7D">
      <w:pPr>
        <w:tabs>
          <w:tab w:val="left" w:pos="720"/>
        </w:tabs>
        <w:snapToGrid w:val="0"/>
        <w:spacing w:line="360" w:lineRule="auto"/>
        <w:ind w:firstLine="560" w:firstLineChars="200"/>
        <w:jc w:val="left"/>
        <w:rPr>
          <w:rStyle w:val="123"/>
          <w:rFonts w:hint="eastAsia"/>
          <w:b w:val="0"/>
          <w:bCs/>
          <w:color w:val="auto"/>
          <w:highlight w:val="none"/>
        </w:rPr>
      </w:pPr>
      <w:r>
        <w:rPr>
          <w:rStyle w:val="123"/>
          <w:rFonts w:hint="eastAsia"/>
          <w:b w:val="0"/>
          <w:bCs/>
          <w:color w:val="auto"/>
          <w:highlight w:val="none"/>
        </w:rPr>
        <w:t>为加快推动建筑业企业与乡镇结对帮扶工作，使“百千万工程”成为县域经济发展和新型城镇化建设的新亮点。</w:t>
      </w:r>
    </w:p>
    <w:p w14:paraId="6FA9210F">
      <w:pPr>
        <w:tabs>
          <w:tab w:val="left" w:pos="720"/>
        </w:tabs>
        <w:snapToGrid w:val="0"/>
        <w:spacing w:line="360" w:lineRule="auto"/>
        <w:ind w:firstLine="560" w:firstLineChars="200"/>
        <w:jc w:val="left"/>
        <w:rPr>
          <w:rStyle w:val="123"/>
          <w:rFonts w:hint="eastAsia"/>
          <w:b w:val="0"/>
          <w:bCs/>
          <w:color w:val="auto"/>
          <w:highlight w:val="none"/>
        </w:rPr>
      </w:pPr>
      <w:r>
        <w:rPr>
          <w:rStyle w:val="123"/>
          <w:rFonts w:hint="eastAsia"/>
          <w:b w:val="0"/>
          <w:bCs/>
          <w:color w:val="auto"/>
          <w:highlight w:val="none"/>
        </w:rPr>
        <w:t>如若我单位中标</w:t>
      </w:r>
      <w:r>
        <w:rPr>
          <w:rStyle w:val="123"/>
          <w:rFonts w:hint="eastAsia"/>
          <w:b w:val="0"/>
          <w:bCs/>
          <w:color w:val="auto"/>
          <w:highlight w:val="none"/>
          <w:u w:val="single"/>
          <w:lang w:val="en-US" w:eastAsia="zh-CN"/>
        </w:rPr>
        <w:t xml:space="preserve">                </w:t>
      </w:r>
      <w:r>
        <w:rPr>
          <w:rStyle w:val="123"/>
          <w:rFonts w:hint="eastAsia"/>
          <w:b w:val="0"/>
          <w:bCs/>
          <w:color w:val="auto"/>
          <w:highlight w:val="none"/>
        </w:rPr>
        <w:t>项目,我单位承诺将贯彻落实《广东省“百千万工程”指挥部城镇建设专班关于进一步推动建筑业企业与乡镇结对帮扶的指导意见》，积极响应广州市关于投身“百千万工程”的号召，主动参与建筑业结对帮扶工作，具体帮扶事项由有关方协商确定。</w:t>
      </w:r>
    </w:p>
    <w:p w14:paraId="55C9A519">
      <w:pPr>
        <w:tabs>
          <w:tab w:val="left" w:pos="720"/>
        </w:tabs>
        <w:snapToGrid w:val="0"/>
        <w:spacing w:line="360" w:lineRule="auto"/>
        <w:ind w:firstLine="560" w:firstLineChars="200"/>
        <w:jc w:val="left"/>
        <w:rPr>
          <w:rStyle w:val="123"/>
          <w:rFonts w:hint="eastAsia"/>
          <w:b w:val="0"/>
          <w:bCs/>
          <w:color w:val="auto"/>
          <w:highlight w:val="none"/>
        </w:rPr>
      </w:pPr>
      <w:r>
        <w:rPr>
          <w:rStyle w:val="123"/>
          <w:rFonts w:hint="eastAsia"/>
          <w:b w:val="0"/>
          <w:bCs/>
          <w:color w:val="auto"/>
          <w:highlight w:val="none"/>
        </w:rPr>
        <w:t>我单位将切实履约践诺，进一步做好广州市建筑业结对帮扶工作，以增强我单位成就感、荣誉感和获得感。</w:t>
      </w:r>
    </w:p>
    <w:p w14:paraId="6327CFBD">
      <w:pPr>
        <w:tabs>
          <w:tab w:val="left" w:pos="720"/>
        </w:tabs>
        <w:snapToGrid w:val="0"/>
        <w:spacing w:line="360" w:lineRule="auto"/>
        <w:jc w:val="center"/>
        <w:rPr>
          <w:rStyle w:val="123"/>
          <w:rFonts w:hint="eastAsia"/>
          <w:b w:val="0"/>
          <w:bCs/>
          <w:color w:val="auto"/>
          <w:highlight w:val="none"/>
          <w:lang w:val="en-US" w:eastAsia="zh-CN"/>
        </w:rPr>
      </w:pPr>
      <w:r>
        <w:rPr>
          <w:rStyle w:val="123"/>
          <w:rFonts w:hint="eastAsia"/>
          <w:b w:val="0"/>
          <w:bCs/>
          <w:color w:val="auto"/>
          <w:highlight w:val="none"/>
          <w:lang w:val="en-US" w:eastAsia="zh-CN"/>
        </w:rPr>
        <w:t xml:space="preserve">                              </w:t>
      </w:r>
    </w:p>
    <w:p w14:paraId="2F7B5F11">
      <w:pPr>
        <w:tabs>
          <w:tab w:val="left" w:pos="720"/>
        </w:tabs>
        <w:snapToGrid w:val="0"/>
        <w:spacing w:line="360" w:lineRule="auto"/>
        <w:jc w:val="center"/>
        <w:rPr>
          <w:rStyle w:val="123"/>
          <w:rFonts w:hint="eastAsia"/>
          <w:b w:val="0"/>
          <w:bCs/>
          <w:color w:val="auto"/>
          <w:highlight w:val="none"/>
          <w:lang w:val="en-US" w:eastAsia="zh-CN"/>
        </w:rPr>
      </w:pPr>
    </w:p>
    <w:p w14:paraId="4EEAED7E">
      <w:pPr>
        <w:tabs>
          <w:tab w:val="left" w:pos="720"/>
        </w:tabs>
        <w:snapToGrid w:val="0"/>
        <w:spacing w:line="360" w:lineRule="auto"/>
        <w:jc w:val="center"/>
        <w:rPr>
          <w:rStyle w:val="123"/>
          <w:rFonts w:hint="eastAsia"/>
          <w:b w:val="0"/>
          <w:bCs/>
          <w:color w:val="auto"/>
          <w:highlight w:val="none"/>
        </w:rPr>
      </w:pPr>
      <w:r>
        <w:rPr>
          <w:rStyle w:val="123"/>
          <w:rFonts w:hint="eastAsia"/>
          <w:b w:val="0"/>
          <w:bCs/>
          <w:color w:val="auto"/>
          <w:highlight w:val="none"/>
          <w:lang w:val="en-US" w:eastAsia="zh-CN"/>
        </w:rPr>
        <w:t xml:space="preserve">                       </w:t>
      </w:r>
      <w:r>
        <w:rPr>
          <w:rStyle w:val="123"/>
          <w:rFonts w:hint="eastAsia"/>
          <w:b w:val="0"/>
          <w:bCs/>
          <w:color w:val="auto"/>
          <w:highlight w:val="none"/>
        </w:rPr>
        <w:t>投</w:t>
      </w:r>
      <w:r>
        <w:rPr>
          <w:rStyle w:val="123"/>
          <w:rFonts w:hint="eastAsia"/>
          <w:b w:val="0"/>
          <w:bCs/>
          <w:color w:val="auto"/>
          <w:highlight w:val="none"/>
          <w:lang w:val="en-US" w:eastAsia="zh-CN"/>
        </w:rPr>
        <w:t xml:space="preserve"> </w:t>
      </w:r>
      <w:r>
        <w:rPr>
          <w:rStyle w:val="123"/>
          <w:rFonts w:hint="eastAsia"/>
          <w:b w:val="0"/>
          <w:bCs/>
          <w:color w:val="auto"/>
          <w:highlight w:val="none"/>
        </w:rPr>
        <w:t>标</w:t>
      </w:r>
      <w:r>
        <w:rPr>
          <w:rStyle w:val="123"/>
          <w:rFonts w:hint="eastAsia"/>
          <w:b w:val="0"/>
          <w:bCs/>
          <w:color w:val="auto"/>
          <w:highlight w:val="none"/>
          <w:lang w:val="en-US" w:eastAsia="zh-CN"/>
        </w:rPr>
        <w:t xml:space="preserve"> </w:t>
      </w:r>
      <w:r>
        <w:rPr>
          <w:rStyle w:val="123"/>
          <w:rFonts w:hint="eastAsia"/>
          <w:b w:val="0"/>
          <w:bCs/>
          <w:color w:val="auto"/>
          <w:highlight w:val="none"/>
        </w:rPr>
        <w:t>人:</w:t>
      </w:r>
      <w:r>
        <w:rPr>
          <w:rStyle w:val="123"/>
          <w:rFonts w:hint="eastAsia"/>
          <w:b w:val="0"/>
          <w:bCs/>
          <w:color w:val="auto"/>
          <w:highlight w:val="none"/>
          <w:lang w:val="en-US" w:eastAsia="zh-CN"/>
        </w:rPr>
        <w:t xml:space="preserve"> </w:t>
      </w:r>
      <w:r>
        <w:rPr>
          <w:rStyle w:val="123"/>
          <w:rFonts w:hint="eastAsia"/>
          <w:b w:val="0"/>
          <w:bCs/>
          <w:color w:val="auto"/>
          <w:highlight w:val="none"/>
          <w:u w:val="single"/>
          <w:lang w:val="en-US" w:eastAsia="zh-CN"/>
        </w:rPr>
        <w:t xml:space="preserve">                     </w:t>
      </w:r>
      <w:r>
        <w:rPr>
          <w:rStyle w:val="123"/>
          <w:rFonts w:hint="eastAsia"/>
          <w:b w:val="0"/>
          <w:bCs/>
          <w:color w:val="auto"/>
          <w:highlight w:val="none"/>
        </w:rPr>
        <w:t>(盖章)</w:t>
      </w:r>
    </w:p>
    <w:p w14:paraId="2F7C3834">
      <w:pPr>
        <w:tabs>
          <w:tab w:val="left" w:pos="720"/>
        </w:tabs>
        <w:snapToGrid w:val="0"/>
        <w:spacing w:line="360" w:lineRule="auto"/>
        <w:jc w:val="left"/>
        <w:rPr>
          <w:rStyle w:val="123"/>
          <w:rFonts w:hint="eastAsia"/>
          <w:b w:val="0"/>
          <w:bCs/>
          <w:color w:val="auto"/>
          <w:highlight w:val="none"/>
        </w:rPr>
      </w:pPr>
      <w:r>
        <w:rPr>
          <w:rStyle w:val="123"/>
          <w:rFonts w:hint="eastAsia"/>
          <w:b w:val="0"/>
          <w:bCs/>
          <w:color w:val="auto"/>
          <w:highlight w:val="none"/>
          <w:lang w:val="en-US" w:eastAsia="zh-CN"/>
        </w:rPr>
        <w:t xml:space="preserve">                        </w:t>
      </w:r>
      <w:r>
        <w:rPr>
          <w:rStyle w:val="123"/>
          <w:rFonts w:hint="eastAsia"/>
          <w:b w:val="0"/>
          <w:bCs/>
          <w:color w:val="auto"/>
          <w:highlight w:val="none"/>
        </w:rPr>
        <w:t>日</w:t>
      </w:r>
      <w:r>
        <w:rPr>
          <w:rStyle w:val="123"/>
          <w:rFonts w:hint="eastAsia"/>
          <w:b w:val="0"/>
          <w:bCs/>
          <w:color w:val="auto"/>
          <w:highlight w:val="none"/>
          <w:lang w:val="en-US" w:eastAsia="zh-CN"/>
        </w:rPr>
        <w:t xml:space="preserve">    </w:t>
      </w:r>
      <w:r>
        <w:rPr>
          <w:rStyle w:val="123"/>
          <w:rFonts w:hint="eastAsia"/>
          <w:b w:val="0"/>
          <w:bCs/>
          <w:color w:val="auto"/>
          <w:highlight w:val="none"/>
        </w:rPr>
        <w:t>期:</w:t>
      </w:r>
      <w:r>
        <w:rPr>
          <w:rStyle w:val="123"/>
          <w:rFonts w:hint="eastAsia"/>
          <w:b w:val="0"/>
          <w:bCs/>
          <w:color w:val="auto"/>
          <w:highlight w:val="none"/>
          <w:lang w:val="en-US" w:eastAsia="zh-CN"/>
        </w:rPr>
        <w:t xml:space="preserve">        </w:t>
      </w:r>
      <w:r>
        <w:rPr>
          <w:rStyle w:val="123"/>
          <w:rFonts w:hint="eastAsia"/>
          <w:b w:val="0"/>
          <w:bCs/>
          <w:color w:val="auto"/>
          <w:highlight w:val="none"/>
        </w:rPr>
        <w:t>年</w:t>
      </w:r>
      <w:r>
        <w:rPr>
          <w:rStyle w:val="123"/>
          <w:rFonts w:hint="eastAsia"/>
          <w:b w:val="0"/>
          <w:bCs/>
          <w:color w:val="auto"/>
          <w:highlight w:val="none"/>
          <w:lang w:val="en-US" w:eastAsia="zh-CN"/>
        </w:rPr>
        <w:t xml:space="preserve">      </w:t>
      </w:r>
      <w:r>
        <w:rPr>
          <w:rStyle w:val="123"/>
          <w:rFonts w:hint="eastAsia"/>
          <w:b w:val="0"/>
          <w:bCs/>
          <w:color w:val="auto"/>
          <w:highlight w:val="none"/>
        </w:rPr>
        <w:t>月</w:t>
      </w:r>
      <w:r>
        <w:rPr>
          <w:rStyle w:val="123"/>
          <w:rFonts w:hint="eastAsia"/>
          <w:b w:val="0"/>
          <w:bCs/>
          <w:color w:val="auto"/>
          <w:highlight w:val="none"/>
          <w:lang w:val="en-US" w:eastAsia="zh-CN"/>
        </w:rPr>
        <w:t xml:space="preserve">     </w:t>
      </w:r>
      <w:r>
        <w:rPr>
          <w:rStyle w:val="123"/>
          <w:rFonts w:hint="eastAsia"/>
          <w:b w:val="0"/>
          <w:bCs/>
          <w:color w:val="auto"/>
          <w:highlight w:val="none"/>
        </w:rPr>
        <w:t>日</w:t>
      </w:r>
    </w:p>
    <w:p w14:paraId="710BD766">
      <w:pPr>
        <w:tabs>
          <w:tab w:val="left" w:pos="720"/>
        </w:tabs>
        <w:snapToGrid w:val="0"/>
        <w:spacing w:line="360" w:lineRule="auto"/>
        <w:ind w:firstLine="2530" w:firstLineChars="900"/>
        <w:rPr>
          <w:rStyle w:val="60"/>
          <w:color w:val="auto"/>
          <w:highlight w:val="none"/>
        </w:rPr>
      </w:pPr>
    </w:p>
    <w:p w14:paraId="50CCFC55">
      <w:pPr>
        <w:tabs>
          <w:tab w:val="left" w:pos="720"/>
        </w:tabs>
        <w:snapToGrid w:val="0"/>
        <w:spacing w:line="360" w:lineRule="auto"/>
        <w:ind w:firstLine="2530" w:firstLineChars="900"/>
        <w:rPr>
          <w:rStyle w:val="60"/>
          <w:color w:val="auto"/>
          <w:highlight w:val="none"/>
        </w:rPr>
      </w:pPr>
    </w:p>
    <w:p w14:paraId="62F920C5">
      <w:pPr>
        <w:tabs>
          <w:tab w:val="left" w:pos="720"/>
        </w:tabs>
        <w:snapToGrid w:val="0"/>
        <w:spacing w:line="360" w:lineRule="auto"/>
        <w:ind w:firstLine="2530" w:firstLineChars="900"/>
        <w:rPr>
          <w:rStyle w:val="60"/>
          <w:color w:val="auto"/>
          <w:highlight w:val="none"/>
        </w:rPr>
      </w:pPr>
    </w:p>
    <w:p w14:paraId="0A6B01E2">
      <w:pPr>
        <w:rPr>
          <w:rStyle w:val="60"/>
          <w:color w:val="auto"/>
          <w:highlight w:val="none"/>
        </w:rPr>
      </w:pPr>
      <w:r>
        <w:rPr>
          <w:rStyle w:val="60"/>
          <w:rFonts w:hint="eastAsia"/>
          <w:color w:val="auto"/>
          <w:highlight w:val="none"/>
        </w:rPr>
        <w:br w:type="page"/>
      </w:r>
    </w:p>
    <w:p w14:paraId="4633E62F">
      <w:pPr>
        <w:tabs>
          <w:tab w:val="left" w:pos="720"/>
        </w:tabs>
        <w:snapToGrid w:val="0"/>
        <w:spacing w:line="360" w:lineRule="auto"/>
        <w:ind w:firstLine="2530" w:firstLineChars="900"/>
        <w:rPr>
          <w:rStyle w:val="60"/>
          <w:color w:val="auto"/>
          <w:highlight w:val="none"/>
        </w:rPr>
      </w:pPr>
      <w:r>
        <w:rPr>
          <w:rStyle w:val="60"/>
          <w:rFonts w:hint="eastAsia"/>
          <w:color w:val="auto"/>
          <w:highlight w:val="none"/>
        </w:rPr>
        <w:t>第五章</w:t>
      </w:r>
      <w:r>
        <w:rPr>
          <w:rStyle w:val="60"/>
          <w:color w:val="auto"/>
          <w:highlight w:val="none"/>
        </w:rPr>
        <w:t xml:space="preserve">  </w:t>
      </w:r>
      <w:r>
        <w:rPr>
          <w:rStyle w:val="60"/>
          <w:rFonts w:hint="eastAsia"/>
          <w:color w:val="auto"/>
          <w:highlight w:val="none"/>
        </w:rPr>
        <w:t>技术条件（工程建设标准）</w:t>
      </w:r>
      <w:bookmarkEnd w:id="70"/>
      <w:bookmarkEnd w:id="71"/>
    </w:p>
    <w:bookmarkEnd w:id="72"/>
    <w:bookmarkEnd w:id="75"/>
    <w:p w14:paraId="501283EC">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1.标准</w:t>
      </w:r>
    </w:p>
    <w:p w14:paraId="715BCF5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引用的国家及有关部委颁布的标准、规范、和规程。若施工时期建设主管部门颁布新的规范、标准，则按照新的规范、标准执行。</w:t>
      </w:r>
    </w:p>
    <w:p w14:paraId="6A2D6DC7">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2、施工组织设计要点</w:t>
      </w:r>
    </w:p>
    <w:p w14:paraId="6BD9683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如果中标，中标人应按项目的进展需求，并在规定的时间内按要点要求，编制详细的施工组织设计，作为工程施工的指导性文件，向建设单位提交一式五份的《施工组织设计方案》，内容包括（不限于）以下：</w:t>
      </w:r>
    </w:p>
    <w:p w14:paraId="0E7F3E8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（一）工程概况及特点</w:t>
      </w:r>
    </w:p>
    <w:p w14:paraId="428D838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1.1 工程概况</w:t>
      </w:r>
    </w:p>
    <w:p w14:paraId="49FC83E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工程简述，工程规模，工程承包范围，地质及地貌状况，自然环境，交通情况等。</w:t>
      </w:r>
    </w:p>
    <w:p w14:paraId="775CF9E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1.2 工程特点</w:t>
      </w:r>
    </w:p>
    <w:p w14:paraId="44ECDE1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设计特点、工程特点、影响施工的主要和特殊环节分析等。</w:t>
      </w:r>
    </w:p>
    <w:p w14:paraId="4E115F9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（二）施工现场组织机构</w:t>
      </w:r>
    </w:p>
    <w:p w14:paraId="0B8CFD0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2.1 组织机构关系图</w:t>
      </w:r>
    </w:p>
    <w:p w14:paraId="3AD3888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2.2 工程主要负责人简介。</w:t>
      </w:r>
    </w:p>
    <w:p w14:paraId="60286E9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（三）施工现场总平面布置图</w:t>
      </w:r>
    </w:p>
    <w:p w14:paraId="0A286E4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3.1 施工现场平面布置图</w:t>
      </w:r>
    </w:p>
    <w:p w14:paraId="4C1A78B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14:paraId="2E9530A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（四）施工方案</w:t>
      </w:r>
    </w:p>
    <w:p w14:paraId="2C77AD3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4.1 施工准备</w:t>
      </w:r>
    </w:p>
    <w:p w14:paraId="063DD6B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简要叙述施工技术资料、材料、通讯、施工场地的准备，施工机械、施工力量的配置，以及生活设施等的准备情况。主要施工机械设备表。</w:t>
      </w:r>
    </w:p>
    <w:p w14:paraId="0D626D3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4.2 施工工序总体安排</w:t>
      </w:r>
    </w:p>
    <w:p w14:paraId="1403B45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4.3 主要工序和特殊工序的施工方法和施工效率估计，潜在问题的分析。</w:t>
      </w:r>
    </w:p>
    <w:p w14:paraId="6D292DC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4.4 工程成本的控制措施为控制成本，提高效益，拟采取的措施。</w:t>
      </w:r>
    </w:p>
    <w:p w14:paraId="5FCE783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（五）工期及施工进度计划</w:t>
      </w:r>
    </w:p>
    <w:p w14:paraId="0EE6F47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5.1 工期规划及要求</w:t>
      </w:r>
    </w:p>
    <w:p w14:paraId="4D3CE67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用横道图反映各主要施工过程的计划进度，深度达到全面、准确、清楚的描述工程实施过程，从中可衍生出各种施工资源计划及其过程管理信息。</w:t>
      </w:r>
    </w:p>
    <w:p w14:paraId="3463869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5.2 施工进度计划网络图</w:t>
      </w:r>
    </w:p>
    <w:p w14:paraId="692FB46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施工网络图应明确工程开工、竣工日期，工程施工的关键路线，并针对关键工序，提出确保工期拟采取的措施。</w:t>
      </w:r>
    </w:p>
    <w:p w14:paraId="6629F52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5.3 施工资源（人力、材料、机具、场地及进场道路、公共关系）计划</w:t>
      </w:r>
    </w:p>
    <w:p w14:paraId="72AE58B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5.4 施工进度计划分析</w:t>
      </w:r>
    </w:p>
    <w:p w14:paraId="258E613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计划潜在问题，计划中的潜力及其开发途径等。</w:t>
      </w:r>
    </w:p>
    <w:p w14:paraId="6235254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5.5 计划控制</w:t>
      </w:r>
    </w:p>
    <w:p w14:paraId="2BE3A62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程序、方法及制度等。</w:t>
      </w:r>
    </w:p>
    <w:p w14:paraId="576AEB95">
      <w:pPr>
        <w:pStyle w:val="2"/>
        <w:spacing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5.6占道施工相关告知、围蔽、修复</w:t>
      </w:r>
    </w:p>
    <w:p w14:paraId="3BDC87CC">
      <w:pPr>
        <w:spacing w:line="360" w:lineRule="auto"/>
        <w:rPr>
          <w:rStyle w:val="39"/>
          <w:rFonts w:ascii="Segoe UI" w:hAnsi="Segoe UI" w:cs="Segoe UI"/>
          <w:b w:val="0"/>
          <w:color w:val="auto"/>
          <w:sz w:val="24"/>
          <w:szCs w:val="24"/>
          <w:highlight w:val="none"/>
        </w:rPr>
      </w:pPr>
      <w:r>
        <w:rPr>
          <w:rFonts w:hint="eastAsia" w:ascii="宋体" w:hAnsi="宋体" w:cs="宋体"/>
          <w:color w:val="auto"/>
          <w:sz w:val="24"/>
          <w:szCs w:val="24"/>
          <w:highlight w:val="none"/>
        </w:rPr>
        <w:t>5.6.1占道施工相关告知：</w:t>
      </w:r>
      <w:r>
        <w:rPr>
          <w:rStyle w:val="39"/>
          <w:rFonts w:ascii="Segoe UI" w:hAnsi="Segoe UI" w:eastAsia="Segoe UI" w:cs="Segoe UI"/>
          <w:b w:val="0"/>
          <w:color w:val="auto"/>
          <w:sz w:val="24"/>
          <w:szCs w:val="24"/>
          <w:highlight w:val="none"/>
        </w:rPr>
        <w:t>提前</w:t>
      </w:r>
      <w:r>
        <w:rPr>
          <w:rStyle w:val="39"/>
          <w:rFonts w:hint="eastAsia" w:ascii="Segoe UI" w:hAnsi="Segoe UI" w:cs="Segoe UI"/>
          <w:b w:val="0"/>
          <w:color w:val="auto"/>
          <w:sz w:val="24"/>
          <w:szCs w:val="24"/>
          <w:highlight w:val="none"/>
        </w:rPr>
        <w:t>不少于10天</w:t>
      </w:r>
      <w:r>
        <w:rPr>
          <w:rStyle w:val="39"/>
          <w:rFonts w:ascii="Segoe UI" w:hAnsi="Segoe UI" w:eastAsia="Segoe UI" w:cs="Segoe UI"/>
          <w:b w:val="0"/>
          <w:color w:val="auto"/>
          <w:sz w:val="24"/>
          <w:szCs w:val="24"/>
          <w:highlight w:val="none"/>
        </w:rPr>
        <w:t>发布公告</w:t>
      </w:r>
      <w:r>
        <w:rPr>
          <w:rStyle w:val="39"/>
          <w:rFonts w:hint="eastAsia" w:ascii="Segoe UI" w:hAnsi="Segoe UI" w:cs="Segoe UI"/>
          <w:b w:val="0"/>
          <w:color w:val="auto"/>
          <w:sz w:val="24"/>
          <w:szCs w:val="24"/>
          <w:highlight w:val="none"/>
        </w:rPr>
        <w:t>。</w:t>
      </w:r>
    </w:p>
    <w:p w14:paraId="165280B1">
      <w:pPr>
        <w:spacing w:line="360" w:lineRule="auto"/>
        <w:rPr>
          <w:rFonts w:ascii="Segoe UI" w:hAnsi="Segoe UI" w:cs="Segoe UI"/>
          <w:color w:val="auto"/>
          <w:sz w:val="24"/>
          <w:szCs w:val="24"/>
          <w:highlight w:val="none"/>
        </w:rPr>
      </w:pPr>
      <w:r>
        <w:rPr>
          <w:rFonts w:hint="eastAsia" w:ascii="宋体" w:hAnsi="宋体" w:cs="宋体"/>
          <w:color w:val="auto"/>
          <w:sz w:val="24"/>
          <w:szCs w:val="24"/>
          <w:highlight w:val="none"/>
        </w:rPr>
        <w:t>5.6.2围蔽：（1）</w:t>
      </w:r>
      <w:r>
        <w:rPr>
          <w:rStyle w:val="39"/>
          <w:rFonts w:ascii="Segoe UI" w:hAnsi="Segoe UI" w:eastAsia="Segoe UI" w:cs="Segoe UI"/>
          <w:b w:val="0"/>
          <w:color w:val="auto"/>
          <w:sz w:val="24"/>
          <w:szCs w:val="24"/>
          <w:highlight w:val="none"/>
        </w:rPr>
        <w:t>市区主要路段、景观道路</w:t>
      </w:r>
      <w:r>
        <w:rPr>
          <w:rFonts w:ascii="Segoe UI" w:hAnsi="Segoe UI" w:eastAsia="Segoe UI" w:cs="Segoe UI"/>
          <w:color w:val="auto"/>
          <w:sz w:val="24"/>
          <w:szCs w:val="24"/>
          <w:highlight w:val="none"/>
        </w:rPr>
        <w:t>：围挡高度不低于2.5米；</w:t>
      </w:r>
      <w:r>
        <w:rPr>
          <w:rStyle w:val="39"/>
          <w:rFonts w:ascii="Segoe UI" w:hAnsi="Segoe UI" w:eastAsia="Segoe UI" w:cs="Segoe UI"/>
          <w:b w:val="0"/>
          <w:color w:val="auto"/>
          <w:sz w:val="24"/>
          <w:szCs w:val="24"/>
          <w:highlight w:val="none"/>
        </w:rPr>
        <w:t>一般路段</w:t>
      </w:r>
      <w:r>
        <w:rPr>
          <w:rFonts w:ascii="Segoe UI" w:hAnsi="Segoe UI" w:eastAsia="Segoe UI" w:cs="Segoe UI"/>
          <w:color w:val="auto"/>
          <w:sz w:val="24"/>
          <w:szCs w:val="24"/>
          <w:highlight w:val="none"/>
        </w:rPr>
        <w:t>不低于1.8米</w:t>
      </w:r>
      <w:r>
        <w:rPr>
          <w:rFonts w:hint="eastAsia" w:ascii="Segoe UI" w:hAnsi="Segoe UI" w:cs="Segoe UI"/>
          <w:color w:val="auto"/>
          <w:sz w:val="24"/>
          <w:szCs w:val="24"/>
          <w:highlight w:val="none"/>
        </w:rPr>
        <w:t>。</w:t>
      </w:r>
    </w:p>
    <w:p w14:paraId="761FC922">
      <w:pPr>
        <w:spacing w:line="360" w:lineRule="auto"/>
        <w:rPr>
          <w:rFonts w:hint="eastAsia" w:ascii="宋体" w:hAnsi="宋体" w:cs="宋体"/>
          <w:color w:val="auto"/>
          <w:sz w:val="24"/>
          <w:szCs w:val="24"/>
          <w:highlight w:val="none"/>
        </w:rPr>
      </w:pPr>
      <w:r>
        <w:rPr>
          <w:rFonts w:hint="eastAsia" w:ascii="Segoe UI" w:hAnsi="Segoe UI" w:cs="Segoe UI"/>
          <w:color w:val="auto"/>
          <w:sz w:val="24"/>
          <w:szCs w:val="24"/>
          <w:highlight w:val="none"/>
        </w:rPr>
        <w:t>（2）</w:t>
      </w:r>
      <w:r>
        <w:rPr>
          <w:rFonts w:ascii="Segoe UI" w:hAnsi="Segoe UI" w:eastAsia="Segoe UI" w:cs="Segoe UI"/>
          <w:color w:val="auto"/>
          <w:sz w:val="24"/>
          <w:szCs w:val="24"/>
          <w:highlight w:val="none"/>
        </w:rPr>
        <w:t>工地围栏外禁止堆放建筑材料或工程渣土，临时占用区域需设置高于1米的围栏</w:t>
      </w:r>
      <w:r>
        <w:rPr>
          <w:rFonts w:hint="eastAsia" w:ascii="Segoe UI" w:hAnsi="Segoe UI" w:cs="Segoe UI"/>
          <w:color w:val="auto"/>
          <w:sz w:val="24"/>
          <w:szCs w:val="24"/>
          <w:highlight w:val="none"/>
        </w:rPr>
        <w:t>。</w:t>
      </w:r>
    </w:p>
    <w:p w14:paraId="3C741E74">
      <w:pPr>
        <w:spacing w:line="360" w:lineRule="auto"/>
        <w:rPr>
          <w:rFonts w:ascii="Segoe UI" w:hAnsi="Segoe UI" w:cs="Segoe UI"/>
          <w:color w:val="auto"/>
          <w:sz w:val="24"/>
          <w:szCs w:val="24"/>
          <w:highlight w:val="none"/>
        </w:rPr>
      </w:pPr>
      <w:r>
        <w:rPr>
          <w:rFonts w:hint="eastAsia" w:ascii="Segoe UI" w:hAnsi="Segoe UI" w:cs="Segoe UI"/>
          <w:color w:val="auto"/>
          <w:sz w:val="24"/>
          <w:szCs w:val="24"/>
          <w:highlight w:val="none"/>
        </w:rPr>
        <w:t>5.6.3修复：（1）</w:t>
      </w:r>
      <w:r>
        <w:rPr>
          <w:rFonts w:ascii="Segoe UI" w:hAnsi="Segoe UI" w:eastAsia="Segoe UI" w:cs="Segoe UI"/>
          <w:color w:val="auto"/>
          <w:sz w:val="24"/>
          <w:szCs w:val="24"/>
          <w:highlight w:val="none"/>
        </w:rPr>
        <w:t>施工完成后需对路面病害（如裂缝、坑洼）进行全面修复，并重新铺设沥青及施划标线</w:t>
      </w:r>
      <w:r>
        <w:rPr>
          <w:rFonts w:hint="eastAsia" w:ascii="Segoe UI" w:hAnsi="Segoe UI" w:cs="Segoe UI"/>
          <w:color w:val="auto"/>
          <w:sz w:val="24"/>
          <w:szCs w:val="24"/>
          <w:highlight w:val="none"/>
        </w:rPr>
        <w:t>。</w:t>
      </w:r>
    </w:p>
    <w:p w14:paraId="4DC120C8">
      <w:pPr>
        <w:spacing w:line="360" w:lineRule="auto"/>
        <w:rPr>
          <w:rFonts w:ascii="Segoe UI" w:hAnsi="Segoe UI" w:eastAsia="Segoe UI" w:cs="Segoe UI"/>
          <w:color w:val="auto"/>
          <w:sz w:val="24"/>
          <w:szCs w:val="24"/>
          <w:highlight w:val="none"/>
        </w:rPr>
      </w:pPr>
      <w:r>
        <w:rPr>
          <w:rFonts w:ascii="Segoe UI" w:hAnsi="Segoe UI" w:eastAsia="Segoe UI" w:cs="Segoe UI"/>
          <w:color w:val="auto"/>
          <w:sz w:val="24"/>
          <w:szCs w:val="24"/>
          <w:highlight w:val="none"/>
        </w:rPr>
        <w:t>（</w:t>
      </w:r>
      <w:r>
        <w:rPr>
          <w:rFonts w:hint="eastAsia" w:ascii="Segoe UI" w:hAnsi="Segoe UI" w:eastAsia="Segoe UI" w:cs="Segoe UI"/>
          <w:color w:val="auto"/>
          <w:sz w:val="24"/>
          <w:szCs w:val="24"/>
          <w:highlight w:val="none"/>
        </w:rPr>
        <w:t>2</w:t>
      </w:r>
      <w:r>
        <w:rPr>
          <w:rFonts w:ascii="Segoe UI" w:hAnsi="Segoe UI" w:eastAsia="Segoe UI" w:cs="Segoe UI"/>
          <w:color w:val="auto"/>
          <w:sz w:val="24"/>
          <w:szCs w:val="24"/>
          <w:highlight w:val="none"/>
        </w:rPr>
        <w:t>）恢复</w:t>
      </w:r>
      <w:r>
        <w:rPr>
          <w:rFonts w:hint="eastAsia" w:ascii="Segoe UI" w:hAnsi="Segoe UI" w:cs="Segoe UI"/>
          <w:color w:val="auto"/>
          <w:sz w:val="24"/>
          <w:szCs w:val="24"/>
          <w:highlight w:val="none"/>
        </w:rPr>
        <w:t>因施工导致破坏的</w:t>
      </w:r>
      <w:r>
        <w:rPr>
          <w:rFonts w:ascii="Segoe UI" w:hAnsi="Segoe UI" w:eastAsia="Segoe UI" w:cs="Segoe UI"/>
          <w:color w:val="auto"/>
          <w:sz w:val="24"/>
          <w:szCs w:val="24"/>
          <w:highlight w:val="none"/>
        </w:rPr>
        <w:t>人行道铺装、绿化带、排水系统等市政设施功能</w:t>
      </w:r>
    </w:p>
    <w:p w14:paraId="05136DEE">
      <w:pPr>
        <w:spacing w:line="360" w:lineRule="auto"/>
        <w:rPr>
          <w:rFonts w:ascii="Segoe UI" w:hAnsi="Segoe UI" w:eastAsia="Segoe UI" w:cs="Segoe UI"/>
          <w:color w:val="auto"/>
          <w:sz w:val="24"/>
          <w:szCs w:val="24"/>
          <w:highlight w:val="none"/>
        </w:rPr>
      </w:pPr>
      <w:r>
        <w:rPr>
          <w:rFonts w:ascii="Segoe UI" w:hAnsi="Segoe UI" w:eastAsia="Segoe UI" w:cs="Segoe UI"/>
          <w:color w:val="auto"/>
          <w:sz w:val="24"/>
          <w:szCs w:val="24"/>
          <w:highlight w:val="none"/>
        </w:rPr>
        <w:t>（3）清理施工残留物，确保道路整洁无安全隐患</w:t>
      </w:r>
    </w:p>
    <w:p w14:paraId="556CEBB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（六）质量目标、质量保证体系及技术组织措施</w:t>
      </w:r>
    </w:p>
    <w:p w14:paraId="4E9AFA4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6.1 质量目标</w:t>
      </w:r>
    </w:p>
    <w:p w14:paraId="2A7F93B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本工程要求的质量目标：合格。</w:t>
      </w:r>
    </w:p>
    <w:p w14:paraId="7B528FD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用单位工程和分项工程合格率、优良品率表示，欲达到的工程质量等级。</w:t>
      </w:r>
    </w:p>
    <w:p w14:paraId="2966474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6.2 质量管理组织机构及主要职责</w:t>
      </w:r>
    </w:p>
    <w:p w14:paraId="53C99D4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用框图表示质量管理组织机构，并简要叙述各质量管理部门的主要职责。</w:t>
      </w:r>
    </w:p>
    <w:p w14:paraId="78A46E6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6.3 质量管理的措施</w:t>
      </w:r>
    </w:p>
    <w:p w14:paraId="572B968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简要叙述质量管理的措施和关键工序的质量控制。</w:t>
      </w:r>
    </w:p>
    <w:p w14:paraId="3E3A3BF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6.4 质量管理及检验的标准</w:t>
      </w:r>
    </w:p>
    <w:p w14:paraId="5B1B4FC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执行的主要质量标准、规范。</w:t>
      </w:r>
    </w:p>
    <w:p w14:paraId="41D0E92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6.5 质量保证技术措施</w:t>
      </w:r>
    </w:p>
    <w:p w14:paraId="068D3EC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针对本工程特点，分析质量薄弱环节，拟将采取的技术措施。</w:t>
      </w:r>
    </w:p>
    <w:p w14:paraId="73AF432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（七）安全目标、安全保证体系及技术组织措施</w:t>
      </w:r>
    </w:p>
    <w:p w14:paraId="25B0BCC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7.1 安全管理目标</w:t>
      </w:r>
    </w:p>
    <w:p w14:paraId="08464D4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7.2 安全管理组织机构及主要职责</w:t>
      </w:r>
    </w:p>
    <w:p w14:paraId="0C1028E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用框图表示安全管理组织机构，并简要叙述各安全管理部门及人员的主要职责。</w:t>
      </w:r>
    </w:p>
    <w:p w14:paraId="62FD62D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7.3 安全管理制度及办法</w:t>
      </w:r>
    </w:p>
    <w:p w14:paraId="2DC655F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7.4 安全组织技术措施</w:t>
      </w:r>
    </w:p>
    <w:p w14:paraId="2CDC6F2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针对本工程特点，分析安全薄弱环节，拟将采取的技术措施。</w:t>
      </w:r>
    </w:p>
    <w:p w14:paraId="1FA0C1C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7.5 重要施工方案和特殊施工工序的安全过程控制</w:t>
      </w:r>
    </w:p>
    <w:p w14:paraId="7537836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14:paraId="6DB8ED84">
      <w:pPr>
        <w:spacing w:line="360" w:lineRule="auto"/>
        <w:rPr>
          <w:rFonts w:hint="eastAsia" w:ascii="宋体" w:hAnsi="宋体" w:cs="宋体"/>
          <w:color w:val="auto"/>
          <w:sz w:val="24"/>
          <w:szCs w:val="24"/>
          <w:highlight w:val="none"/>
        </w:rPr>
      </w:pPr>
      <w:bookmarkStart w:id="76" w:name="_Hlt531956504"/>
      <w:r>
        <w:rPr>
          <w:rFonts w:hint="eastAsia" w:ascii="宋体" w:hAnsi="宋体" w:cs="宋体"/>
          <w:color w:val="auto"/>
          <w:sz w:val="24"/>
          <w:szCs w:val="24"/>
          <w:highlight w:val="none"/>
        </w:rPr>
        <w:t>安全生产目标：杜绝本项目施工人员重大伤亡事故。</w:t>
      </w:r>
      <w:bookmarkEnd w:id="76"/>
    </w:p>
    <w:p w14:paraId="6A7CDEC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文明施工目标：标准化管理。</w:t>
      </w:r>
      <w:bookmarkStart w:id="96" w:name="_GoBack"/>
      <w:bookmarkEnd w:id="96"/>
    </w:p>
    <w:p w14:paraId="537A916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（八）环境保护及文明施工</w:t>
      </w:r>
    </w:p>
    <w:p w14:paraId="202980A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8.1 环境保护</w:t>
      </w:r>
    </w:p>
    <w:p w14:paraId="733944C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分析因施工可能引起的环境保护方面的问题。</w:t>
      </w:r>
    </w:p>
    <w:p w14:paraId="77109CB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8.2 加强施工管理、严格保护环境</w:t>
      </w:r>
    </w:p>
    <w:p w14:paraId="535A416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提出环境保护的目标及采取的具体措施。</w:t>
      </w:r>
    </w:p>
    <w:p w14:paraId="488BC33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8.3 文明施工的目标、组织机构和实施方案</w:t>
      </w:r>
    </w:p>
    <w:p w14:paraId="34CC002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8.4 文明施工考核、管理办法</w:t>
      </w:r>
    </w:p>
    <w:p w14:paraId="112F7BD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（九）计划、统计和信息管理</w:t>
      </w:r>
    </w:p>
    <w:p w14:paraId="65AFABF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9.1 计划、统计报表的编制与传递；</w:t>
      </w:r>
    </w:p>
    <w:p w14:paraId="1F661FE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9.2 信息管理</w:t>
      </w:r>
    </w:p>
    <w:p w14:paraId="2BE247E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提出信息管理的目标及拟将采取的措施。</w:t>
      </w:r>
    </w:p>
    <w:p w14:paraId="22ECDC68">
      <w:pPr>
        <w:spacing w:line="360" w:lineRule="auto"/>
        <w:rPr>
          <w:rFonts w:hint="eastAsia" w:ascii="宋体" w:hAnsi="宋体" w:cs="宋体"/>
          <w:color w:val="auto"/>
          <w:sz w:val="24"/>
          <w:szCs w:val="24"/>
          <w:highlight w:val="none"/>
        </w:rPr>
      </w:pPr>
      <w:bookmarkStart w:id="77" w:name="_Toc3345"/>
      <w:r>
        <w:rPr>
          <w:rFonts w:hint="eastAsia" w:ascii="宋体" w:hAnsi="宋体" w:cs="宋体"/>
          <w:color w:val="auto"/>
          <w:sz w:val="24"/>
          <w:szCs w:val="24"/>
          <w:highlight w:val="none"/>
        </w:rPr>
        <w:t>（十）施工现场建筑垃圾源头减量的具体要求和建筑垃圾综合利用产品的使用要求</w:t>
      </w:r>
      <w:bookmarkEnd w:id="77"/>
    </w:p>
    <w:p w14:paraId="73D04ECE">
      <w:pPr>
        <w:spacing w:line="360" w:lineRule="auto"/>
        <w:rPr>
          <w:rFonts w:hint="eastAsia" w:ascii="宋体" w:hAnsi="宋体" w:cs="宋体"/>
          <w:color w:val="auto"/>
          <w:sz w:val="24"/>
          <w:szCs w:val="24"/>
          <w:highlight w:val="none"/>
        </w:rPr>
      </w:pPr>
      <w:bookmarkStart w:id="78" w:name="_Toc18804"/>
      <w:r>
        <w:rPr>
          <w:rFonts w:hint="eastAsia" w:ascii="宋体" w:hAnsi="宋体" w:cs="宋体"/>
          <w:color w:val="auto"/>
          <w:sz w:val="24"/>
          <w:szCs w:val="24"/>
          <w:highlight w:val="none"/>
        </w:rPr>
        <w:t>10.1投标人应当建立建筑垃圾管理台账，分类收集、贮存和及时清运施工过程中产生的建筑垃圾，采取有效措施防止混合已分类的建筑垃圾；</w:t>
      </w:r>
      <w:bookmarkEnd w:id="78"/>
    </w:p>
    <w:p w14:paraId="196C2A8D">
      <w:pPr>
        <w:spacing w:line="360" w:lineRule="auto"/>
        <w:rPr>
          <w:rFonts w:hint="eastAsia" w:ascii="宋体" w:hAnsi="宋体" w:cs="宋体"/>
          <w:color w:val="auto"/>
          <w:sz w:val="24"/>
          <w:szCs w:val="24"/>
          <w:highlight w:val="none"/>
        </w:rPr>
      </w:pPr>
      <w:bookmarkStart w:id="79" w:name="_Toc2137"/>
      <w:r>
        <w:rPr>
          <w:rFonts w:hint="eastAsia" w:ascii="宋体" w:hAnsi="宋体" w:cs="宋体"/>
          <w:color w:val="auto"/>
          <w:sz w:val="24"/>
          <w:szCs w:val="24"/>
          <w:highlight w:val="none"/>
        </w:rPr>
        <w:t>10.2投标人应优化施工组织设计，实现精准下料、精细管理，降低建筑材料损耗率；</w:t>
      </w:r>
      <w:bookmarkEnd w:id="79"/>
    </w:p>
    <w:p w14:paraId="65A9247C">
      <w:pPr>
        <w:spacing w:line="360" w:lineRule="auto"/>
        <w:rPr>
          <w:rFonts w:hint="eastAsia" w:ascii="宋体" w:hAnsi="宋体" w:cs="宋体"/>
          <w:color w:val="auto"/>
          <w:sz w:val="24"/>
          <w:szCs w:val="24"/>
          <w:highlight w:val="none"/>
        </w:rPr>
      </w:pPr>
      <w:bookmarkStart w:id="80" w:name="_Toc31533"/>
      <w:r>
        <w:rPr>
          <w:rFonts w:hint="eastAsia" w:ascii="宋体" w:hAnsi="宋体" w:cs="宋体"/>
          <w:color w:val="auto"/>
          <w:sz w:val="24"/>
          <w:szCs w:val="24"/>
          <w:highlight w:val="none"/>
        </w:rPr>
        <w:t>10.3投标人应严格按要求控制进场材料和设备的质量，减少因质量问题导致的返工或修补。加强对已完工工程的成品保护，避免二次损坏；</w:t>
      </w:r>
      <w:bookmarkEnd w:id="80"/>
    </w:p>
    <w:p w14:paraId="24E98AE8">
      <w:pPr>
        <w:spacing w:line="360" w:lineRule="auto"/>
        <w:rPr>
          <w:rFonts w:hint="eastAsia" w:ascii="宋体" w:hAnsi="宋体" w:cs="宋体"/>
          <w:color w:val="auto"/>
          <w:sz w:val="24"/>
          <w:szCs w:val="24"/>
          <w:highlight w:val="none"/>
        </w:rPr>
      </w:pPr>
      <w:bookmarkStart w:id="81" w:name="_Toc12568"/>
      <w:r>
        <w:rPr>
          <w:rFonts w:hint="eastAsia" w:ascii="宋体" w:hAnsi="宋体" w:cs="宋体"/>
          <w:color w:val="auto"/>
          <w:sz w:val="24"/>
          <w:szCs w:val="24"/>
          <w:highlight w:val="none"/>
        </w:rPr>
        <w:t>10.4投标人应实时统计并监控建筑垃圾产生量，及时采取针对性措施降低建筑垃圾排放量；</w:t>
      </w:r>
      <w:bookmarkEnd w:id="81"/>
    </w:p>
    <w:p w14:paraId="2E82A24D">
      <w:pPr>
        <w:spacing w:line="360" w:lineRule="auto"/>
        <w:rPr>
          <w:rFonts w:hint="eastAsia" w:ascii="宋体" w:hAnsi="宋体" w:cs="宋体"/>
          <w:color w:val="auto"/>
          <w:sz w:val="24"/>
          <w:szCs w:val="24"/>
          <w:highlight w:val="none"/>
        </w:rPr>
      </w:pPr>
      <w:bookmarkStart w:id="82" w:name="_Toc19790"/>
      <w:r>
        <w:rPr>
          <w:rFonts w:hint="eastAsia" w:ascii="宋体" w:hAnsi="宋体" w:cs="宋体"/>
          <w:color w:val="auto"/>
          <w:sz w:val="24"/>
          <w:szCs w:val="24"/>
          <w:highlight w:val="none"/>
        </w:rPr>
        <w:t>10.5鼓励投标人选择技术指标符合设计要求及满足使用功能的建筑垃圾综合利用产品；</w:t>
      </w:r>
      <w:bookmarkEnd w:id="82"/>
    </w:p>
    <w:p w14:paraId="64992A67">
      <w:pPr>
        <w:spacing w:line="360" w:lineRule="auto"/>
        <w:rPr>
          <w:rFonts w:hint="eastAsia" w:ascii="宋体" w:hAnsi="宋体" w:cs="宋体"/>
          <w:color w:val="auto"/>
          <w:sz w:val="24"/>
          <w:szCs w:val="24"/>
          <w:highlight w:val="none"/>
        </w:rPr>
      </w:pPr>
      <w:bookmarkStart w:id="83" w:name="_Toc17210"/>
      <w:r>
        <w:rPr>
          <w:rFonts w:hint="eastAsia" w:ascii="宋体" w:hAnsi="宋体" w:cs="宋体"/>
          <w:color w:val="auto"/>
          <w:sz w:val="24"/>
          <w:szCs w:val="24"/>
          <w:highlight w:val="none"/>
        </w:rPr>
        <w:t>10.6其他要求详见《广东省建筑垃圾管理条例》相关规定。</w:t>
      </w:r>
      <w:bookmarkEnd w:id="83"/>
    </w:p>
    <w:p w14:paraId="62FCA7BA">
      <w:pPr>
        <w:numPr>
          <w:ilvl w:val="255"/>
          <w:numId w:val="0"/>
        </w:num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（十一）“百千万工程”的具体要求</w:t>
      </w:r>
    </w:p>
    <w:p w14:paraId="11BB838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11.1积极响应广州市关于投身“百千万工程”的号召，主动参与建筑业结对帮扶。具体帮扶事项由有关方协商确定</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具体帮扶比例要求符合增住建〔2024〕72号文</w:t>
      </w:r>
      <w:r>
        <w:rPr>
          <w:rFonts w:hint="eastAsia" w:ascii="宋体" w:hAnsi="宋体" w:cs="宋体"/>
          <w:color w:val="auto"/>
          <w:sz w:val="24"/>
          <w:szCs w:val="24"/>
          <w:highlight w:val="none"/>
        </w:rPr>
        <w:t>。</w:t>
      </w:r>
    </w:p>
    <w:p w14:paraId="61B0CC2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（十二）招标项目智能建造的要求。</w:t>
      </w:r>
    </w:p>
    <w:p w14:paraId="569490F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12.1在智能施工管理上，采用数字化管理平台，实现施工现场的质量安全监管，如通过传感器实时监测路基压实度、路面平整度等质量指标，利用视频监控系统对施工现场安全状况进行24小时监控。</w:t>
      </w:r>
    </w:p>
    <w:p w14:paraId="1C893DC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12.2其他具体要求，由有关方对照《广州市智能建造技术清单（1.0版）》协商确定。</w:t>
      </w:r>
    </w:p>
    <w:p w14:paraId="5814A98D">
      <w:pPr>
        <w:pStyle w:val="2"/>
        <w:spacing w:line="360" w:lineRule="auto"/>
        <w:ind w:firstLine="0"/>
        <w:rPr>
          <w:rFonts w:hint="eastAsia" w:ascii="楷体" w:hAnsi="楷体" w:eastAsia="楷体" w:cs="楷体"/>
          <w:color w:val="auto"/>
          <w:kern w:val="0"/>
          <w:sz w:val="24"/>
          <w:szCs w:val="24"/>
          <w:highlight w:val="none"/>
        </w:rPr>
        <w:sectPr>
          <w:headerReference r:id="rId13" w:type="default"/>
          <w:footerReference r:id="rId14" w:type="default"/>
          <w:pgSz w:w="11907" w:h="16839"/>
          <w:pgMar w:top="1440" w:right="1083" w:bottom="1440" w:left="1083" w:header="0" w:footer="1476" w:gutter="0"/>
          <w:pgBorders>
            <w:top w:val="none" w:sz="0" w:space="0"/>
            <w:left w:val="none" w:sz="0" w:space="0"/>
            <w:bottom w:val="none" w:sz="0" w:space="0"/>
            <w:right w:val="none" w:sz="0" w:space="0"/>
          </w:pgBorders>
          <w:cols w:space="720" w:num="1"/>
        </w:sectPr>
      </w:pPr>
    </w:p>
    <w:p w14:paraId="2BB97C63">
      <w:pPr>
        <w:pStyle w:val="3"/>
        <w:rPr>
          <w:color w:val="auto"/>
          <w:highlight w:val="none"/>
        </w:rPr>
      </w:pPr>
      <w:bookmarkStart w:id="84" w:name="_Toc17091"/>
      <w:bookmarkStart w:id="85" w:name="_Toc2272569"/>
      <w:bookmarkStart w:id="86" w:name="_Toc24011"/>
      <w:bookmarkStart w:id="87" w:name="_Toc21525514"/>
      <w:r>
        <w:rPr>
          <w:rFonts w:hint="eastAsia"/>
          <w:color w:val="auto"/>
          <w:highlight w:val="none"/>
        </w:rPr>
        <w:t>第六章</w:t>
      </w:r>
      <w:r>
        <w:rPr>
          <w:color w:val="auto"/>
          <w:highlight w:val="none"/>
        </w:rPr>
        <w:t xml:space="preserve">  </w:t>
      </w:r>
      <w:r>
        <w:rPr>
          <w:rFonts w:hint="eastAsia"/>
          <w:color w:val="auto"/>
          <w:highlight w:val="none"/>
        </w:rPr>
        <w:t>图纸及勘察资料</w:t>
      </w:r>
      <w:bookmarkEnd w:id="84"/>
      <w:bookmarkEnd w:id="85"/>
      <w:bookmarkEnd w:id="86"/>
      <w:bookmarkEnd w:id="87"/>
    </w:p>
    <w:p w14:paraId="05E5A69A">
      <w:pPr>
        <w:jc w:val="center"/>
        <w:rPr>
          <w:rFonts w:ascii="宋体"/>
          <w:b/>
          <w:color w:val="auto"/>
          <w:sz w:val="24"/>
          <w:szCs w:val="24"/>
          <w:highlight w:val="none"/>
        </w:rPr>
      </w:pPr>
      <w:r>
        <w:rPr>
          <w:rFonts w:hint="eastAsia" w:ascii="宋体" w:hAnsi="宋体"/>
          <w:color w:val="auto"/>
          <w:sz w:val="24"/>
          <w:szCs w:val="24"/>
          <w:highlight w:val="none"/>
        </w:rPr>
        <w:t>注：另册。</w:t>
      </w:r>
    </w:p>
    <w:p w14:paraId="5635241B">
      <w:pPr>
        <w:pStyle w:val="3"/>
        <w:rPr>
          <w:color w:val="auto"/>
          <w:highlight w:val="none"/>
        </w:rPr>
      </w:pPr>
      <w:r>
        <w:rPr>
          <w:color w:val="auto"/>
          <w:sz w:val="24"/>
          <w:szCs w:val="24"/>
          <w:highlight w:val="none"/>
        </w:rPr>
        <w:br w:type="page"/>
      </w:r>
      <w:bookmarkStart w:id="88" w:name="_Toc13042"/>
      <w:bookmarkStart w:id="89" w:name="_Toc21525515"/>
      <w:bookmarkStart w:id="90" w:name="_Toc2272570"/>
      <w:bookmarkStart w:id="91" w:name="_Toc1393"/>
      <w:r>
        <w:rPr>
          <w:rFonts w:hint="eastAsia"/>
          <w:color w:val="auto"/>
          <w:highlight w:val="none"/>
        </w:rPr>
        <w:t>第七章</w:t>
      </w:r>
      <w:r>
        <w:rPr>
          <w:color w:val="auto"/>
          <w:highlight w:val="none"/>
        </w:rPr>
        <w:t xml:space="preserve">  </w:t>
      </w:r>
      <w:r>
        <w:rPr>
          <w:rFonts w:hint="eastAsia"/>
          <w:color w:val="auto"/>
          <w:highlight w:val="none"/>
        </w:rPr>
        <w:t>工程量清单</w:t>
      </w:r>
      <w:bookmarkEnd w:id="88"/>
      <w:bookmarkEnd w:id="89"/>
      <w:bookmarkEnd w:id="90"/>
      <w:bookmarkEnd w:id="91"/>
    </w:p>
    <w:p w14:paraId="4FB7088F">
      <w:pPr>
        <w:pStyle w:val="5"/>
        <w:spacing w:after="0" w:line="360" w:lineRule="auto"/>
        <w:ind w:firstLine="0"/>
        <w:jc w:val="center"/>
        <w:rPr>
          <w:rFonts w:ascii="宋体"/>
          <w:color w:val="auto"/>
          <w:sz w:val="24"/>
          <w:highlight w:val="none"/>
        </w:rPr>
      </w:pPr>
      <w:r>
        <w:rPr>
          <w:rFonts w:hint="eastAsia" w:ascii="宋体" w:hAnsi="宋体"/>
          <w:color w:val="auto"/>
          <w:sz w:val="24"/>
          <w:szCs w:val="24"/>
          <w:highlight w:val="none"/>
        </w:rPr>
        <w:t>注：另册。</w:t>
      </w:r>
    </w:p>
    <w:p w14:paraId="3BD02D3E">
      <w:pPr>
        <w:pStyle w:val="3"/>
        <w:rPr>
          <w:color w:val="auto"/>
          <w:highlight w:val="none"/>
        </w:rPr>
      </w:pPr>
    </w:p>
    <w:p w14:paraId="3C646E74">
      <w:pPr>
        <w:pStyle w:val="3"/>
        <w:rPr>
          <w:rFonts w:ascii="宋体"/>
          <w:color w:val="auto"/>
          <w:highlight w:val="none"/>
        </w:rPr>
      </w:pPr>
      <w:r>
        <w:rPr>
          <w:color w:val="auto"/>
          <w:sz w:val="24"/>
          <w:szCs w:val="24"/>
          <w:highlight w:val="none"/>
        </w:rPr>
        <w:br w:type="page"/>
      </w:r>
      <w:bookmarkStart w:id="92" w:name="_Toc21525516"/>
      <w:bookmarkStart w:id="93" w:name="_Toc2272571"/>
      <w:bookmarkStart w:id="94" w:name="_Toc18445"/>
      <w:bookmarkStart w:id="95" w:name="_Toc19152"/>
      <w:r>
        <w:rPr>
          <w:rFonts w:hint="eastAsia"/>
          <w:color w:val="auto"/>
          <w:highlight w:val="none"/>
        </w:rPr>
        <w:t>第八章</w:t>
      </w:r>
      <w:r>
        <w:rPr>
          <w:color w:val="auto"/>
          <w:highlight w:val="none"/>
        </w:rPr>
        <w:t xml:space="preserve">  </w:t>
      </w:r>
      <w:r>
        <w:rPr>
          <w:rFonts w:hint="eastAsia"/>
          <w:color w:val="auto"/>
          <w:highlight w:val="none"/>
        </w:rPr>
        <w:t>最高投标限价</w:t>
      </w:r>
      <w:bookmarkEnd w:id="92"/>
      <w:bookmarkEnd w:id="93"/>
      <w:bookmarkEnd w:id="94"/>
      <w:bookmarkEnd w:id="95"/>
    </w:p>
    <w:tbl>
      <w:tblPr>
        <w:tblStyle w:val="3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7860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5" w:hRule="atLeast"/>
        </w:trPr>
        <w:tc>
          <w:tcPr>
            <w:tcW w:w="8528" w:type="dxa"/>
          </w:tcPr>
          <w:p w14:paraId="73EE2431">
            <w:pPr>
              <w:spacing w:line="600" w:lineRule="exact"/>
              <w:jc w:val="center"/>
              <w:rPr>
                <w:rFonts w:hint="eastAsia" w:ascii="宋体" w:hAnsi="宋体" w:cs="宋体"/>
                <w:b/>
                <w:color w:val="auto"/>
                <w:spacing w:val="60"/>
                <w:sz w:val="44"/>
                <w:szCs w:val="44"/>
                <w:highlight w:val="none"/>
                <w:lang w:bidi="ar"/>
              </w:rPr>
            </w:pPr>
          </w:p>
          <w:p w14:paraId="76271D11">
            <w:pPr>
              <w:spacing w:line="600" w:lineRule="exact"/>
              <w:jc w:val="center"/>
              <w:rPr>
                <w:rFonts w:hint="eastAsia" w:ascii="宋体" w:hAnsi="宋体"/>
                <w:b/>
                <w:color w:val="auto"/>
                <w:spacing w:val="60"/>
                <w:sz w:val="44"/>
                <w:szCs w:val="44"/>
                <w:highlight w:val="none"/>
              </w:rPr>
            </w:pPr>
            <w:r>
              <w:rPr>
                <w:rFonts w:hint="eastAsia" w:ascii="宋体" w:hAnsi="宋体"/>
                <w:b/>
                <w:color w:val="auto"/>
                <w:spacing w:val="60"/>
                <w:sz w:val="44"/>
                <w:szCs w:val="44"/>
                <w:highlight w:val="none"/>
              </w:rPr>
              <w:t>最高投标限价公布函</w:t>
            </w:r>
          </w:p>
          <w:p w14:paraId="2568FE38">
            <w:pPr>
              <w:spacing w:line="360" w:lineRule="auto"/>
              <w:rPr>
                <w:rFonts w:hint="eastAsia" w:ascii="宋体" w:hAnsi="宋体" w:cs="宋体"/>
                <w:color w:val="auto"/>
                <w:szCs w:val="21"/>
                <w:highlight w:val="none"/>
              </w:rPr>
            </w:pPr>
          </w:p>
          <w:p w14:paraId="392D04C0">
            <w:pPr>
              <w:pStyle w:val="33"/>
              <w:keepNext w:val="0"/>
              <w:keepLines w:val="0"/>
              <w:widowControl/>
              <w:suppressLineNumbers w:val="0"/>
              <w:spacing w:before="0" w:beforeAutospacing="0" w:after="0" w:afterAutospacing="0"/>
              <w:ind w:right="0"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color w:val="auto"/>
                <w:sz w:val="24"/>
                <w:szCs w:val="24"/>
                <w:highlight w:val="none"/>
              </w:rPr>
              <w:t>工程名称：</w:t>
            </w:r>
            <w:r>
              <w:rPr>
                <w:rFonts w:hint="eastAsia" w:ascii="宋体" w:hAnsi="宋体" w:eastAsia="宋体" w:cs="宋体"/>
                <w:color w:val="auto"/>
                <w:sz w:val="24"/>
                <w:szCs w:val="24"/>
                <w:highlight w:val="none"/>
                <w:u w:val="single"/>
              </w:rPr>
              <w:t>宁西街太和三路建设工程施工总承包</w:t>
            </w:r>
          </w:p>
          <w:p w14:paraId="649C4EBB">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最高投标限价（元）：</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u w:val="single"/>
                <w:lang w:val="en-US" w:eastAsia="zh-CN"/>
              </w:rPr>
              <w:t>31160712.17</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none"/>
              </w:rPr>
              <w:t xml:space="preserve">  </w:t>
            </w:r>
          </w:p>
          <w:p w14:paraId="6540D222">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分部分项工程费（元）：</w:t>
            </w:r>
            <w:r>
              <w:rPr>
                <w:rFonts w:hint="eastAsia" w:ascii="宋体" w:hAnsi="宋体"/>
                <w:color w:val="auto"/>
                <w:sz w:val="24"/>
                <w:szCs w:val="24"/>
                <w:highlight w:val="none"/>
                <w:u w:val="single"/>
              </w:rPr>
              <w:t xml:space="preserve">26359916.85 </w:t>
            </w:r>
          </w:p>
          <w:p w14:paraId="3D5EA9E6">
            <w:pPr>
              <w:spacing w:line="360" w:lineRule="auto"/>
              <w:ind w:firstLine="480" w:firstLineChars="200"/>
              <w:rPr>
                <w:rFonts w:hint="eastAsia" w:ascii="宋体" w:hAnsi="宋体"/>
                <w:color w:val="auto"/>
                <w:sz w:val="24"/>
                <w:szCs w:val="24"/>
                <w:highlight w:val="none"/>
                <w:u w:val="none"/>
              </w:rPr>
            </w:pPr>
            <w:r>
              <w:rPr>
                <w:rFonts w:hint="eastAsia" w:ascii="宋体" w:hAnsi="宋体"/>
                <w:color w:val="auto"/>
                <w:sz w:val="24"/>
                <w:szCs w:val="24"/>
                <w:highlight w:val="none"/>
              </w:rPr>
              <w:t>措施项目费（元）：</w:t>
            </w:r>
            <w:r>
              <w:rPr>
                <w:rFonts w:hint="eastAsia" w:ascii="宋体" w:hAnsi="宋体"/>
                <w:color w:val="auto"/>
                <w:sz w:val="24"/>
                <w:szCs w:val="24"/>
                <w:highlight w:val="none"/>
                <w:u w:val="single"/>
              </w:rPr>
              <w:t>1676727.39</w:t>
            </w:r>
            <w:r>
              <w:rPr>
                <w:rFonts w:hint="eastAsia" w:ascii="宋体" w:hAnsi="宋体"/>
                <w:color w:val="auto"/>
                <w:sz w:val="24"/>
                <w:szCs w:val="24"/>
                <w:highlight w:val="none"/>
                <w:u w:val="none"/>
              </w:rPr>
              <w:t xml:space="preserve">       </w:t>
            </w:r>
          </w:p>
          <w:p w14:paraId="75929810">
            <w:pPr>
              <w:spacing w:line="360" w:lineRule="auto"/>
              <w:ind w:firstLine="960" w:firstLineChars="400"/>
              <w:rPr>
                <w:rFonts w:hint="eastAsia" w:ascii="宋体" w:hAnsi="宋体" w:eastAsia="宋体"/>
                <w:color w:val="auto"/>
                <w:sz w:val="24"/>
                <w:szCs w:val="24"/>
                <w:highlight w:val="none"/>
                <w:u w:val="single"/>
                <w:lang w:eastAsia="zh-CN"/>
              </w:rPr>
            </w:pPr>
            <w:r>
              <w:rPr>
                <w:rFonts w:hint="eastAsia" w:ascii="宋体" w:hAnsi="宋体"/>
                <w:color w:val="auto"/>
                <w:sz w:val="24"/>
                <w:szCs w:val="24"/>
                <w:highlight w:val="none"/>
              </w:rPr>
              <w:t>其中绿色施工安全防护措施费（元）：</w:t>
            </w:r>
            <w:r>
              <w:rPr>
                <w:rFonts w:hint="eastAsia" w:ascii="宋体" w:hAnsi="宋体"/>
                <w:color w:val="auto"/>
                <w:sz w:val="24"/>
                <w:szCs w:val="24"/>
                <w:highlight w:val="none"/>
                <w:u w:val="single"/>
              </w:rPr>
              <w:t>872119.73</w:t>
            </w:r>
            <w:r>
              <w:rPr>
                <w:rFonts w:hint="eastAsia" w:ascii="宋体" w:hAnsi="宋体"/>
                <w:color w:val="auto"/>
                <w:sz w:val="24"/>
                <w:szCs w:val="24"/>
                <w:highlight w:val="none"/>
                <w:u w:val="none"/>
                <w:lang w:eastAsia="zh-CN"/>
              </w:rPr>
              <w:t>，明细详见附表一</w:t>
            </w:r>
          </w:p>
          <w:p w14:paraId="0A099E1E">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其他项目费（元）：</w:t>
            </w:r>
            <w:r>
              <w:rPr>
                <w:rFonts w:hint="eastAsia" w:ascii="宋体" w:hAnsi="宋体"/>
                <w:color w:val="auto"/>
                <w:sz w:val="24"/>
                <w:szCs w:val="24"/>
                <w:highlight w:val="none"/>
                <w:u w:val="single"/>
              </w:rPr>
              <w:t xml:space="preserve">551165.09     </w:t>
            </w:r>
            <w:r>
              <w:rPr>
                <w:rFonts w:hint="eastAsia" w:ascii="宋体" w:hAnsi="宋体"/>
                <w:color w:val="auto"/>
                <w:sz w:val="24"/>
                <w:szCs w:val="24"/>
                <w:highlight w:val="none"/>
                <w:u w:val="none"/>
              </w:rPr>
              <w:t xml:space="preserve">            </w:t>
            </w:r>
          </w:p>
          <w:p w14:paraId="68C830EA">
            <w:pPr>
              <w:spacing w:line="360" w:lineRule="auto"/>
              <w:ind w:firstLine="960" w:firstLineChars="400"/>
              <w:rPr>
                <w:rFonts w:hint="eastAsia" w:ascii="宋体" w:hAnsi="宋体"/>
                <w:color w:val="auto"/>
                <w:sz w:val="24"/>
                <w:szCs w:val="24"/>
                <w:highlight w:val="none"/>
                <w:u w:val="none"/>
              </w:rPr>
            </w:pPr>
            <w:r>
              <w:rPr>
                <w:rFonts w:hint="eastAsia" w:ascii="宋体" w:hAnsi="宋体"/>
                <w:color w:val="auto"/>
                <w:sz w:val="24"/>
                <w:szCs w:val="24"/>
                <w:highlight w:val="none"/>
              </w:rPr>
              <w:t>其中暂</w:t>
            </w:r>
            <w:r>
              <w:rPr>
                <w:rFonts w:hint="eastAsia" w:ascii="宋体" w:hAnsi="宋体"/>
                <w:color w:val="auto"/>
                <w:sz w:val="24"/>
                <w:szCs w:val="24"/>
                <w:highlight w:val="none"/>
                <w:lang w:eastAsia="zh-CN"/>
              </w:rPr>
              <w:t>列</w:t>
            </w:r>
            <w:r>
              <w:rPr>
                <w:rFonts w:hint="eastAsia" w:ascii="宋体" w:hAnsi="宋体"/>
                <w:color w:val="auto"/>
                <w:sz w:val="24"/>
                <w:szCs w:val="24"/>
                <w:highlight w:val="none"/>
              </w:rPr>
              <w:t>金额（元）：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0  </w:t>
            </w:r>
            <w:r>
              <w:rPr>
                <w:rFonts w:hint="eastAsia" w:ascii="宋体" w:hAnsi="宋体"/>
                <w:color w:val="auto"/>
                <w:sz w:val="24"/>
                <w:szCs w:val="24"/>
                <w:highlight w:val="none"/>
                <w:u w:val="none"/>
              </w:rPr>
              <w:t xml:space="preserve">  </w:t>
            </w:r>
            <w:r>
              <w:rPr>
                <w:rFonts w:hint="eastAsia" w:ascii="宋体" w:hAnsi="宋体"/>
                <w:color w:val="auto"/>
                <w:sz w:val="24"/>
                <w:szCs w:val="24"/>
                <w:highlight w:val="none"/>
                <w:u w:val="none"/>
                <w:lang w:eastAsia="zh-CN"/>
              </w:rPr>
              <w:t>；专业工程暂估价</w:t>
            </w:r>
            <w:r>
              <w:rPr>
                <w:rFonts w:hint="eastAsia" w:ascii="宋体" w:hAnsi="宋体"/>
                <w:color w:val="auto"/>
                <w:sz w:val="24"/>
                <w:szCs w:val="24"/>
                <w:highlight w:val="none"/>
              </w:rPr>
              <w:t>（元）：</w:t>
            </w:r>
            <w:r>
              <w:rPr>
                <w:rFonts w:hint="eastAsia" w:ascii="宋体" w:hAnsi="宋体"/>
                <w:color w:val="auto"/>
                <w:sz w:val="24"/>
                <w:szCs w:val="24"/>
                <w:highlight w:val="none"/>
                <w:u w:val="single"/>
                <w:lang w:eastAsia="zh-CN"/>
              </w:rPr>
              <w:t>231540</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u w:val="none"/>
                <w:lang w:eastAsia="zh-CN"/>
              </w:rPr>
              <w:t>（明细详见附表一</w:t>
            </w:r>
            <w:r>
              <w:rPr>
                <w:rFonts w:hint="eastAsia" w:ascii="宋体" w:hAnsi="宋体"/>
                <w:color w:val="auto"/>
                <w:sz w:val="24"/>
                <w:szCs w:val="24"/>
                <w:highlight w:val="none"/>
                <w:u w:val="none"/>
              </w:rPr>
              <w:t xml:space="preserve"> </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rPr>
              <w:t xml:space="preserve">                       </w:t>
            </w:r>
          </w:p>
          <w:p w14:paraId="294E3697">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规费（元）：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无</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none"/>
              </w:rPr>
              <w:t xml:space="preserve">            </w:t>
            </w:r>
            <w:r>
              <w:rPr>
                <w:rFonts w:hint="eastAsia" w:ascii="宋体" w:hAnsi="宋体"/>
                <w:color w:val="auto"/>
                <w:sz w:val="24"/>
                <w:szCs w:val="24"/>
                <w:highlight w:val="none"/>
                <w:u w:val="single"/>
              </w:rPr>
              <w:t xml:space="preserve">   </w:t>
            </w:r>
          </w:p>
          <w:p w14:paraId="31920AE0">
            <w:pPr>
              <w:spacing w:line="360" w:lineRule="auto"/>
              <w:ind w:firstLine="480" w:firstLineChars="200"/>
              <w:rPr>
                <w:rFonts w:hint="eastAsia" w:ascii="宋体" w:hAnsi="宋体" w:cs="宋体"/>
                <w:color w:val="auto"/>
                <w:kern w:val="0"/>
                <w:sz w:val="24"/>
                <w:szCs w:val="24"/>
                <w:highlight w:val="none"/>
                <w:u w:val="none"/>
              </w:rPr>
            </w:pPr>
            <w:r>
              <w:rPr>
                <w:rFonts w:hint="eastAsia" w:ascii="宋体" w:hAnsi="宋体"/>
                <w:color w:val="auto"/>
                <w:sz w:val="24"/>
                <w:szCs w:val="24"/>
                <w:highlight w:val="none"/>
              </w:rPr>
              <w:t>税金（元）：</w:t>
            </w:r>
            <w:r>
              <w:rPr>
                <w:rFonts w:hint="eastAsia" w:ascii="宋体" w:hAnsi="宋体"/>
                <w:color w:val="auto"/>
                <w:sz w:val="24"/>
                <w:szCs w:val="24"/>
                <w:highlight w:val="none"/>
                <w:u w:val="single"/>
              </w:rPr>
              <w:t xml:space="preserve">2572902.84                            </w:t>
            </w:r>
            <w:r>
              <w:rPr>
                <w:rFonts w:hint="eastAsia" w:ascii="宋体" w:hAnsi="宋体"/>
                <w:color w:val="auto"/>
                <w:sz w:val="24"/>
                <w:szCs w:val="24"/>
                <w:highlight w:val="none"/>
                <w:u w:val="none"/>
              </w:rPr>
              <w:t xml:space="preserve">            </w:t>
            </w:r>
          </w:p>
          <w:p w14:paraId="337AAA12">
            <w:pPr>
              <w:widowControl/>
              <w:spacing w:before="75" w:after="75" w:line="360" w:lineRule="auto"/>
              <w:ind w:firstLine="960" w:firstLineChars="4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对公开招标工程，</w:t>
            </w:r>
            <w:r>
              <w:rPr>
                <w:rFonts w:hint="eastAsia" w:ascii="宋体" w:hAnsi="宋体"/>
                <w:color w:val="auto"/>
                <w:sz w:val="24"/>
                <w:szCs w:val="24"/>
                <w:highlight w:val="none"/>
              </w:rPr>
              <w:t>投标人须按照公布的绿色施工安全防护措施费、</w:t>
            </w:r>
            <w:r>
              <w:rPr>
                <w:rFonts w:hint="eastAsia" w:ascii="宋体" w:hAnsi="宋体" w:cs="宋体"/>
                <w:color w:val="auto"/>
                <w:kern w:val="0"/>
                <w:sz w:val="24"/>
                <w:szCs w:val="24"/>
                <w:highlight w:val="none"/>
              </w:rPr>
              <w:t>暂</w:t>
            </w:r>
          </w:p>
          <w:p w14:paraId="63BC3A52">
            <w:pPr>
              <w:widowControl/>
              <w:spacing w:before="75" w:after="75"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列金额</w:t>
            </w:r>
            <w:r>
              <w:rPr>
                <w:rFonts w:hint="eastAsia" w:ascii="宋体" w:hAnsi="宋体" w:cs="宋体"/>
                <w:color w:val="auto"/>
                <w:kern w:val="0"/>
                <w:sz w:val="24"/>
                <w:szCs w:val="24"/>
                <w:highlight w:val="none"/>
                <w:lang w:eastAsia="zh-CN"/>
              </w:rPr>
              <w:t>、</w:t>
            </w:r>
            <w:r>
              <w:rPr>
                <w:rFonts w:hint="eastAsia" w:ascii="宋体" w:hAnsi="宋体"/>
                <w:color w:val="auto"/>
                <w:sz w:val="24"/>
                <w:szCs w:val="24"/>
                <w:highlight w:val="none"/>
                <w:u w:val="none"/>
                <w:lang w:eastAsia="zh-CN"/>
              </w:rPr>
              <w:t>专业工程暂估价</w:t>
            </w:r>
            <w:r>
              <w:rPr>
                <w:rFonts w:hint="eastAsia" w:ascii="宋体" w:hAnsi="宋体" w:cs="宋体"/>
                <w:color w:val="auto"/>
                <w:kern w:val="0"/>
                <w:sz w:val="24"/>
                <w:szCs w:val="24"/>
                <w:highlight w:val="none"/>
              </w:rPr>
              <w:t>报价。</w:t>
            </w:r>
          </w:p>
          <w:p w14:paraId="15F15D57">
            <w:pPr>
              <w:pStyle w:val="6"/>
              <w:rPr>
                <w:rFonts w:hint="eastAsia"/>
                <w:color w:val="auto"/>
                <w:highlight w:val="none"/>
              </w:rPr>
            </w:pPr>
          </w:p>
          <w:p w14:paraId="1FB34A6F">
            <w:pPr>
              <w:pStyle w:val="6"/>
              <w:rPr>
                <w:rFonts w:hint="eastAsia"/>
                <w:color w:val="auto"/>
                <w:highlight w:val="none"/>
              </w:rPr>
            </w:pPr>
          </w:p>
          <w:p w14:paraId="7547F469">
            <w:pPr>
              <w:widowControl/>
              <w:spacing w:before="75" w:after="75" w:line="360" w:lineRule="auto"/>
              <w:ind w:firstLine="5640" w:firstLineChars="2350"/>
              <w:jc w:val="left"/>
              <w:rPr>
                <w:rFonts w:hint="eastAsia" w:ascii="宋体" w:hAnsi="宋体"/>
                <w:b/>
                <w:color w:val="auto"/>
                <w:spacing w:val="60"/>
                <w:sz w:val="24"/>
                <w:szCs w:val="24"/>
                <w:highlight w:val="none"/>
              </w:rPr>
            </w:pPr>
            <w:r>
              <w:rPr>
                <w:rFonts w:hint="eastAsia" w:ascii="宋体" w:hAnsi="宋体"/>
                <w:color w:val="auto"/>
                <w:sz w:val="24"/>
                <w:szCs w:val="24"/>
                <w:highlight w:val="none"/>
              </w:rPr>
              <w:t>招标单位（盖章）</w:t>
            </w:r>
            <w:r>
              <w:rPr>
                <w:rFonts w:hint="eastAsia" w:ascii="宋体" w:hAnsi="宋体"/>
                <w:b/>
                <w:color w:val="auto"/>
                <w:spacing w:val="60"/>
                <w:sz w:val="24"/>
                <w:szCs w:val="24"/>
                <w:highlight w:val="none"/>
              </w:rPr>
              <w:t xml:space="preserve">              </w:t>
            </w:r>
          </w:p>
          <w:p w14:paraId="29343980">
            <w:pPr>
              <w:ind w:firstLine="5760" w:firstLineChars="2400"/>
              <w:rPr>
                <w:rFonts w:hint="eastAsia" w:ascii="宋体" w:hAnsi="宋体" w:cs="宋体"/>
                <w:color w:val="auto"/>
                <w:kern w:val="0"/>
                <w:sz w:val="24"/>
                <w:szCs w:val="24"/>
                <w:highlight w:val="none"/>
              </w:rPr>
            </w:pPr>
          </w:p>
          <w:p w14:paraId="231A492C">
            <w:pPr>
              <w:ind w:firstLine="5760" w:firstLineChars="24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 xml:space="preserve">  月  </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日</w:t>
            </w:r>
          </w:p>
          <w:p w14:paraId="58CEF5EC">
            <w:pPr>
              <w:widowControl/>
              <w:spacing w:before="75" w:after="75" w:line="360" w:lineRule="auto"/>
              <w:ind w:firstLine="14324" w:firstLineChars="2550"/>
              <w:jc w:val="left"/>
              <w:rPr>
                <w:rFonts w:hint="eastAsia" w:ascii="宋体" w:hAnsi="宋体" w:cs="宋体"/>
                <w:b/>
                <w:color w:val="auto"/>
                <w:spacing w:val="60"/>
                <w:sz w:val="44"/>
                <w:szCs w:val="44"/>
                <w:highlight w:val="none"/>
              </w:rPr>
            </w:pPr>
          </w:p>
          <w:p w14:paraId="16BD5486">
            <w:pPr>
              <w:widowControl/>
              <w:spacing w:before="75" w:after="75" w:line="360" w:lineRule="auto"/>
              <w:ind w:firstLine="13762" w:firstLineChars="2450"/>
              <w:jc w:val="left"/>
              <w:rPr>
                <w:rFonts w:hint="eastAsia" w:ascii="宋体" w:hAnsi="宋体"/>
                <w:b/>
                <w:color w:val="auto"/>
                <w:spacing w:val="60"/>
                <w:sz w:val="44"/>
                <w:szCs w:val="44"/>
                <w:highlight w:val="none"/>
              </w:rPr>
            </w:pPr>
          </w:p>
        </w:tc>
      </w:tr>
    </w:tbl>
    <w:p w14:paraId="246FC883">
      <w:pPr>
        <w:spacing w:line="360" w:lineRule="auto"/>
        <w:ind w:firstLine="480"/>
        <w:rPr>
          <w:rFonts w:hint="eastAsia" w:ascii="宋体" w:hAnsi="宋体"/>
          <w:color w:val="auto"/>
          <w:sz w:val="24"/>
          <w:szCs w:val="24"/>
          <w:highlight w:val="none"/>
          <w:u w:val="single"/>
        </w:rPr>
      </w:pPr>
    </w:p>
    <w:p w14:paraId="4F406BAC">
      <w:pPr>
        <w:rPr>
          <w:rFonts w:hint="eastAsia" w:ascii="宋体" w:hAnsi="宋体" w:cs="宋体"/>
          <w:b/>
          <w:bCs/>
          <w:color w:val="auto"/>
          <w:kern w:val="0"/>
          <w:sz w:val="36"/>
          <w:szCs w:val="36"/>
          <w:highlight w:val="none"/>
          <w:lang w:eastAsia="zh-CN"/>
        </w:rPr>
      </w:pPr>
      <w:r>
        <w:rPr>
          <w:rFonts w:hint="eastAsia" w:ascii="宋体" w:hAnsi="宋体" w:cs="宋体"/>
          <w:b/>
          <w:bCs/>
          <w:color w:val="auto"/>
          <w:kern w:val="0"/>
          <w:sz w:val="36"/>
          <w:szCs w:val="36"/>
          <w:highlight w:val="none"/>
          <w:lang w:eastAsia="zh-CN"/>
        </w:rPr>
        <w:br w:type="page"/>
      </w:r>
    </w:p>
    <w:p w14:paraId="6720ECFB">
      <w:pPr>
        <w:pStyle w:val="6"/>
        <w:ind w:left="3253" w:hanging="3253" w:hangingChars="900"/>
        <w:jc w:val="both"/>
        <w:rPr>
          <w:rFonts w:hint="eastAsia" w:ascii="宋体" w:hAnsi="宋体" w:cs="宋体"/>
          <w:color w:val="auto"/>
          <w:kern w:val="0"/>
          <w:sz w:val="32"/>
          <w:szCs w:val="32"/>
          <w:highlight w:val="none"/>
          <w:lang w:val="en-US" w:eastAsia="zh-CN"/>
        </w:rPr>
      </w:pPr>
      <w:r>
        <w:rPr>
          <w:rFonts w:hint="eastAsia" w:ascii="宋体" w:hAnsi="宋体" w:cs="宋体"/>
          <w:b/>
          <w:bCs/>
          <w:color w:val="auto"/>
          <w:kern w:val="0"/>
          <w:sz w:val="36"/>
          <w:szCs w:val="36"/>
          <w:highlight w:val="none"/>
          <w:lang w:eastAsia="zh-CN"/>
        </w:rPr>
        <w:t>附表一</w:t>
      </w:r>
      <w:r>
        <w:rPr>
          <w:rFonts w:hint="eastAsia" w:ascii="宋体" w:hAnsi="宋体" w:cs="宋体"/>
          <w:b/>
          <w:bCs/>
          <w:color w:val="auto"/>
          <w:kern w:val="0"/>
          <w:sz w:val="36"/>
          <w:szCs w:val="36"/>
          <w:highlight w:val="none"/>
          <w:lang w:val="en-US" w:eastAsia="zh-CN"/>
        </w:rPr>
        <w:t xml:space="preserve">  绿色施工安全防护措施费、专业工程暂估价汇总表</w:t>
      </w:r>
    </w:p>
    <w:p w14:paraId="667B854D">
      <w:pPr>
        <w:pStyle w:val="6"/>
        <w:rPr>
          <w:rFonts w:hint="eastAsia" w:ascii="宋体" w:hAnsi="宋体" w:eastAsia="宋体" w:cs="宋体"/>
          <w:color w:val="auto"/>
          <w:sz w:val="24"/>
          <w:szCs w:val="24"/>
          <w:highlight w:val="none"/>
        </w:rPr>
      </w:pPr>
      <w:r>
        <w:rPr>
          <w:rFonts w:hint="eastAsia" w:ascii="宋体" w:hAnsi="宋体" w:cs="宋体"/>
          <w:color w:val="auto"/>
          <w:kern w:val="0"/>
          <w:sz w:val="22"/>
          <w:szCs w:val="22"/>
          <w:highlight w:val="none"/>
          <w:lang w:val="en-US" w:eastAsia="zh-CN"/>
        </w:rPr>
        <w:t>工程名称：</w:t>
      </w:r>
      <w:r>
        <w:rPr>
          <w:rFonts w:hint="eastAsia" w:ascii="宋体" w:hAnsi="宋体" w:eastAsia="宋体" w:cs="宋体"/>
          <w:color w:val="auto"/>
          <w:sz w:val="24"/>
          <w:szCs w:val="24"/>
          <w:highlight w:val="none"/>
        </w:rPr>
        <w:t>宁西街太和三路建设工程施工总承包</w:t>
      </w:r>
    </w:p>
    <w:tbl>
      <w:tblPr>
        <w:tblStyle w:val="36"/>
        <w:tblW w:w="90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5"/>
        <w:gridCol w:w="1965"/>
        <w:gridCol w:w="3555"/>
        <w:gridCol w:w="2520"/>
      </w:tblGrid>
      <w:tr w14:paraId="71DD1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240F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543E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名称</w:t>
            </w:r>
          </w:p>
        </w:tc>
        <w:tc>
          <w:tcPr>
            <w:tcW w:w="35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D0BA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绿色施工安全防护措施费（元）</w:t>
            </w:r>
          </w:p>
        </w:tc>
        <w:tc>
          <w:tcPr>
            <w:tcW w:w="252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69F7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专业工程暂估价（元）</w:t>
            </w:r>
          </w:p>
        </w:tc>
      </w:tr>
      <w:tr w14:paraId="7C1F1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2A5CE">
            <w:pPr>
              <w:jc w:val="center"/>
              <w:rPr>
                <w:rFonts w:hint="eastAsia" w:ascii="宋体" w:hAnsi="宋体" w:eastAsia="宋体" w:cs="宋体"/>
                <w:b/>
                <w:bCs/>
                <w:i w:val="0"/>
                <w:iCs w:val="0"/>
                <w:color w:val="auto"/>
                <w:sz w:val="24"/>
                <w:szCs w:val="24"/>
                <w:highlight w:val="none"/>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1B2DF4">
            <w:pPr>
              <w:jc w:val="center"/>
              <w:rPr>
                <w:rFonts w:hint="eastAsia" w:ascii="宋体" w:hAnsi="宋体" w:eastAsia="宋体" w:cs="宋体"/>
                <w:b/>
                <w:bCs/>
                <w:i w:val="0"/>
                <w:iCs w:val="0"/>
                <w:color w:val="auto"/>
                <w:sz w:val="24"/>
                <w:szCs w:val="24"/>
                <w:highlight w:val="none"/>
                <w:u w:val="none"/>
              </w:rPr>
            </w:pPr>
          </w:p>
        </w:tc>
        <w:tc>
          <w:tcPr>
            <w:tcW w:w="3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CDEA6">
            <w:pPr>
              <w:jc w:val="center"/>
              <w:rPr>
                <w:rFonts w:hint="eastAsia" w:ascii="宋体" w:hAnsi="宋体" w:eastAsia="宋体" w:cs="宋体"/>
                <w:b/>
                <w:bCs/>
                <w:i w:val="0"/>
                <w:iCs w:val="0"/>
                <w:color w:val="auto"/>
                <w:sz w:val="24"/>
                <w:szCs w:val="24"/>
                <w:highlight w:val="none"/>
                <w:u w:val="none"/>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00883">
            <w:pPr>
              <w:jc w:val="center"/>
              <w:rPr>
                <w:rFonts w:hint="eastAsia" w:ascii="宋体" w:hAnsi="宋体" w:eastAsia="宋体" w:cs="宋体"/>
                <w:b/>
                <w:bCs/>
                <w:i w:val="0"/>
                <w:iCs w:val="0"/>
                <w:color w:val="auto"/>
                <w:sz w:val="24"/>
                <w:szCs w:val="24"/>
                <w:highlight w:val="none"/>
                <w:u w:val="none"/>
              </w:rPr>
            </w:pPr>
          </w:p>
        </w:tc>
      </w:tr>
      <w:tr w14:paraId="526E1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BDE1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B32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道路工程</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328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301186.52</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993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w:t>
            </w:r>
          </w:p>
        </w:tc>
      </w:tr>
      <w:tr w14:paraId="7B08A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D09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53F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给水工程</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F5E6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26578.82</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C032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w:t>
            </w:r>
          </w:p>
        </w:tc>
      </w:tr>
      <w:tr w14:paraId="4E578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F91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5352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排水工程</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039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257461.69</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2AC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w:t>
            </w:r>
          </w:p>
        </w:tc>
      </w:tr>
      <w:tr w14:paraId="4C944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37E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3E4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照明工程</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CD5C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63401.66</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BF1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w:t>
            </w:r>
          </w:p>
        </w:tc>
      </w:tr>
      <w:tr w14:paraId="2652C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124A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FC4D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交通工程</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D24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42178.8</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7B1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231540</w:t>
            </w:r>
          </w:p>
        </w:tc>
      </w:tr>
      <w:tr w14:paraId="43C6A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753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188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绿化工程</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F60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33088.77</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5FB1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w:t>
            </w:r>
          </w:p>
        </w:tc>
      </w:tr>
      <w:tr w14:paraId="3D347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858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EFA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电力通信工程</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8D5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126566.88</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08A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w:t>
            </w:r>
          </w:p>
        </w:tc>
      </w:tr>
      <w:tr w14:paraId="58857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CED2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589A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海绵城市工程</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097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21656.59</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C48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w:t>
            </w:r>
          </w:p>
        </w:tc>
      </w:tr>
      <w:tr w14:paraId="7C85B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8F096">
            <w:pPr>
              <w:jc w:val="both"/>
              <w:rPr>
                <w:rFonts w:hint="eastAsia" w:ascii="宋体" w:hAnsi="宋体" w:eastAsia="宋体" w:cs="宋体"/>
                <w:i w:val="0"/>
                <w:iCs w:val="0"/>
                <w:color w:val="auto"/>
                <w:sz w:val="24"/>
                <w:szCs w:val="24"/>
                <w:highlight w:val="none"/>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E5DAC">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合计</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CAD8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872119.73</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B5B0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231540</w:t>
            </w:r>
          </w:p>
        </w:tc>
      </w:tr>
    </w:tbl>
    <w:p w14:paraId="2E963340">
      <w:pPr>
        <w:rPr>
          <w:color w:val="auto"/>
          <w:highlight w:val="none"/>
        </w:rPr>
      </w:pPr>
    </w:p>
    <w:p w14:paraId="1ED23017">
      <w:pPr>
        <w:pStyle w:val="20"/>
        <w:rPr>
          <w:color w:val="auto"/>
          <w:sz w:val="36"/>
          <w:highlight w:val="none"/>
          <w:u w:val="single"/>
        </w:rPr>
      </w:pPr>
    </w:p>
    <w:sectPr>
      <w:headerReference r:id="rId15" w:type="default"/>
      <w:footerReference r:id="rId16" w:type="default"/>
      <w:pgSz w:w="11906" w:h="16838"/>
      <w:pgMar w:top="1440" w:right="1800" w:bottom="1118"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楷体_GB2312">
    <w:altName w:val="宋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4DF8E">
    <w:pPr>
      <w:pStyle w:val="25"/>
      <w:ind w:firstLine="392"/>
      <w:jc w:val="center"/>
      <w:rPr>
        <w:rStyle w:val="41"/>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F41B48">
                          <w:pPr>
                            <w:pStyle w:val="2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7AF41B48">
                    <w:pPr>
                      <w:pStyle w:val="2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38FE3">
    <w:pPr>
      <w:pStyle w:val="25"/>
      <w:ind w:firstLine="39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525B8">
                          <w:pPr>
                            <w:pStyle w:val="25"/>
                            <w:ind w:firstLine="392"/>
                            <w:jc w:val="center"/>
                          </w:pPr>
                          <w:r>
                            <w:rPr>
                              <w:rStyle w:val="41"/>
                            </w:rPr>
                            <w:fldChar w:fldCharType="begin"/>
                          </w:r>
                          <w:r>
                            <w:rPr>
                              <w:rStyle w:val="41"/>
                            </w:rPr>
                            <w:instrText xml:space="preserve"> PAGE </w:instrText>
                          </w:r>
                          <w:r>
                            <w:rPr>
                              <w:rStyle w:val="41"/>
                            </w:rPr>
                            <w:fldChar w:fldCharType="separate"/>
                          </w:r>
                          <w:r>
                            <w:rPr>
                              <w:rStyle w:val="41"/>
                            </w:rPr>
                            <w:t>52</w:t>
                          </w:r>
                          <w:r>
                            <w:rPr>
                              <w:rStyle w:val="4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81525B8">
                    <w:pPr>
                      <w:pStyle w:val="25"/>
                      <w:ind w:firstLine="392"/>
                      <w:jc w:val="center"/>
                    </w:pPr>
                    <w:r>
                      <w:rPr>
                        <w:rStyle w:val="41"/>
                      </w:rPr>
                      <w:fldChar w:fldCharType="begin"/>
                    </w:r>
                    <w:r>
                      <w:rPr>
                        <w:rStyle w:val="41"/>
                      </w:rPr>
                      <w:instrText xml:space="preserve"> PAGE </w:instrText>
                    </w:r>
                    <w:r>
                      <w:rPr>
                        <w:rStyle w:val="41"/>
                      </w:rPr>
                      <w:fldChar w:fldCharType="separate"/>
                    </w:r>
                    <w:r>
                      <w:rPr>
                        <w:rStyle w:val="41"/>
                      </w:rPr>
                      <w:t>52</w:t>
                    </w:r>
                    <w:r>
                      <w:rPr>
                        <w:rStyle w:val="4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B6726">
    <w:pPr>
      <w:pStyle w:val="25"/>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510FBF">
                          <w:pPr>
                            <w:pStyle w:val="25"/>
                            <w:jc w:val="center"/>
                            <w:rPr>
                              <w:rStyle w:val="41"/>
                            </w:rPr>
                          </w:pPr>
                          <w:r>
                            <w:rPr>
                              <w:rStyle w:val="41"/>
                            </w:rPr>
                            <w:fldChar w:fldCharType="begin"/>
                          </w:r>
                          <w:r>
                            <w:rPr>
                              <w:rStyle w:val="41"/>
                            </w:rPr>
                            <w:instrText xml:space="preserve">PAGE  </w:instrText>
                          </w:r>
                          <w:r>
                            <w:rPr>
                              <w:rStyle w:val="41"/>
                            </w:rPr>
                            <w:fldChar w:fldCharType="separate"/>
                          </w:r>
                          <w:r>
                            <w:rPr>
                              <w:rStyle w:val="41"/>
                            </w:rPr>
                            <w:t>74</w:t>
                          </w:r>
                          <w:r>
                            <w:rPr>
                              <w:rStyle w:val="41"/>
                            </w:rPr>
                            <w:fldChar w:fldCharType="end"/>
                          </w:r>
                        </w:p>
                        <w:p w14:paraId="4AD5D4D9">
                          <w:pPr>
                            <w:pStyle w:val="25"/>
                            <w:ind w:left="-4410" w:leftChars="-2100" w:right="-4439" w:rightChars="-2114"/>
                            <w:rPr>
                              <w:rStyle w:val="41"/>
                            </w:rPr>
                          </w:pPr>
                        </w:p>
                        <w:p w14:paraId="0853671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2510FBF">
                    <w:pPr>
                      <w:pStyle w:val="25"/>
                      <w:jc w:val="center"/>
                      <w:rPr>
                        <w:rStyle w:val="41"/>
                      </w:rPr>
                    </w:pPr>
                    <w:r>
                      <w:rPr>
                        <w:rStyle w:val="41"/>
                      </w:rPr>
                      <w:fldChar w:fldCharType="begin"/>
                    </w:r>
                    <w:r>
                      <w:rPr>
                        <w:rStyle w:val="41"/>
                      </w:rPr>
                      <w:instrText xml:space="preserve">PAGE  </w:instrText>
                    </w:r>
                    <w:r>
                      <w:rPr>
                        <w:rStyle w:val="41"/>
                      </w:rPr>
                      <w:fldChar w:fldCharType="separate"/>
                    </w:r>
                    <w:r>
                      <w:rPr>
                        <w:rStyle w:val="41"/>
                      </w:rPr>
                      <w:t>74</w:t>
                    </w:r>
                    <w:r>
                      <w:rPr>
                        <w:rStyle w:val="41"/>
                      </w:rPr>
                      <w:fldChar w:fldCharType="end"/>
                    </w:r>
                  </w:p>
                  <w:p w14:paraId="4AD5D4D9">
                    <w:pPr>
                      <w:pStyle w:val="25"/>
                      <w:ind w:left="-4410" w:leftChars="-2100" w:right="-4439" w:rightChars="-2114"/>
                      <w:rPr>
                        <w:rStyle w:val="41"/>
                      </w:rPr>
                    </w:pPr>
                  </w:p>
                  <w:p w14:paraId="08536718"/>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EE22A">
    <w:pPr>
      <w:pStyle w:val="25"/>
      <w:framePr w:wrap="around" w:vAnchor="text" w:hAnchor="margin" w:xAlign="outside" w:y="1"/>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14:paraId="40C763AA">
    <w:pPr>
      <w:pStyle w:val="25"/>
      <w:ind w:right="360" w:firstLine="360"/>
      <w:jc w:val="center"/>
    </w:pPr>
    <w:r>
      <w:rPr>
        <w:kern w:val="0"/>
        <w:sz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7CD10">
    <w:pPr>
      <w:pStyle w:val="2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CBBF4D">
                          <w:pPr>
                            <w:pStyle w:val="25"/>
                            <w:jc w:val="center"/>
                          </w:pPr>
                          <w:r>
                            <w:rPr>
                              <w:rStyle w:val="41"/>
                            </w:rPr>
                            <w:fldChar w:fldCharType="begin"/>
                          </w:r>
                          <w:r>
                            <w:rPr>
                              <w:rStyle w:val="41"/>
                            </w:rPr>
                            <w:instrText xml:space="preserve"> PAGE </w:instrText>
                          </w:r>
                          <w:r>
                            <w:rPr>
                              <w:rStyle w:val="41"/>
                            </w:rPr>
                            <w:fldChar w:fldCharType="separate"/>
                          </w:r>
                          <w:r>
                            <w:rPr>
                              <w:rStyle w:val="41"/>
                            </w:rPr>
                            <w:t>55</w:t>
                          </w:r>
                          <w:r>
                            <w:rPr>
                              <w:rStyle w:val="4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2CBBF4D">
                    <w:pPr>
                      <w:pStyle w:val="25"/>
                      <w:jc w:val="center"/>
                    </w:pPr>
                    <w:r>
                      <w:rPr>
                        <w:rStyle w:val="41"/>
                      </w:rPr>
                      <w:fldChar w:fldCharType="begin"/>
                    </w:r>
                    <w:r>
                      <w:rPr>
                        <w:rStyle w:val="41"/>
                      </w:rPr>
                      <w:instrText xml:space="preserve"> PAGE </w:instrText>
                    </w:r>
                    <w:r>
                      <w:rPr>
                        <w:rStyle w:val="41"/>
                      </w:rPr>
                      <w:fldChar w:fldCharType="separate"/>
                    </w:r>
                    <w:r>
                      <w:rPr>
                        <w:rStyle w:val="41"/>
                      </w:rPr>
                      <w:t>55</w:t>
                    </w:r>
                    <w:r>
                      <w:rPr>
                        <w:rStyle w:val="4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A9217">
    <w:pPr>
      <w:spacing w:line="116" w:lineRule="exact"/>
      <w:ind w:firstLine="4083"/>
      <w:rPr>
        <w:rFonts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3B46978">
                          <w:pPr>
                            <w:pStyle w:val="25"/>
                          </w:pPr>
                          <w:r>
                            <w:fldChar w:fldCharType="begin"/>
                          </w:r>
                          <w:r>
                            <w:instrText xml:space="preserve"> PAGE  \* MERGEFORMAT </w:instrText>
                          </w:r>
                          <w:r>
                            <w:fldChar w:fldCharType="separate"/>
                          </w:r>
                          <w:r>
                            <w:t>67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6/Tc4BAACn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tOv03OAQAApwMAAA4AAAAAAAAAAQAgAAAAHgEAAGRycy9l&#10;Mm9Eb2MueG1sUEsFBgAAAAAGAAYAWQEAAF4FAAAAAA==&#10;">
              <v:fill on="f" focussize="0,0"/>
              <v:stroke on="f"/>
              <v:imagedata o:title=""/>
              <o:lock v:ext="edit" aspectratio="f"/>
              <v:textbox inset="0mm,0mm,0mm,0mm" style="mso-fit-shape-to-text:t;">
                <w:txbxContent>
                  <w:p w14:paraId="53B46978">
                    <w:pPr>
                      <w:pStyle w:val="2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94DF3">
    <w:pPr>
      <w:pStyle w:val="25"/>
      <w:ind w:right="360" w:firstLine="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CCAE5">
                          <w:pPr>
                            <w:pStyle w:val="25"/>
                            <w:jc w:val="center"/>
                            <w:rPr>
                              <w:rStyle w:val="41"/>
                            </w:rPr>
                          </w:pPr>
                          <w:r>
                            <w:rPr>
                              <w:rStyle w:val="41"/>
                            </w:rPr>
                            <w:fldChar w:fldCharType="begin"/>
                          </w:r>
                          <w:r>
                            <w:rPr>
                              <w:rStyle w:val="41"/>
                            </w:rPr>
                            <w:instrText xml:space="preserve">PAGE  </w:instrText>
                          </w:r>
                          <w:r>
                            <w:rPr>
                              <w:rStyle w:val="41"/>
                            </w:rPr>
                            <w:fldChar w:fldCharType="separate"/>
                          </w:r>
                          <w:r>
                            <w:rPr>
                              <w:rStyle w:val="41"/>
                            </w:rPr>
                            <w:t>74</w:t>
                          </w:r>
                          <w:r>
                            <w:rPr>
                              <w:rStyle w:val="41"/>
                            </w:rPr>
                            <w:fldChar w:fldCharType="end"/>
                          </w:r>
                        </w:p>
                        <w:p w14:paraId="3EF08204">
                          <w:pPr>
                            <w:pStyle w:val="25"/>
                            <w:ind w:left="-4410" w:leftChars="-2100" w:right="-4439" w:rightChars="-2114"/>
                            <w:rPr>
                              <w:rStyle w:val="41"/>
                            </w:rPr>
                          </w:pPr>
                        </w:p>
                        <w:p w14:paraId="2BB8B09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BACCAE5">
                    <w:pPr>
                      <w:pStyle w:val="25"/>
                      <w:jc w:val="center"/>
                      <w:rPr>
                        <w:rStyle w:val="41"/>
                      </w:rPr>
                    </w:pPr>
                    <w:r>
                      <w:rPr>
                        <w:rStyle w:val="41"/>
                      </w:rPr>
                      <w:fldChar w:fldCharType="begin"/>
                    </w:r>
                    <w:r>
                      <w:rPr>
                        <w:rStyle w:val="41"/>
                      </w:rPr>
                      <w:instrText xml:space="preserve">PAGE  </w:instrText>
                    </w:r>
                    <w:r>
                      <w:rPr>
                        <w:rStyle w:val="41"/>
                      </w:rPr>
                      <w:fldChar w:fldCharType="separate"/>
                    </w:r>
                    <w:r>
                      <w:rPr>
                        <w:rStyle w:val="41"/>
                      </w:rPr>
                      <w:t>74</w:t>
                    </w:r>
                    <w:r>
                      <w:rPr>
                        <w:rStyle w:val="41"/>
                      </w:rPr>
                      <w:fldChar w:fldCharType="end"/>
                    </w:r>
                  </w:p>
                  <w:p w14:paraId="3EF08204">
                    <w:pPr>
                      <w:pStyle w:val="25"/>
                      <w:ind w:left="-4410" w:leftChars="-2100" w:right="-4439" w:rightChars="-2114"/>
                      <w:rPr>
                        <w:rStyle w:val="41"/>
                      </w:rPr>
                    </w:pPr>
                  </w:p>
                  <w:p w14:paraId="2BB8B09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3AFBD">
    <w:pPr>
      <w:pStyle w:val="26"/>
      <w:ind w:firstLine="392"/>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2BEC8">
    <w:pPr>
      <w:pStyle w:val="26"/>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F4A7E">
    <w:pPr>
      <w:pStyle w:val="26"/>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C4CC1">
    <w:pPr>
      <w:pStyle w:val="26"/>
      <w:jc w:val="right"/>
      <w:rPr>
        <w:i/>
        <w:iCs/>
      </w:rPr>
    </w:pPr>
    <w:r>
      <w:rPr>
        <w:rFonts w:hint="eastAsia"/>
        <w:i/>
        <w:iCs/>
      </w:rPr>
      <w:t>横枝岗路道路排水改造工程招标文件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C6D2E">
    <w:pPr>
      <w:pStyle w:val="26"/>
      <w:pBdr>
        <w:bottom w:val="none" w:color="auto" w:sz="0" w:space="0"/>
      </w:pBdr>
      <w:jc w:val="right"/>
      <w:rPr>
        <w:i/>
        <w:iC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D987D">
    <w:pPr>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31482">
    <w:pPr>
      <w:pStyle w:val="26"/>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8F24C"/>
    <w:multiLevelType w:val="singleLevel"/>
    <w:tmpl w:val="8798F24C"/>
    <w:lvl w:ilvl="0" w:tentative="0">
      <w:start w:val="1"/>
      <w:numFmt w:val="decimal"/>
      <w:suff w:val="nothing"/>
      <w:lvlText w:val="%1、"/>
      <w:lvlJc w:val="left"/>
    </w:lvl>
  </w:abstractNum>
  <w:abstractNum w:abstractNumId="1">
    <w:nsid w:val="92BE7F37"/>
    <w:multiLevelType w:val="singleLevel"/>
    <w:tmpl w:val="92BE7F37"/>
    <w:lvl w:ilvl="0" w:tentative="0">
      <w:start w:val="1"/>
      <w:numFmt w:val="decimal"/>
      <w:suff w:val="nothing"/>
      <w:lvlText w:val="（%1）"/>
      <w:lvlJc w:val="left"/>
    </w:lvl>
  </w:abstractNum>
  <w:abstractNum w:abstractNumId="2">
    <w:nsid w:val="E70D7EBD"/>
    <w:multiLevelType w:val="singleLevel"/>
    <w:tmpl w:val="E70D7EBD"/>
    <w:lvl w:ilvl="0" w:tentative="0">
      <w:start w:val="27"/>
      <w:numFmt w:val="decimal"/>
      <w:suff w:val="nothing"/>
      <w:lvlText w:val="%1．"/>
      <w:lvlJc w:val="left"/>
    </w:lvl>
  </w:abstractNum>
  <w:abstractNum w:abstractNumId="3">
    <w:nsid w:val="E978D6AA"/>
    <w:multiLevelType w:val="singleLevel"/>
    <w:tmpl w:val="E978D6AA"/>
    <w:lvl w:ilvl="0" w:tentative="0">
      <w:start w:val="1"/>
      <w:numFmt w:val="decimal"/>
      <w:suff w:val="nothing"/>
      <w:lvlText w:val="（%1）"/>
      <w:lvlJc w:val="left"/>
    </w:lvl>
  </w:abstractNum>
  <w:abstractNum w:abstractNumId="4">
    <w:nsid w:val="E998A4BE"/>
    <w:multiLevelType w:val="singleLevel"/>
    <w:tmpl w:val="E998A4BE"/>
    <w:lvl w:ilvl="0" w:tentative="0">
      <w:start w:val="32"/>
      <w:numFmt w:val="decimal"/>
      <w:suff w:val="space"/>
      <w:lvlText w:val="%1."/>
      <w:lvlJc w:val="left"/>
    </w:lvl>
  </w:abstractNum>
  <w:abstractNum w:abstractNumId="5">
    <w:nsid w:val="00000005"/>
    <w:multiLevelType w:val="multilevel"/>
    <w:tmpl w:val="00000005"/>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6">
    <w:nsid w:val="00000009"/>
    <w:multiLevelType w:val="multilevel"/>
    <w:tmpl w:val="000000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59905B5"/>
    <w:multiLevelType w:val="multilevel"/>
    <w:tmpl w:val="259905B5"/>
    <w:lvl w:ilvl="0" w:tentative="0">
      <w:start w:val="1"/>
      <w:numFmt w:val="chineseCountingThousand"/>
      <w:pStyle w:val="94"/>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9"/>
      <w:suff w:val="space"/>
      <w:lvlText w:val="%2.%3.%4"/>
      <w:lvlJc w:val="left"/>
      <w:pPr>
        <w:ind w:left="284" w:hanging="284"/>
      </w:pPr>
      <w:rPr>
        <w:rFonts w:hint="eastAsia" w:ascii="宋体" w:eastAsia="宋体" w:cs="Times New Roman"/>
        <w:b/>
        <w:i w:val="0"/>
        <w:sz w:val="28"/>
      </w:rPr>
    </w:lvl>
    <w:lvl w:ilvl="4" w:tentative="0">
      <w:start w:val="1"/>
      <w:numFmt w:val="decimal"/>
      <w:pStyle w:val="10"/>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2"/>
      <w:suff w:val="nothing"/>
      <w:lvlText w:val=""/>
      <w:lvlJc w:val="left"/>
      <w:rPr>
        <w:rFonts w:hint="eastAsia" w:cs="Times New Roman"/>
      </w:rPr>
    </w:lvl>
    <w:lvl w:ilvl="7" w:tentative="0">
      <w:start w:val="1"/>
      <w:numFmt w:val="none"/>
      <w:pStyle w:val="13"/>
      <w:suff w:val="nothing"/>
      <w:lvlText w:val=""/>
      <w:lvlJc w:val="left"/>
      <w:rPr>
        <w:rFonts w:hint="eastAsia" w:cs="Times New Roman"/>
      </w:rPr>
    </w:lvl>
    <w:lvl w:ilvl="8" w:tentative="0">
      <w:start w:val="1"/>
      <w:numFmt w:val="none"/>
      <w:pStyle w:val="14"/>
      <w:suff w:val="nothing"/>
      <w:lvlText w:val=""/>
      <w:lvlJc w:val="left"/>
      <w:rPr>
        <w:rFonts w:hint="eastAsia" w:cs="Times New Roman"/>
      </w:rPr>
    </w:lvl>
  </w:abstractNum>
  <w:abstractNum w:abstractNumId="8">
    <w:nsid w:val="4A4A6516"/>
    <w:multiLevelType w:val="singleLevel"/>
    <w:tmpl w:val="4A4A6516"/>
    <w:lvl w:ilvl="0" w:tentative="0">
      <w:start w:val="1"/>
      <w:numFmt w:val="decimal"/>
      <w:suff w:val="nothing"/>
      <w:lvlText w:val="（%1）"/>
      <w:lvlJc w:val="left"/>
    </w:lvl>
  </w:abstractNum>
  <w:abstractNum w:abstractNumId="9">
    <w:nsid w:val="553AFA00"/>
    <w:multiLevelType w:val="singleLevel"/>
    <w:tmpl w:val="553AFA00"/>
    <w:lvl w:ilvl="0" w:tentative="0">
      <w:start w:val="1"/>
      <w:numFmt w:val="decimal"/>
      <w:suff w:val="nothing"/>
      <w:lvlText w:val="（%1）"/>
      <w:lvlJc w:val="left"/>
    </w:lvl>
  </w:abstractNum>
  <w:abstractNum w:abstractNumId="10">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1"/>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7"/>
  </w:num>
  <w:num w:numId="2">
    <w:abstractNumId w:val="10"/>
  </w:num>
  <w:num w:numId="3">
    <w:abstractNumId w:val="0"/>
  </w:num>
  <w:num w:numId="4">
    <w:abstractNumId w:val="8"/>
  </w:num>
  <w:num w:numId="5">
    <w:abstractNumId w:val="1"/>
  </w:num>
  <w:num w:numId="6">
    <w:abstractNumId w:val="3"/>
  </w:num>
  <w:num w:numId="7">
    <w:abstractNumId w:val="9"/>
  </w:num>
  <w:num w:numId="8">
    <w:abstractNumId w:val="2"/>
  </w:num>
  <w:num w:numId="9">
    <w:abstractNumId w:val="4"/>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trackRevisions w:val="1"/>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1BE"/>
    <w:rsid w:val="000200EE"/>
    <w:rsid w:val="00034469"/>
    <w:rsid w:val="00055C10"/>
    <w:rsid w:val="000575F8"/>
    <w:rsid w:val="00074FD1"/>
    <w:rsid w:val="0007706A"/>
    <w:rsid w:val="00091BFE"/>
    <w:rsid w:val="000B5826"/>
    <w:rsid w:val="000C1007"/>
    <w:rsid w:val="000C11E0"/>
    <w:rsid w:val="000C2710"/>
    <w:rsid w:val="000D396E"/>
    <w:rsid w:val="001667FD"/>
    <w:rsid w:val="00181CAA"/>
    <w:rsid w:val="001937D5"/>
    <w:rsid w:val="00193EB2"/>
    <w:rsid w:val="001C5D94"/>
    <w:rsid w:val="001F3D02"/>
    <w:rsid w:val="002025C6"/>
    <w:rsid w:val="0022299B"/>
    <w:rsid w:val="00250092"/>
    <w:rsid w:val="00266748"/>
    <w:rsid w:val="00280CC3"/>
    <w:rsid w:val="002C4F11"/>
    <w:rsid w:val="003204F0"/>
    <w:rsid w:val="00336AA3"/>
    <w:rsid w:val="0037590B"/>
    <w:rsid w:val="003A5C56"/>
    <w:rsid w:val="00405D31"/>
    <w:rsid w:val="004370EC"/>
    <w:rsid w:val="004424B8"/>
    <w:rsid w:val="00472A98"/>
    <w:rsid w:val="004B295D"/>
    <w:rsid w:val="004D63FD"/>
    <w:rsid w:val="00510754"/>
    <w:rsid w:val="005118C8"/>
    <w:rsid w:val="00576448"/>
    <w:rsid w:val="005866FB"/>
    <w:rsid w:val="005B5915"/>
    <w:rsid w:val="005C212B"/>
    <w:rsid w:val="005C56B4"/>
    <w:rsid w:val="006036EF"/>
    <w:rsid w:val="00673B83"/>
    <w:rsid w:val="00680BFD"/>
    <w:rsid w:val="006B5ED1"/>
    <w:rsid w:val="006B6B0D"/>
    <w:rsid w:val="006F3576"/>
    <w:rsid w:val="0073229B"/>
    <w:rsid w:val="007778A8"/>
    <w:rsid w:val="00780EC8"/>
    <w:rsid w:val="007A3304"/>
    <w:rsid w:val="007B41BE"/>
    <w:rsid w:val="007B6534"/>
    <w:rsid w:val="007D6D06"/>
    <w:rsid w:val="007E2745"/>
    <w:rsid w:val="00835C9E"/>
    <w:rsid w:val="008C4DAF"/>
    <w:rsid w:val="008D2515"/>
    <w:rsid w:val="008E20BD"/>
    <w:rsid w:val="008E4AD1"/>
    <w:rsid w:val="00920E49"/>
    <w:rsid w:val="00934DF4"/>
    <w:rsid w:val="00991949"/>
    <w:rsid w:val="009A704D"/>
    <w:rsid w:val="009E5A35"/>
    <w:rsid w:val="009F18D3"/>
    <w:rsid w:val="00A0387A"/>
    <w:rsid w:val="00A05F7D"/>
    <w:rsid w:val="00A0619D"/>
    <w:rsid w:val="00A15723"/>
    <w:rsid w:val="00A20AF3"/>
    <w:rsid w:val="00A2579D"/>
    <w:rsid w:val="00A460C3"/>
    <w:rsid w:val="00A50D34"/>
    <w:rsid w:val="00A55F9B"/>
    <w:rsid w:val="00A64E29"/>
    <w:rsid w:val="00AD3DEE"/>
    <w:rsid w:val="00AD6716"/>
    <w:rsid w:val="00AF1BCD"/>
    <w:rsid w:val="00AF2A6F"/>
    <w:rsid w:val="00B53804"/>
    <w:rsid w:val="00B72862"/>
    <w:rsid w:val="00BC2597"/>
    <w:rsid w:val="00BC7B91"/>
    <w:rsid w:val="00BE1732"/>
    <w:rsid w:val="00BE216D"/>
    <w:rsid w:val="00BE7667"/>
    <w:rsid w:val="00BF1FEA"/>
    <w:rsid w:val="00C267C0"/>
    <w:rsid w:val="00C32C1E"/>
    <w:rsid w:val="00C408D3"/>
    <w:rsid w:val="00C81F53"/>
    <w:rsid w:val="00C82C8A"/>
    <w:rsid w:val="00CB3932"/>
    <w:rsid w:val="00CD156B"/>
    <w:rsid w:val="00CF68BB"/>
    <w:rsid w:val="00D60E1D"/>
    <w:rsid w:val="00D75B45"/>
    <w:rsid w:val="00D84E64"/>
    <w:rsid w:val="00DF1C79"/>
    <w:rsid w:val="00E22EAB"/>
    <w:rsid w:val="00E36378"/>
    <w:rsid w:val="00E457F6"/>
    <w:rsid w:val="00E54A7D"/>
    <w:rsid w:val="00E638F3"/>
    <w:rsid w:val="00EA368C"/>
    <w:rsid w:val="00EB4FAD"/>
    <w:rsid w:val="00EB6530"/>
    <w:rsid w:val="00EC014E"/>
    <w:rsid w:val="00F214CA"/>
    <w:rsid w:val="00F26640"/>
    <w:rsid w:val="00F40301"/>
    <w:rsid w:val="00F50A88"/>
    <w:rsid w:val="00FA5926"/>
    <w:rsid w:val="00FC5596"/>
    <w:rsid w:val="01213701"/>
    <w:rsid w:val="02690261"/>
    <w:rsid w:val="02C05BB1"/>
    <w:rsid w:val="02FD74EC"/>
    <w:rsid w:val="030977B8"/>
    <w:rsid w:val="03B73450"/>
    <w:rsid w:val="03F53B6F"/>
    <w:rsid w:val="04016C0A"/>
    <w:rsid w:val="042965C4"/>
    <w:rsid w:val="04891E6A"/>
    <w:rsid w:val="04A75B49"/>
    <w:rsid w:val="05490D1E"/>
    <w:rsid w:val="05935ABA"/>
    <w:rsid w:val="05EA2C50"/>
    <w:rsid w:val="061A393B"/>
    <w:rsid w:val="061C7FBD"/>
    <w:rsid w:val="06CF5060"/>
    <w:rsid w:val="06D038B7"/>
    <w:rsid w:val="071250C8"/>
    <w:rsid w:val="072F44E3"/>
    <w:rsid w:val="07312890"/>
    <w:rsid w:val="073C3C45"/>
    <w:rsid w:val="07A13F45"/>
    <w:rsid w:val="07E15B19"/>
    <w:rsid w:val="07EF4429"/>
    <w:rsid w:val="08061A64"/>
    <w:rsid w:val="08517165"/>
    <w:rsid w:val="08A51580"/>
    <w:rsid w:val="08C11542"/>
    <w:rsid w:val="08DA0CCA"/>
    <w:rsid w:val="090C13B6"/>
    <w:rsid w:val="090F4EF1"/>
    <w:rsid w:val="094E1D6F"/>
    <w:rsid w:val="09EB6AE1"/>
    <w:rsid w:val="09F33618"/>
    <w:rsid w:val="0A0F62EE"/>
    <w:rsid w:val="0AF62F6A"/>
    <w:rsid w:val="0B4354CB"/>
    <w:rsid w:val="0B5870F7"/>
    <w:rsid w:val="0B6E4437"/>
    <w:rsid w:val="0B9109AA"/>
    <w:rsid w:val="0BC3240C"/>
    <w:rsid w:val="0BC83F60"/>
    <w:rsid w:val="0BF32613"/>
    <w:rsid w:val="0C521233"/>
    <w:rsid w:val="0C730B66"/>
    <w:rsid w:val="0CBB2DDD"/>
    <w:rsid w:val="0D020937"/>
    <w:rsid w:val="0D4A0241"/>
    <w:rsid w:val="0D850D35"/>
    <w:rsid w:val="0DA717DD"/>
    <w:rsid w:val="0E1D06E9"/>
    <w:rsid w:val="0E4C4CAD"/>
    <w:rsid w:val="0E6C4374"/>
    <w:rsid w:val="0EC8358F"/>
    <w:rsid w:val="0F075890"/>
    <w:rsid w:val="0F6A1B72"/>
    <w:rsid w:val="0F7E4AB5"/>
    <w:rsid w:val="0FDF5C57"/>
    <w:rsid w:val="0FEF45D8"/>
    <w:rsid w:val="106B07D0"/>
    <w:rsid w:val="10B57C21"/>
    <w:rsid w:val="10C02952"/>
    <w:rsid w:val="11052D75"/>
    <w:rsid w:val="11121F8F"/>
    <w:rsid w:val="11187DC4"/>
    <w:rsid w:val="11CA3566"/>
    <w:rsid w:val="11E8746F"/>
    <w:rsid w:val="129B2E90"/>
    <w:rsid w:val="12C51E21"/>
    <w:rsid w:val="137A5404"/>
    <w:rsid w:val="13E33615"/>
    <w:rsid w:val="13EF0EA4"/>
    <w:rsid w:val="14107EB2"/>
    <w:rsid w:val="14D34591"/>
    <w:rsid w:val="14D74F4B"/>
    <w:rsid w:val="14D9719C"/>
    <w:rsid w:val="14F35BB7"/>
    <w:rsid w:val="15DD252D"/>
    <w:rsid w:val="162C4539"/>
    <w:rsid w:val="17077E1E"/>
    <w:rsid w:val="173741A6"/>
    <w:rsid w:val="17497256"/>
    <w:rsid w:val="174B1C4B"/>
    <w:rsid w:val="17684412"/>
    <w:rsid w:val="17822770"/>
    <w:rsid w:val="179854FF"/>
    <w:rsid w:val="17AE485B"/>
    <w:rsid w:val="17B0263E"/>
    <w:rsid w:val="17B8199D"/>
    <w:rsid w:val="17EC2627"/>
    <w:rsid w:val="18151F96"/>
    <w:rsid w:val="181C07FE"/>
    <w:rsid w:val="18474916"/>
    <w:rsid w:val="18891660"/>
    <w:rsid w:val="18AD17AB"/>
    <w:rsid w:val="198A6011"/>
    <w:rsid w:val="19AE6A7C"/>
    <w:rsid w:val="19D2412A"/>
    <w:rsid w:val="1A205D77"/>
    <w:rsid w:val="1A2F4635"/>
    <w:rsid w:val="1A6500CD"/>
    <w:rsid w:val="1A6E3101"/>
    <w:rsid w:val="1AA40A79"/>
    <w:rsid w:val="1AAA7997"/>
    <w:rsid w:val="1AB67180"/>
    <w:rsid w:val="1AD03189"/>
    <w:rsid w:val="1AD432CC"/>
    <w:rsid w:val="1AEA5623"/>
    <w:rsid w:val="1B927ADD"/>
    <w:rsid w:val="1B9E2075"/>
    <w:rsid w:val="1BAE4885"/>
    <w:rsid w:val="1BDF0B10"/>
    <w:rsid w:val="1BED33B9"/>
    <w:rsid w:val="1C471BAE"/>
    <w:rsid w:val="1C5C0C26"/>
    <w:rsid w:val="1CD4051D"/>
    <w:rsid w:val="1CDD2E94"/>
    <w:rsid w:val="1D027F1C"/>
    <w:rsid w:val="1D0A3E09"/>
    <w:rsid w:val="1D8154F4"/>
    <w:rsid w:val="1E0E6C01"/>
    <w:rsid w:val="1E1D26F4"/>
    <w:rsid w:val="1E486D96"/>
    <w:rsid w:val="1E513B7B"/>
    <w:rsid w:val="1E66059A"/>
    <w:rsid w:val="1EBA5A37"/>
    <w:rsid w:val="1F47327D"/>
    <w:rsid w:val="1F58270D"/>
    <w:rsid w:val="1F816AF6"/>
    <w:rsid w:val="1F8E47EB"/>
    <w:rsid w:val="1FCD6E14"/>
    <w:rsid w:val="20E36C50"/>
    <w:rsid w:val="21250A1F"/>
    <w:rsid w:val="219F1FA0"/>
    <w:rsid w:val="21AA4DB4"/>
    <w:rsid w:val="21AD6D40"/>
    <w:rsid w:val="21E76FBA"/>
    <w:rsid w:val="22016D7A"/>
    <w:rsid w:val="226B42AC"/>
    <w:rsid w:val="226F3203"/>
    <w:rsid w:val="22AD29BB"/>
    <w:rsid w:val="23130E25"/>
    <w:rsid w:val="232F5F2B"/>
    <w:rsid w:val="232F6B26"/>
    <w:rsid w:val="23355E47"/>
    <w:rsid w:val="233A2E13"/>
    <w:rsid w:val="23AD17DA"/>
    <w:rsid w:val="24116252"/>
    <w:rsid w:val="244D1F35"/>
    <w:rsid w:val="24615AF1"/>
    <w:rsid w:val="24A47FAB"/>
    <w:rsid w:val="24A972CC"/>
    <w:rsid w:val="24B2644C"/>
    <w:rsid w:val="24BD7292"/>
    <w:rsid w:val="259D757A"/>
    <w:rsid w:val="25C4165F"/>
    <w:rsid w:val="25C90160"/>
    <w:rsid w:val="25EB1CBA"/>
    <w:rsid w:val="26CA70AB"/>
    <w:rsid w:val="27206676"/>
    <w:rsid w:val="27323AFD"/>
    <w:rsid w:val="273625F3"/>
    <w:rsid w:val="27640D6C"/>
    <w:rsid w:val="281929B4"/>
    <w:rsid w:val="284631BC"/>
    <w:rsid w:val="28790229"/>
    <w:rsid w:val="28955221"/>
    <w:rsid w:val="29392552"/>
    <w:rsid w:val="29463324"/>
    <w:rsid w:val="29483044"/>
    <w:rsid w:val="29DB5E89"/>
    <w:rsid w:val="2A880A7B"/>
    <w:rsid w:val="2A9E07E2"/>
    <w:rsid w:val="2AE47E9C"/>
    <w:rsid w:val="2AE5327C"/>
    <w:rsid w:val="2AEC5CA9"/>
    <w:rsid w:val="2B044026"/>
    <w:rsid w:val="2B585185"/>
    <w:rsid w:val="2B987E93"/>
    <w:rsid w:val="2BA900DA"/>
    <w:rsid w:val="2BFF6D43"/>
    <w:rsid w:val="2C5E4903"/>
    <w:rsid w:val="2CDE257A"/>
    <w:rsid w:val="2CEE627B"/>
    <w:rsid w:val="2D1D0F10"/>
    <w:rsid w:val="2D254805"/>
    <w:rsid w:val="2D3E6293"/>
    <w:rsid w:val="2D716FB7"/>
    <w:rsid w:val="2D7D1990"/>
    <w:rsid w:val="2DB66D80"/>
    <w:rsid w:val="2DC144F7"/>
    <w:rsid w:val="2DC4660F"/>
    <w:rsid w:val="2ED85E73"/>
    <w:rsid w:val="2EDA6F06"/>
    <w:rsid w:val="2F384988"/>
    <w:rsid w:val="2F3E13BB"/>
    <w:rsid w:val="2F60641D"/>
    <w:rsid w:val="2F6239B5"/>
    <w:rsid w:val="2F67289A"/>
    <w:rsid w:val="2F705E99"/>
    <w:rsid w:val="2FC04BEF"/>
    <w:rsid w:val="30057BEC"/>
    <w:rsid w:val="301A4A2F"/>
    <w:rsid w:val="30287B62"/>
    <w:rsid w:val="302A01E1"/>
    <w:rsid w:val="30442541"/>
    <w:rsid w:val="305C69DC"/>
    <w:rsid w:val="30997F39"/>
    <w:rsid w:val="30B03D7B"/>
    <w:rsid w:val="31047F0E"/>
    <w:rsid w:val="315C46BD"/>
    <w:rsid w:val="3218408E"/>
    <w:rsid w:val="329135B7"/>
    <w:rsid w:val="32AE29D7"/>
    <w:rsid w:val="32BF3509"/>
    <w:rsid w:val="32E35695"/>
    <w:rsid w:val="33110959"/>
    <w:rsid w:val="33B916E0"/>
    <w:rsid w:val="33D321A9"/>
    <w:rsid w:val="33E31656"/>
    <w:rsid w:val="33FC15EB"/>
    <w:rsid w:val="349E2586"/>
    <w:rsid w:val="34AC0990"/>
    <w:rsid w:val="35150EE6"/>
    <w:rsid w:val="36107F4A"/>
    <w:rsid w:val="36174299"/>
    <w:rsid w:val="36504865"/>
    <w:rsid w:val="366D489F"/>
    <w:rsid w:val="367C1664"/>
    <w:rsid w:val="36807F5F"/>
    <w:rsid w:val="368F09FA"/>
    <w:rsid w:val="36E76FE1"/>
    <w:rsid w:val="375D203C"/>
    <w:rsid w:val="38026A6F"/>
    <w:rsid w:val="38244844"/>
    <w:rsid w:val="383C5696"/>
    <w:rsid w:val="387B18EF"/>
    <w:rsid w:val="387E303B"/>
    <w:rsid w:val="38FD1C54"/>
    <w:rsid w:val="392D582E"/>
    <w:rsid w:val="392D793A"/>
    <w:rsid w:val="39C15447"/>
    <w:rsid w:val="3A3C34B9"/>
    <w:rsid w:val="3A9827B6"/>
    <w:rsid w:val="3AB578C7"/>
    <w:rsid w:val="3AD14697"/>
    <w:rsid w:val="3B425938"/>
    <w:rsid w:val="3BC63B24"/>
    <w:rsid w:val="3BCD3EBF"/>
    <w:rsid w:val="3CAB19CD"/>
    <w:rsid w:val="3CAC7EDE"/>
    <w:rsid w:val="3CDB3BDA"/>
    <w:rsid w:val="3CF7333F"/>
    <w:rsid w:val="3CFB3391"/>
    <w:rsid w:val="3D562934"/>
    <w:rsid w:val="3D60411F"/>
    <w:rsid w:val="3D7D2781"/>
    <w:rsid w:val="3D8A02CD"/>
    <w:rsid w:val="3DA93298"/>
    <w:rsid w:val="3DDF4B2C"/>
    <w:rsid w:val="3DF94976"/>
    <w:rsid w:val="3E004CF1"/>
    <w:rsid w:val="3E1B47F5"/>
    <w:rsid w:val="3E547E99"/>
    <w:rsid w:val="3EC82150"/>
    <w:rsid w:val="3EFA5782"/>
    <w:rsid w:val="3F0D44AE"/>
    <w:rsid w:val="3F1D6618"/>
    <w:rsid w:val="3F282EEE"/>
    <w:rsid w:val="3F36468C"/>
    <w:rsid w:val="3FB75AA7"/>
    <w:rsid w:val="3FBA1F41"/>
    <w:rsid w:val="3FFC782B"/>
    <w:rsid w:val="401B3CF2"/>
    <w:rsid w:val="40327DB0"/>
    <w:rsid w:val="40AB1D23"/>
    <w:rsid w:val="40F53849"/>
    <w:rsid w:val="41167E3D"/>
    <w:rsid w:val="41E657FF"/>
    <w:rsid w:val="41E70D48"/>
    <w:rsid w:val="42917FBA"/>
    <w:rsid w:val="43195B8C"/>
    <w:rsid w:val="436C0A8D"/>
    <w:rsid w:val="43CE2E1A"/>
    <w:rsid w:val="43DC2B82"/>
    <w:rsid w:val="43E06BC0"/>
    <w:rsid w:val="43E22ABA"/>
    <w:rsid w:val="43F80DCD"/>
    <w:rsid w:val="43FB75A4"/>
    <w:rsid w:val="443E77B7"/>
    <w:rsid w:val="445D41D8"/>
    <w:rsid w:val="44751F2B"/>
    <w:rsid w:val="44884C83"/>
    <w:rsid w:val="448B0C47"/>
    <w:rsid w:val="449622B7"/>
    <w:rsid w:val="4529140A"/>
    <w:rsid w:val="453074E6"/>
    <w:rsid w:val="46500EC4"/>
    <w:rsid w:val="467E1C70"/>
    <w:rsid w:val="468A4245"/>
    <w:rsid w:val="469717C2"/>
    <w:rsid w:val="470D43E4"/>
    <w:rsid w:val="4748596C"/>
    <w:rsid w:val="474F5EA5"/>
    <w:rsid w:val="47500045"/>
    <w:rsid w:val="476B40D2"/>
    <w:rsid w:val="478B7839"/>
    <w:rsid w:val="48040645"/>
    <w:rsid w:val="48256265"/>
    <w:rsid w:val="48523C0A"/>
    <w:rsid w:val="48763CF2"/>
    <w:rsid w:val="487C78C9"/>
    <w:rsid w:val="489E3890"/>
    <w:rsid w:val="494975E8"/>
    <w:rsid w:val="497A2C70"/>
    <w:rsid w:val="49AE319B"/>
    <w:rsid w:val="49E47F6E"/>
    <w:rsid w:val="4A4F766A"/>
    <w:rsid w:val="4A51245D"/>
    <w:rsid w:val="4B3A06D7"/>
    <w:rsid w:val="4B3F6B82"/>
    <w:rsid w:val="4B447127"/>
    <w:rsid w:val="4B6B7860"/>
    <w:rsid w:val="4B822253"/>
    <w:rsid w:val="4BC56187"/>
    <w:rsid w:val="4BD34E49"/>
    <w:rsid w:val="4C0C01C1"/>
    <w:rsid w:val="4CBC28D9"/>
    <w:rsid w:val="4D3021F3"/>
    <w:rsid w:val="4D3F455B"/>
    <w:rsid w:val="4D6E3BBD"/>
    <w:rsid w:val="4DBC088F"/>
    <w:rsid w:val="4DC05575"/>
    <w:rsid w:val="4DCF2F60"/>
    <w:rsid w:val="4E2174AB"/>
    <w:rsid w:val="4E2C1433"/>
    <w:rsid w:val="4E300D69"/>
    <w:rsid w:val="4E4E5A90"/>
    <w:rsid w:val="4E4F50EC"/>
    <w:rsid w:val="4E6C325B"/>
    <w:rsid w:val="4EC54C1D"/>
    <w:rsid w:val="4ED35B75"/>
    <w:rsid w:val="4EE00DE1"/>
    <w:rsid w:val="4F7072B9"/>
    <w:rsid w:val="4F7E2EF6"/>
    <w:rsid w:val="4F8464B4"/>
    <w:rsid w:val="4F9A1B35"/>
    <w:rsid w:val="4FD70343"/>
    <w:rsid w:val="50391FDB"/>
    <w:rsid w:val="504E4830"/>
    <w:rsid w:val="50530F7D"/>
    <w:rsid w:val="50806617"/>
    <w:rsid w:val="50D76907"/>
    <w:rsid w:val="50E71153"/>
    <w:rsid w:val="513F1823"/>
    <w:rsid w:val="516F27CB"/>
    <w:rsid w:val="5196143C"/>
    <w:rsid w:val="51E63FE0"/>
    <w:rsid w:val="51F15F26"/>
    <w:rsid w:val="52043826"/>
    <w:rsid w:val="52125025"/>
    <w:rsid w:val="524266BE"/>
    <w:rsid w:val="52F13971"/>
    <w:rsid w:val="531151F6"/>
    <w:rsid w:val="53193AC3"/>
    <w:rsid w:val="53356AB0"/>
    <w:rsid w:val="53597175"/>
    <w:rsid w:val="53687418"/>
    <w:rsid w:val="53720DE2"/>
    <w:rsid w:val="53CD4272"/>
    <w:rsid w:val="53F92C98"/>
    <w:rsid w:val="54067AFD"/>
    <w:rsid w:val="547F3E78"/>
    <w:rsid w:val="555D67A4"/>
    <w:rsid w:val="55B60238"/>
    <w:rsid w:val="55EA5219"/>
    <w:rsid w:val="561505D4"/>
    <w:rsid w:val="563102A4"/>
    <w:rsid w:val="56973E1F"/>
    <w:rsid w:val="56F84F9F"/>
    <w:rsid w:val="576772B5"/>
    <w:rsid w:val="57CD71C9"/>
    <w:rsid w:val="57E34306"/>
    <w:rsid w:val="57E57589"/>
    <w:rsid w:val="57ED2754"/>
    <w:rsid w:val="57EF1159"/>
    <w:rsid w:val="58AC71CF"/>
    <w:rsid w:val="591254B9"/>
    <w:rsid w:val="59A92A61"/>
    <w:rsid w:val="59C9560C"/>
    <w:rsid w:val="5ADE1F73"/>
    <w:rsid w:val="5BF8382F"/>
    <w:rsid w:val="5C22684F"/>
    <w:rsid w:val="5C6B0B7D"/>
    <w:rsid w:val="5CB52BD2"/>
    <w:rsid w:val="5CDF456F"/>
    <w:rsid w:val="5CE3322E"/>
    <w:rsid w:val="5D572C78"/>
    <w:rsid w:val="5DCB33F6"/>
    <w:rsid w:val="5DD153DA"/>
    <w:rsid w:val="5DFF429F"/>
    <w:rsid w:val="5E3556CC"/>
    <w:rsid w:val="5E6A2CC5"/>
    <w:rsid w:val="5E875563"/>
    <w:rsid w:val="5E990EF9"/>
    <w:rsid w:val="5E99583F"/>
    <w:rsid w:val="5EBF74D1"/>
    <w:rsid w:val="5F2465E8"/>
    <w:rsid w:val="5F306102"/>
    <w:rsid w:val="5F4B72E8"/>
    <w:rsid w:val="5F5150BD"/>
    <w:rsid w:val="5F783DAA"/>
    <w:rsid w:val="5FB62FE8"/>
    <w:rsid w:val="601A24B3"/>
    <w:rsid w:val="603B11D0"/>
    <w:rsid w:val="60721F84"/>
    <w:rsid w:val="60E15CF6"/>
    <w:rsid w:val="60FE4D9D"/>
    <w:rsid w:val="61067EA9"/>
    <w:rsid w:val="61071E2C"/>
    <w:rsid w:val="612C47B1"/>
    <w:rsid w:val="61463C0F"/>
    <w:rsid w:val="619568E2"/>
    <w:rsid w:val="61AA49D7"/>
    <w:rsid w:val="61DB480A"/>
    <w:rsid w:val="626A12F1"/>
    <w:rsid w:val="62985CC7"/>
    <w:rsid w:val="62F241E8"/>
    <w:rsid w:val="632B71C6"/>
    <w:rsid w:val="634C153F"/>
    <w:rsid w:val="636F7002"/>
    <w:rsid w:val="6438051B"/>
    <w:rsid w:val="645940DA"/>
    <w:rsid w:val="64834DD8"/>
    <w:rsid w:val="648C318D"/>
    <w:rsid w:val="64D30970"/>
    <w:rsid w:val="653505E7"/>
    <w:rsid w:val="658F218E"/>
    <w:rsid w:val="661B154B"/>
    <w:rsid w:val="662114A5"/>
    <w:rsid w:val="662E766F"/>
    <w:rsid w:val="66AC2722"/>
    <w:rsid w:val="67305B69"/>
    <w:rsid w:val="676A38DC"/>
    <w:rsid w:val="678F1196"/>
    <w:rsid w:val="67A05B7E"/>
    <w:rsid w:val="67ED5EED"/>
    <w:rsid w:val="68101CC4"/>
    <w:rsid w:val="687424E1"/>
    <w:rsid w:val="68D433DA"/>
    <w:rsid w:val="68D81006"/>
    <w:rsid w:val="69146FEF"/>
    <w:rsid w:val="69D34CDF"/>
    <w:rsid w:val="6A5F4FA1"/>
    <w:rsid w:val="6A7A4E34"/>
    <w:rsid w:val="6ADA6866"/>
    <w:rsid w:val="6AE50B37"/>
    <w:rsid w:val="6AEE5100"/>
    <w:rsid w:val="6B61332D"/>
    <w:rsid w:val="6C4516BE"/>
    <w:rsid w:val="6C4F5101"/>
    <w:rsid w:val="6C7621DF"/>
    <w:rsid w:val="6C787452"/>
    <w:rsid w:val="6C853C97"/>
    <w:rsid w:val="6CE1254E"/>
    <w:rsid w:val="6CEF4F0F"/>
    <w:rsid w:val="6CF268B4"/>
    <w:rsid w:val="6D397846"/>
    <w:rsid w:val="6DAA12B9"/>
    <w:rsid w:val="6DAB59DE"/>
    <w:rsid w:val="6DAC0CA7"/>
    <w:rsid w:val="6E434EF0"/>
    <w:rsid w:val="6E6E4E06"/>
    <w:rsid w:val="6E7A016D"/>
    <w:rsid w:val="6EC47A23"/>
    <w:rsid w:val="6EF47564"/>
    <w:rsid w:val="6FAA5C3A"/>
    <w:rsid w:val="6FD15F49"/>
    <w:rsid w:val="701B0E3A"/>
    <w:rsid w:val="70227F56"/>
    <w:rsid w:val="70235C5C"/>
    <w:rsid w:val="702C1048"/>
    <w:rsid w:val="70455FF7"/>
    <w:rsid w:val="705B4869"/>
    <w:rsid w:val="707215D5"/>
    <w:rsid w:val="708B7B34"/>
    <w:rsid w:val="71493855"/>
    <w:rsid w:val="71525973"/>
    <w:rsid w:val="71B53A87"/>
    <w:rsid w:val="71D55BDA"/>
    <w:rsid w:val="71DA2ABA"/>
    <w:rsid w:val="71F76241"/>
    <w:rsid w:val="72310641"/>
    <w:rsid w:val="726971FF"/>
    <w:rsid w:val="72F42593"/>
    <w:rsid w:val="730043D2"/>
    <w:rsid w:val="734463A5"/>
    <w:rsid w:val="73724465"/>
    <w:rsid w:val="73CC483B"/>
    <w:rsid w:val="74125A53"/>
    <w:rsid w:val="741D2362"/>
    <w:rsid w:val="74933D70"/>
    <w:rsid w:val="749C2B7B"/>
    <w:rsid w:val="749D1342"/>
    <w:rsid w:val="75566EE4"/>
    <w:rsid w:val="7583200C"/>
    <w:rsid w:val="75B1232D"/>
    <w:rsid w:val="7660428B"/>
    <w:rsid w:val="76C56DC4"/>
    <w:rsid w:val="76F2653C"/>
    <w:rsid w:val="775B4610"/>
    <w:rsid w:val="77B36371"/>
    <w:rsid w:val="77B4314C"/>
    <w:rsid w:val="77CD13AB"/>
    <w:rsid w:val="77D84AFD"/>
    <w:rsid w:val="789E6215"/>
    <w:rsid w:val="78C37CAD"/>
    <w:rsid w:val="78C647AD"/>
    <w:rsid w:val="798E3ED6"/>
    <w:rsid w:val="79900684"/>
    <w:rsid w:val="79963F39"/>
    <w:rsid w:val="79A65463"/>
    <w:rsid w:val="79F31D17"/>
    <w:rsid w:val="7A286456"/>
    <w:rsid w:val="7A710C51"/>
    <w:rsid w:val="7ACF0E2A"/>
    <w:rsid w:val="7ADC31A8"/>
    <w:rsid w:val="7AE11CFE"/>
    <w:rsid w:val="7B275319"/>
    <w:rsid w:val="7B2F3497"/>
    <w:rsid w:val="7B4324F0"/>
    <w:rsid w:val="7B453B00"/>
    <w:rsid w:val="7B8F0214"/>
    <w:rsid w:val="7BF111A2"/>
    <w:rsid w:val="7C280C89"/>
    <w:rsid w:val="7CAE4569"/>
    <w:rsid w:val="7CB121DB"/>
    <w:rsid w:val="7CBE43EB"/>
    <w:rsid w:val="7D040A54"/>
    <w:rsid w:val="7D265F67"/>
    <w:rsid w:val="7D2B5029"/>
    <w:rsid w:val="7DBB4185"/>
    <w:rsid w:val="7DC934DB"/>
    <w:rsid w:val="7E5739DC"/>
    <w:rsid w:val="7E70110E"/>
    <w:rsid w:val="7E7C02C6"/>
    <w:rsid w:val="7E9E3841"/>
    <w:rsid w:val="7ECB1A77"/>
    <w:rsid w:val="7ECC1B65"/>
    <w:rsid w:val="7ED53C1D"/>
    <w:rsid w:val="7ED60533"/>
    <w:rsid w:val="7EE23AE4"/>
    <w:rsid w:val="7EE52B34"/>
    <w:rsid w:val="7FB77874"/>
    <w:rsid w:val="7FE32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125"/>
    <w:qFormat/>
    <w:uiPriority w:val="0"/>
    <w:pPr>
      <w:keepNext/>
      <w:keepLines/>
      <w:spacing w:after="120" w:line="360" w:lineRule="auto"/>
      <w:outlineLvl w:val="0"/>
    </w:pPr>
    <w:rPr>
      <w:kern w:val="44"/>
      <w:sz w:val="28"/>
      <w:szCs w:val="28"/>
    </w:rPr>
  </w:style>
  <w:style w:type="paragraph" w:styleId="7">
    <w:name w:val="heading 2"/>
    <w:basedOn w:val="1"/>
    <w:next w:val="1"/>
    <w:link w:val="124"/>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8">
    <w:name w:val="heading 3"/>
    <w:basedOn w:val="1"/>
    <w:next w:val="1"/>
    <w:link w:val="46"/>
    <w:qFormat/>
    <w:uiPriority w:val="0"/>
    <w:pPr>
      <w:widowControl/>
      <w:spacing w:before="100" w:beforeAutospacing="1" w:after="100" w:afterAutospacing="1"/>
      <w:jc w:val="left"/>
      <w:outlineLvl w:val="2"/>
    </w:pPr>
    <w:rPr>
      <w:rFonts w:ascii="宋体" w:hAnsi="宋体" w:cs="宋体"/>
      <w:kern w:val="0"/>
      <w:sz w:val="24"/>
      <w:szCs w:val="27"/>
    </w:rPr>
  </w:style>
  <w:style w:type="paragraph" w:styleId="9">
    <w:name w:val="heading 4"/>
    <w:basedOn w:val="8"/>
    <w:next w:val="2"/>
    <w:link w:val="62"/>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0">
    <w:name w:val="heading 5"/>
    <w:basedOn w:val="9"/>
    <w:next w:val="2"/>
    <w:link w:val="63"/>
    <w:qFormat/>
    <w:uiPriority w:val="0"/>
    <w:pPr>
      <w:numPr>
        <w:ilvl w:val="4"/>
      </w:numPr>
      <w:spacing w:line="240" w:lineRule="exact"/>
      <w:outlineLvl w:val="4"/>
    </w:pPr>
  </w:style>
  <w:style w:type="paragraph" w:styleId="11">
    <w:name w:val="heading 6"/>
    <w:basedOn w:val="1"/>
    <w:next w:val="1"/>
    <w:link w:val="64"/>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2">
    <w:name w:val="heading 7"/>
    <w:basedOn w:val="1"/>
    <w:next w:val="2"/>
    <w:link w:val="65"/>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3">
    <w:name w:val="heading 8"/>
    <w:basedOn w:val="1"/>
    <w:next w:val="2"/>
    <w:link w:val="66"/>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4">
    <w:name w:val="heading 9"/>
    <w:basedOn w:val="1"/>
    <w:next w:val="2"/>
    <w:link w:val="67"/>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szCs w:val="20"/>
    </w:rPr>
  </w:style>
  <w:style w:type="paragraph" w:styleId="4">
    <w:name w:val="Title"/>
    <w:basedOn w:val="1"/>
    <w:link w:val="69"/>
    <w:qFormat/>
    <w:uiPriority w:val="0"/>
    <w:pPr>
      <w:spacing w:before="120" w:after="60"/>
      <w:jc w:val="center"/>
    </w:pPr>
    <w:rPr>
      <w:rFonts w:ascii="Arial" w:hAnsi="Arial"/>
      <w:b/>
      <w:sz w:val="44"/>
      <w:szCs w:val="20"/>
    </w:rPr>
  </w:style>
  <w:style w:type="paragraph" w:styleId="5">
    <w:name w:val="Body Text First Indent"/>
    <w:basedOn w:val="6"/>
    <w:link w:val="73"/>
    <w:qFormat/>
    <w:uiPriority w:val="0"/>
    <w:pPr>
      <w:ind w:firstLine="420"/>
    </w:pPr>
  </w:style>
  <w:style w:type="paragraph" w:styleId="6">
    <w:name w:val="Body Text"/>
    <w:basedOn w:val="1"/>
    <w:link w:val="71"/>
    <w:qFormat/>
    <w:uiPriority w:val="0"/>
    <w:pPr>
      <w:spacing w:after="120"/>
    </w:pPr>
    <w:rPr>
      <w:rFonts w:ascii="Times New Roman" w:hAnsi="Times New Roman"/>
      <w:szCs w:val="20"/>
    </w:rPr>
  </w:style>
  <w:style w:type="paragraph" w:styleId="15">
    <w:name w:val="Document Map"/>
    <w:basedOn w:val="1"/>
    <w:link w:val="79"/>
    <w:qFormat/>
    <w:uiPriority w:val="0"/>
    <w:pPr>
      <w:shd w:val="clear" w:color="auto" w:fill="000080"/>
    </w:pPr>
    <w:rPr>
      <w:rFonts w:ascii="Times New Roman" w:hAnsi="Times New Roman"/>
      <w:szCs w:val="20"/>
    </w:rPr>
  </w:style>
  <w:style w:type="paragraph" w:styleId="16">
    <w:name w:val="annotation text"/>
    <w:basedOn w:val="1"/>
    <w:link w:val="105"/>
    <w:qFormat/>
    <w:uiPriority w:val="0"/>
    <w:pPr>
      <w:spacing w:line="360" w:lineRule="auto"/>
      <w:ind w:firstLine="523" w:firstLineChars="218"/>
      <w:jc w:val="left"/>
    </w:pPr>
    <w:rPr>
      <w:rFonts w:ascii="宋体" w:hAnsi="宋体"/>
      <w:sz w:val="24"/>
      <w:szCs w:val="24"/>
    </w:rPr>
  </w:style>
  <w:style w:type="paragraph" w:styleId="17">
    <w:name w:val="Body Text Indent"/>
    <w:basedOn w:val="1"/>
    <w:link w:val="77"/>
    <w:qFormat/>
    <w:uiPriority w:val="0"/>
    <w:pPr>
      <w:ind w:firstLine="570"/>
    </w:pPr>
    <w:rPr>
      <w:rFonts w:ascii="Times New Roman" w:hAnsi="Times New Roman"/>
      <w:sz w:val="28"/>
      <w:szCs w:val="20"/>
    </w:rPr>
  </w:style>
  <w:style w:type="paragraph" w:styleId="18">
    <w:name w:val="index 4"/>
    <w:basedOn w:val="1"/>
    <w:next w:val="1"/>
    <w:unhideWhenUsed/>
    <w:qFormat/>
    <w:uiPriority w:val="99"/>
    <w:pPr>
      <w:ind w:left="600" w:leftChars="600"/>
    </w:pPr>
  </w:style>
  <w:style w:type="paragraph" w:styleId="19">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0">
    <w:name w:val="Plain Text"/>
    <w:basedOn w:val="1"/>
    <w:next w:val="1"/>
    <w:link w:val="81"/>
    <w:qFormat/>
    <w:uiPriority w:val="0"/>
    <w:rPr>
      <w:rFonts w:ascii="宋体" w:hAnsi="Courier New"/>
      <w:szCs w:val="20"/>
    </w:rPr>
  </w:style>
  <w:style w:type="paragraph" w:styleId="21">
    <w:name w:val="Date"/>
    <w:basedOn w:val="1"/>
    <w:next w:val="1"/>
    <w:link w:val="75"/>
    <w:qFormat/>
    <w:uiPriority w:val="0"/>
    <w:rPr>
      <w:rFonts w:ascii="Times New Roman" w:hAnsi="Times New Roman"/>
      <w:szCs w:val="20"/>
    </w:rPr>
  </w:style>
  <w:style w:type="paragraph" w:styleId="22">
    <w:name w:val="Body Text Indent 2"/>
    <w:basedOn w:val="1"/>
    <w:link w:val="83"/>
    <w:qFormat/>
    <w:uiPriority w:val="0"/>
    <w:pPr>
      <w:spacing w:line="400" w:lineRule="exact"/>
      <w:ind w:left="425"/>
    </w:pPr>
    <w:rPr>
      <w:rFonts w:ascii="Times New Roman" w:hAnsi="Times New Roman"/>
      <w:color w:val="000000"/>
      <w:sz w:val="24"/>
      <w:szCs w:val="20"/>
    </w:rPr>
  </w:style>
  <w:style w:type="paragraph" w:styleId="23">
    <w:name w:val="endnote text"/>
    <w:basedOn w:val="1"/>
    <w:link w:val="92"/>
    <w:qFormat/>
    <w:uiPriority w:val="0"/>
    <w:pPr>
      <w:snapToGrid w:val="0"/>
      <w:jc w:val="left"/>
    </w:pPr>
    <w:rPr>
      <w:rFonts w:ascii="Times New Roman" w:hAnsi="Times New Roman"/>
      <w:szCs w:val="20"/>
    </w:rPr>
  </w:style>
  <w:style w:type="paragraph" w:styleId="24">
    <w:name w:val="Balloon Text"/>
    <w:basedOn w:val="1"/>
    <w:link w:val="102"/>
    <w:qFormat/>
    <w:uiPriority w:val="0"/>
    <w:rPr>
      <w:rFonts w:ascii="Times New Roman" w:hAnsi="Times New Roman"/>
      <w:sz w:val="18"/>
      <w:szCs w:val="18"/>
    </w:rPr>
  </w:style>
  <w:style w:type="paragraph" w:styleId="25">
    <w:name w:val="footer"/>
    <w:basedOn w:val="1"/>
    <w:link w:val="59"/>
    <w:unhideWhenUsed/>
    <w:qFormat/>
    <w:uiPriority w:val="0"/>
    <w:pPr>
      <w:tabs>
        <w:tab w:val="center" w:pos="4153"/>
        <w:tab w:val="right" w:pos="8306"/>
      </w:tabs>
      <w:snapToGrid w:val="0"/>
      <w:jc w:val="left"/>
    </w:pPr>
    <w:rPr>
      <w:sz w:val="18"/>
      <w:szCs w:val="18"/>
    </w:rPr>
  </w:style>
  <w:style w:type="paragraph" w:styleId="26">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8">
    <w:name w:val="footnote text"/>
    <w:basedOn w:val="1"/>
    <w:link w:val="107"/>
    <w:qFormat/>
    <w:uiPriority w:val="0"/>
    <w:pPr>
      <w:snapToGrid w:val="0"/>
      <w:spacing w:line="360" w:lineRule="auto"/>
      <w:ind w:firstLine="523" w:firstLineChars="218"/>
      <w:jc w:val="left"/>
    </w:pPr>
    <w:rPr>
      <w:rFonts w:ascii="宋体" w:hAnsi="宋体"/>
      <w:sz w:val="18"/>
      <w:szCs w:val="18"/>
    </w:rPr>
  </w:style>
  <w:style w:type="paragraph" w:styleId="29">
    <w:name w:val="Body Text Indent 3"/>
    <w:basedOn w:val="1"/>
    <w:link w:val="85"/>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0">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1">
    <w:name w:val="Body Text 2"/>
    <w:basedOn w:val="1"/>
    <w:link w:val="89"/>
    <w:qFormat/>
    <w:uiPriority w:val="0"/>
    <w:rPr>
      <w:rFonts w:ascii="宋体" w:hAnsi="宋体"/>
      <w:szCs w:val="24"/>
      <w:u w:val="single"/>
    </w:rPr>
  </w:style>
  <w:style w:type="paragraph" w:styleId="3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qFormat/>
    <w:uiPriority w:val="0"/>
    <w:pPr>
      <w:widowControl/>
      <w:spacing w:before="100" w:beforeAutospacing="1" w:after="100" w:afterAutospacing="1"/>
    </w:pPr>
    <w:rPr>
      <w:rFonts w:ascii="宋体" w:hAnsi="宋体" w:eastAsia="方正楷体_GB2312" w:cs="宋体"/>
      <w:sz w:val="24"/>
      <w:szCs w:val="24"/>
    </w:rPr>
  </w:style>
  <w:style w:type="paragraph" w:styleId="34">
    <w:name w:val="index 1"/>
    <w:basedOn w:val="1"/>
    <w:next w:val="1"/>
    <w:qFormat/>
    <w:uiPriority w:val="0"/>
    <w:rPr>
      <w:rFonts w:ascii="Times New Roman" w:hAnsi="Times New Roman" w:eastAsia="仿宋_GB2312"/>
      <w:sz w:val="28"/>
      <w:szCs w:val="20"/>
    </w:rPr>
  </w:style>
  <w:style w:type="paragraph" w:styleId="35">
    <w:name w:val="annotation subject"/>
    <w:basedOn w:val="16"/>
    <w:next w:val="16"/>
    <w:link w:val="109"/>
    <w:qFormat/>
    <w:uiPriority w:val="0"/>
    <w:rPr>
      <w:b/>
      <w:bCs/>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endnote reference"/>
    <w:qFormat/>
    <w:uiPriority w:val="0"/>
    <w:rPr>
      <w:vertAlign w:val="superscript"/>
    </w:rPr>
  </w:style>
  <w:style w:type="character" w:styleId="41">
    <w:name w:val="page number"/>
    <w:qFormat/>
    <w:uiPriority w:val="0"/>
    <w:rPr>
      <w:rFonts w:cs="Times New Roman"/>
    </w:rPr>
  </w:style>
  <w:style w:type="character" w:styleId="42">
    <w:name w:val="FollowedHyperlink"/>
    <w:semiHidden/>
    <w:unhideWhenUsed/>
    <w:qFormat/>
    <w:uiPriority w:val="99"/>
    <w:rPr>
      <w:color w:val="954F72"/>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styleId="45">
    <w:name w:val="footnote reference"/>
    <w:qFormat/>
    <w:uiPriority w:val="0"/>
    <w:rPr>
      <w:vertAlign w:val="superscript"/>
    </w:rPr>
  </w:style>
  <w:style w:type="character" w:customStyle="1" w:styleId="46">
    <w:name w:val="标题 3 字符1"/>
    <w:link w:val="8"/>
    <w:qFormat/>
    <w:uiPriority w:val="0"/>
    <w:rPr>
      <w:rFonts w:ascii="宋体" w:hAnsi="宋体" w:eastAsia="宋体" w:cs="宋体"/>
      <w:kern w:val="0"/>
      <w:sz w:val="24"/>
      <w:szCs w:val="27"/>
    </w:rPr>
  </w:style>
  <w:style w:type="character" w:customStyle="1" w:styleId="47">
    <w:name w:val="标题 1 字符"/>
    <w:qFormat/>
    <w:uiPriority w:val="9"/>
    <w:rPr>
      <w:rFonts w:ascii="Calibri" w:hAnsi="Calibri" w:eastAsia="宋体" w:cs="Times New Roman"/>
      <w:b/>
      <w:bCs/>
      <w:kern w:val="44"/>
      <w:sz w:val="44"/>
      <w:szCs w:val="44"/>
    </w:rPr>
  </w:style>
  <w:style w:type="character" w:customStyle="1" w:styleId="48">
    <w:name w:val="标题 2 字符"/>
    <w:semiHidden/>
    <w:qFormat/>
    <w:uiPriority w:val="9"/>
    <w:rPr>
      <w:rFonts w:ascii="等线 Light" w:hAnsi="等线 Light" w:eastAsia="等线 Light" w:cs="Times New Roman"/>
      <w:b/>
      <w:bCs/>
      <w:sz w:val="32"/>
      <w:szCs w:val="32"/>
    </w:rPr>
  </w:style>
  <w:style w:type="character" w:customStyle="1" w:styleId="49">
    <w:name w:val="标题 3 字符"/>
    <w:semiHidden/>
    <w:qFormat/>
    <w:uiPriority w:val="9"/>
    <w:rPr>
      <w:rFonts w:ascii="Calibri" w:hAnsi="Calibri" w:eastAsia="宋体" w:cs="Times New Roman"/>
      <w:b/>
      <w:bCs/>
      <w:sz w:val="32"/>
      <w:szCs w:val="32"/>
    </w:rPr>
  </w:style>
  <w:style w:type="character" w:customStyle="1" w:styleId="50">
    <w:name w:val="标题 4 字符"/>
    <w:semiHidden/>
    <w:qFormat/>
    <w:uiPriority w:val="9"/>
    <w:rPr>
      <w:rFonts w:ascii="等线 Light" w:hAnsi="等线 Light" w:eastAsia="等线 Light" w:cs="Times New Roman"/>
      <w:b/>
      <w:bCs/>
      <w:sz w:val="28"/>
      <w:szCs w:val="28"/>
    </w:rPr>
  </w:style>
  <w:style w:type="character" w:customStyle="1" w:styleId="51">
    <w:name w:val="标题 5 字符"/>
    <w:semiHidden/>
    <w:qFormat/>
    <w:uiPriority w:val="9"/>
    <w:rPr>
      <w:rFonts w:ascii="Calibri" w:hAnsi="Calibri" w:eastAsia="宋体" w:cs="Times New Roman"/>
      <w:b/>
      <w:bCs/>
      <w:sz w:val="28"/>
      <w:szCs w:val="28"/>
    </w:rPr>
  </w:style>
  <w:style w:type="character" w:customStyle="1" w:styleId="52">
    <w:name w:val="标题 6 字符"/>
    <w:semiHidden/>
    <w:qFormat/>
    <w:uiPriority w:val="9"/>
    <w:rPr>
      <w:rFonts w:ascii="等线 Light" w:hAnsi="等线 Light" w:eastAsia="等线 Light" w:cs="Times New Roman"/>
      <w:b/>
      <w:bCs/>
      <w:sz w:val="24"/>
      <w:szCs w:val="24"/>
    </w:rPr>
  </w:style>
  <w:style w:type="character" w:customStyle="1" w:styleId="53">
    <w:name w:val="标题 7 字符"/>
    <w:semiHidden/>
    <w:qFormat/>
    <w:uiPriority w:val="9"/>
    <w:rPr>
      <w:rFonts w:ascii="Calibri" w:hAnsi="Calibri" w:eastAsia="宋体" w:cs="Times New Roman"/>
      <w:b/>
      <w:bCs/>
      <w:sz w:val="24"/>
      <w:szCs w:val="24"/>
    </w:rPr>
  </w:style>
  <w:style w:type="character" w:customStyle="1" w:styleId="54">
    <w:name w:val="标题 8 字符"/>
    <w:semiHidden/>
    <w:qFormat/>
    <w:uiPriority w:val="9"/>
    <w:rPr>
      <w:rFonts w:ascii="等线 Light" w:hAnsi="等线 Light" w:eastAsia="等线 Light" w:cs="Times New Roman"/>
      <w:sz w:val="24"/>
      <w:szCs w:val="24"/>
    </w:rPr>
  </w:style>
  <w:style w:type="character" w:customStyle="1" w:styleId="55">
    <w:name w:val="标题 9 字符"/>
    <w:semiHidden/>
    <w:qFormat/>
    <w:uiPriority w:val="9"/>
    <w:rPr>
      <w:rFonts w:ascii="等线 Light" w:hAnsi="等线 Light" w:eastAsia="等线 Light" w:cs="Times New Roman"/>
      <w:szCs w:val="21"/>
    </w:rPr>
  </w:style>
  <w:style w:type="character" w:customStyle="1" w:styleId="56">
    <w:name w:val="页眉 字符"/>
    <w:semiHidden/>
    <w:qFormat/>
    <w:uiPriority w:val="99"/>
    <w:rPr>
      <w:rFonts w:ascii="Calibri" w:hAnsi="Calibri" w:eastAsia="宋体" w:cs="Times New Roman"/>
      <w:sz w:val="18"/>
      <w:szCs w:val="18"/>
    </w:rPr>
  </w:style>
  <w:style w:type="character" w:customStyle="1" w:styleId="57">
    <w:name w:val="页眉 字符1"/>
    <w:link w:val="26"/>
    <w:qFormat/>
    <w:uiPriority w:val="0"/>
    <w:rPr>
      <w:rFonts w:ascii="Calibri" w:hAnsi="Calibri" w:eastAsia="宋体" w:cs="Times New Roman"/>
      <w:sz w:val="18"/>
      <w:szCs w:val="18"/>
    </w:rPr>
  </w:style>
  <w:style w:type="character" w:customStyle="1" w:styleId="58">
    <w:name w:val="页脚 字符"/>
    <w:semiHidden/>
    <w:qFormat/>
    <w:uiPriority w:val="99"/>
    <w:rPr>
      <w:rFonts w:ascii="Calibri" w:hAnsi="Calibri" w:eastAsia="宋体" w:cs="Times New Roman"/>
      <w:sz w:val="18"/>
      <w:szCs w:val="18"/>
    </w:rPr>
  </w:style>
  <w:style w:type="character" w:customStyle="1" w:styleId="59">
    <w:name w:val="页脚 字符1"/>
    <w:link w:val="25"/>
    <w:qFormat/>
    <w:uiPriority w:val="0"/>
    <w:rPr>
      <w:rFonts w:ascii="Calibri" w:hAnsi="Calibri" w:eastAsia="宋体" w:cs="Times New Roman"/>
      <w:sz w:val="18"/>
      <w:szCs w:val="18"/>
    </w:rPr>
  </w:style>
  <w:style w:type="character" w:customStyle="1" w:styleId="60">
    <w:name w:val="标题 1 Char"/>
    <w:qFormat/>
    <w:uiPriority w:val="0"/>
    <w:rPr>
      <w:rFonts w:ascii="Arial" w:hAnsi="Arial" w:eastAsia="宋体"/>
      <w:b/>
      <w:kern w:val="44"/>
      <w:sz w:val="28"/>
      <w:szCs w:val="28"/>
    </w:rPr>
  </w:style>
  <w:style w:type="character" w:customStyle="1" w:styleId="61">
    <w:name w:val="标题 2 字符1"/>
    <w:link w:val="7"/>
    <w:qFormat/>
    <w:uiPriority w:val="0"/>
    <w:rPr>
      <w:rFonts w:ascii="Arial" w:hAnsi="Arial" w:eastAsia="宋体" w:cs="Times New Roman"/>
      <w:b/>
      <w:color w:val="000000"/>
      <w:sz w:val="24"/>
      <w:szCs w:val="24"/>
    </w:rPr>
  </w:style>
  <w:style w:type="character" w:customStyle="1" w:styleId="62">
    <w:name w:val="标题 4 字符1"/>
    <w:link w:val="9"/>
    <w:qFormat/>
    <w:uiPriority w:val="0"/>
    <w:rPr>
      <w:rFonts w:ascii="Arial" w:hAnsi="Arial" w:eastAsia="宋体" w:cs="Times New Roman"/>
      <w:color w:val="000000"/>
      <w:szCs w:val="21"/>
    </w:rPr>
  </w:style>
  <w:style w:type="character" w:customStyle="1" w:styleId="63">
    <w:name w:val="标题 5 字符1"/>
    <w:link w:val="10"/>
    <w:qFormat/>
    <w:uiPriority w:val="0"/>
    <w:rPr>
      <w:rFonts w:ascii="Arial" w:hAnsi="Arial" w:eastAsia="宋体" w:cs="Times New Roman"/>
      <w:color w:val="000000"/>
      <w:szCs w:val="21"/>
    </w:rPr>
  </w:style>
  <w:style w:type="character" w:customStyle="1" w:styleId="64">
    <w:name w:val="标题 6 字符1"/>
    <w:link w:val="11"/>
    <w:qFormat/>
    <w:uiPriority w:val="0"/>
    <w:rPr>
      <w:rFonts w:ascii="Arial" w:hAnsi="Arial" w:eastAsia="黑体" w:cs="Times New Roman"/>
      <w:b/>
      <w:bCs/>
      <w:sz w:val="24"/>
      <w:szCs w:val="24"/>
    </w:rPr>
  </w:style>
  <w:style w:type="character" w:customStyle="1" w:styleId="65">
    <w:name w:val="标题 7 字符1"/>
    <w:link w:val="12"/>
    <w:qFormat/>
    <w:uiPriority w:val="0"/>
    <w:rPr>
      <w:rFonts w:ascii="Times New Roman" w:hAnsi="Times New Roman" w:eastAsia="宋体" w:cs="Times New Roman"/>
      <w:b/>
      <w:sz w:val="24"/>
      <w:szCs w:val="20"/>
    </w:rPr>
  </w:style>
  <w:style w:type="character" w:customStyle="1" w:styleId="66">
    <w:name w:val="标题 8 字符1"/>
    <w:link w:val="13"/>
    <w:qFormat/>
    <w:uiPriority w:val="0"/>
    <w:rPr>
      <w:rFonts w:ascii="Arial" w:hAnsi="Arial" w:eastAsia="黑体" w:cs="Times New Roman"/>
      <w:sz w:val="24"/>
      <w:szCs w:val="20"/>
    </w:rPr>
  </w:style>
  <w:style w:type="character" w:customStyle="1" w:styleId="67">
    <w:name w:val="标题 9 字符1"/>
    <w:link w:val="14"/>
    <w:qFormat/>
    <w:uiPriority w:val="0"/>
    <w:rPr>
      <w:rFonts w:ascii="Arial" w:hAnsi="Arial" w:eastAsia="黑体" w:cs="Times New Roman"/>
      <w:szCs w:val="20"/>
    </w:rPr>
  </w:style>
  <w:style w:type="character" w:customStyle="1" w:styleId="68">
    <w:name w:val="标题 字符"/>
    <w:qFormat/>
    <w:uiPriority w:val="10"/>
    <w:rPr>
      <w:rFonts w:ascii="等线 Light" w:hAnsi="等线 Light" w:eastAsia="等线 Light" w:cs="Times New Roman"/>
      <w:b/>
      <w:bCs/>
      <w:sz w:val="32"/>
      <w:szCs w:val="32"/>
    </w:rPr>
  </w:style>
  <w:style w:type="character" w:customStyle="1" w:styleId="69">
    <w:name w:val="标题 字符1"/>
    <w:link w:val="4"/>
    <w:qFormat/>
    <w:uiPriority w:val="0"/>
    <w:rPr>
      <w:rFonts w:ascii="Arial" w:hAnsi="Arial" w:eastAsia="宋体" w:cs="Times New Roman"/>
      <w:b/>
      <w:sz w:val="44"/>
      <w:szCs w:val="20"/>
    </w:rPr>
  </w:style>
  <w:style w:type="character" w:customStyle="1" w:styleId="70">
    <w:name w:val="正文文本 字符"/>
    <w:semiHidden/>
    <w:qFormat/>
    <w:uiPriority w:val="99"/>
    <w:rPr>
      <w:rFonts w:ascii="Calibri" w:hAnsi="Calibri" w:eastAsia="宋体" w:cs="Times New Roman"/>
    </w:rPr>
  </w:style>
  <w:style w:type="character" w:customStyle="1" w:styleId="71">
    <w:name w:val="正文文本 字符1"/>
    <w:link w:val="6"/>
    <w:qFormat/>
    <w:uiPriority w:val="0"/>
    <w:rPr>
      <w:rFonts w:ascii="Times New Roman" w:hAnsi="Times New Roman" w:eastAsia="宋体" w:cs="Times New Roman"/>
      <w:szCs w:val="20"/>
    </w:rPr>
  </w:style>
  <w:style w:type="character" w:customStyle="1" w:styleId="72">
    <w:name w:val="正文首行缩进 字符"/>
    <w:basedOn w:val="70"/>
    <w:semiHidden/>
    <w:qFormat/>
    <w:uiPriority w:val="99"/>
    <w:rPr>
      <w:rFonts w:ascii="Calibri" w:hAnsi="Calibri" w:eastAsia="宋体" w:cs="Times New Roman"/>
    </w:rPr>
  </w:style>
  <w:style w:type="character" w:customStyle="1" w:styleId="73">
    <w:name w:val="正文文本首行缩进 字符"/>
    <w:link w:val="5"/>
    <w:qFormat/>
    <w:uiPriority w:val="0"/>
  </w:style>
  <w:style w:type="character" w:customStyle="1" w:styleId="74">
    <w:name w:val="日期 字符"/>
    <w:semiHidden/>
    <w:qFormat/>
    <w:uiPriority w:val="99"/>
    <w:rPr>
      <w:rFonts w:ascii="Calibri" w:hAnsi="Calibri" w:eastAsia="宋体" w:cs="Times New Roman"/>
    </w:rPr>
  </w:style>
  <w:style w:type="character" w:customStyle="1" w:styleId="75">
    <w:name w:val="日期 字符1"/>
    <w:link w:val="21"/>
    <w:qFormat/>
    <w:uiPriority w:val="0"/>
    <w:rPr>
      <w:rFonts w:ascii="Times New Roman" w:hAnsi="Times New Roman" w:eastAsia="宋体" w:cs="Times New Roman"/>
      <w:szCs w:val="20"/>
    </w:rPr>
  </w:style>
  <w:style w:type="character" w:customStyle="1" w:styleId="76">
    <w:name w:val="正文文本缩进 字符"/>
    <w:semiHidden/>
    <w:qFormat/>
    <w:uiPriority w:val="99"/>
    <w:rPr>
      <w:rFonts w:ascii="Calibri" w:hAnsi="Calibri" w:eastAsia="宋体" w:cs="Times New Roman"/>
    </w:rPr>
  </w:style>
  <w:style w:type="character" w:customStyle="1" w:styleId="77">
    <w:name w:val="正文文本缩进 字符1"/>
    <w:link w:val="17"/>
    <w:qFormat/>
    <w:uiPriority w:val="0"/>
    <w:rPr>
      <w:rFonts w:ascii="Times New Roman" w:hAnsi="Times New Roman" w:eastAsia="宋体" w:cs="Times New Roman"/>
      <w:sz w:val="28"/>
      <w:szCs w:val="20"/>
    </w:rPr>
  </w:style>
  <w:style w:type="character" w:customStyle="1" w:styleId="78">
    <w:name w:val="文档结构图 字符"/>
    <w:semiHidden/>
    <w:qFormat/>
    <w:uiPriority w:val="99"/>
    <w:rPr>
      <w:rFonts w:ascii="Microsoft YaHei UI" w:hAnsi="Calibri" w:eastAsia="Microsoft YaHei UI" w:cs="Times New Roman"/>
      <w:sz w:val="18"/>
      <w:szCs w:val="18"/>
    </w:rPr>
  </w:style>
  <w:style w:type="character" w:customStyle="1" w:styleId="79">
    <w:name w:val="文档结构图 字符1"/>
    <w:link w:val="15"/>
    <w:qFormat/>
    <w:uiPriority w:val="0"/>
    <w:rPr>
      <w:rFonts w:ascii="Times New Roman" w:hAnsi="Times New Roman" w:eastAsia="宋体" w:cs="Times New Roman"/>
      <w:szCs w:val="20"/>
      <w:shd w:val="clear" w:color="auto" w:fill="000080"/>
    </w:rPr>
  </w:style>
  <w:style w:type="character" w:customStyle="1" w:styleId="80">
    <w:name w:val="纯文本 字符"/>
    <w:semiHidden/>
    <w:qFormat/>
    <w:uiPriority w:val="99"/>
    <w:rPr>
      <w:rFonts w:ascii="等线" w:hAnsi="Courier New" w:cs="Courier New"/>
    </w:rPr>
  </w:style>
  <w:style w:type="character" w:customStyle="1" w:styleId="81">
    <w:name w:val="纯文本 字符1"/>
    <w:link w:val="20"/>
    <w:qFormat/>
    <w:uiPriority w:val="0"/>
    <w:rPr>
      <w:rFonts w:ascii="宋体" w:hAnsi="Courier New" w:eastAsia="宋体" w:cs="Times New Roman"/>
      <w:szCs w:val="20"/>
    </w:rPr>
  </w:style>
  <w:style w:type="character" w:customStyle="1" w:styleId="82">
    <w:name w:val="正文文本缩进 2 字符"/>
    <w:semiHidden/>
    <w:qFormat/>
    <w:uiPriority w:val="99"/>
    <w:rPr>
      <w:rFonts w:ascii="Calibri" w:hAnsi="Calibri" w:eastAsia="宋体" w:cs="Times New Roman"/>
    </w:rPr>
  </w:style>
  <w:style w:type="character" w:customStyle="1" w:styleId="83">
    <w:name w:val="正文文本缩进 2 字符1"/>
    <w:link w:val="22"/>
    <w:qFormat/>
    <w:uiPriority w:val="0"/>
    <w:rPr>
      <w:rFonts w:ascii="Times New Roman" w:hAnsi="Times New Roman" w:eastAsia="宋体" w:cs="Times New Roman"/>
      <w:color w:val="000000"/>
      <w:sz w:val="24"/>
      <w:szCs w:val="20"/>
    </w:rPr>
  </w:style>
  <w:style w:type="character" w:customStyle="1" w:styleId="84">
    <w:name w:val="正文文本缩进 3 字符"/>
    <w:semiHidden/>
    <w:qFormat/>
    <w:uiPriority w:val="99"/>
    <w:rPr>
      <w:rFonts w:ascii="Calibri" w:hAnsi="Calibri" w:eastAsia="宋体" w:cs="Times New Roman"/>
      <w:sz w:val="16"/>
      <w:szCs w:val="16"/>
    </w:rPr>
  </w:style>
  <w:style w:type="character" w:customStyle="1" w:styleId="85">
    <w:name w:val="正文文本缩进 3 字符1"/>
    <w:link w:val="29"/>
    <w:qFormat/>
    <w:uiPriority w:val="0"/>
    <w:rPr>
      <w:rFonts w:ascii="Times New Roman" w:hAnsi="Times New Roman" w:eastAsia="宋体" w:cs="Times New Roman"/>
      <w:color w:val="000000"/>
      <w:sz w:val="24"/>
      <w:szCs w:val="20"/>
    </w:rPr>
  </w:style>
  <w:style w:type="paragraph" w:customStyle="1" w:styleId="8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7">
    <w:name w:val="_Style 69"/>
    <w:qFormat/>
    <w:uiPriority w:val="0"/>
    <w:rPr>
      <w:rFonts w:ascii="等线" w:hAnsi="等线" w:eastAsia="等线" w:cs="Times New Roman"/>
      <w:lang w:val="en-US" w:eastAsia="zh-CN" w:bidi="ar-SA"/>
    </w:rPr>
  </w:style>
  <w:style w:type="character" w:customStyle="1" w:styleId="88">
    <w:name w:val="正文文本 2 字符"/>
    <w:semiHidden/>
    <w:qFormat/>
    <w:uiPriority w:val="99"/>
    <w:rPr>
      <w:rFonts w:ascii="Calibri" w:hAnsi="Calibri" w:eastAsia="宋体" w:cs="Times New Roman"/>
    </w:rPr>
  </w:style>
  <w:style w:type="character" w:customStyle="1" w:styleId="89">
    <w:name w:val="正文文本 2 字符1"/>
    <w:link w:val="31"/>
    <w:qFormat/>
    <w:uiPriority w:val="0"/>
    <w:rPr>
      <w:rFonts w:ascii="宋体" w:hAnsi="宋体" w:eastAsia="宋体" w:cs="Times New Roman"/>
      <w:szCs w:val="24"/>
      <w:u w:val="single"/>
    </w:rPr>
  </w:style>
  <w:style w:type="paragraph" w:customStyle="1" w:styleId="90">
    <w:name w:val="表头"/>
    <w:basedOn w:val="1"/>
    <w:qFormat/>
    <w:uiPriority w:val="0"/>
    <w:pPr>
      <w:spacing w:line="360" w:lineRule="auto"/>
      <w:jc w:val="center"/>
    </w:pPr>
    <w:rPr>
      <w:rFonts w:ascii="黑体" w:hAnsi="Times New Roman" w:eastAsia="黑体"/>
      <w:kern w:val="0"/>
      <w:sz w:val="24"/>
      <w:szCs w:val="20"/>
    </w:rPr>
  </w:style>
  <w:style w:type="character" w:customStyle="1" w:styleId="91">
    <w:name w:val="尾注文本 字符"/>
    <w:semiHidden/>
    <w:qFormat/>
    <w:uiPriority w:val="99"/>
    <w:rPr>
      <w:rFonts w:ascii="Calibri" w:hAnsi="Calibri" w:eastAsia="宋体" w:cs="Times New Roman"/>
    </w:rPr>
  </w:style>
  <w:style w:type="character" w:customStyle="1" w:styleId="92">
    <w:name w:val="尾注文本 字符1"/>
    <w:link w:val="23"/>
    <w:qFormat/>
    <w:uiPriority w:val="0"/>
    <w:rPr>
      <w:rFonts w:ascii="Times New Roman" w:hAnsi="Times New Roman" w:eastAsia="宋体" w:cs="Times New Roman"/>
      <w:szCs w:val="20"/>
    </w:rPr>
  </w:style>
  <w:style w:type="paragraph" w:customStyle="1" w:styleId="93">
    <w:name w:val="Char"/>
    <w:basedOn w:val="1"/>
    <w:qFormat/>
    <w:uiPriority w:val="0"/>
    <w:rPr>
      <w:rFonts w:ascii="Tahoma" w:hAnsi="Tahoma"/>
      <w:sz w:val="24"/>
      <w:szCs w:val="20"/>
    </w:rPr>
  </w:style>
  <w:style w:type="paragraph" w:customStyle="1" w:styleId="94">
    <w:name w:val="Char1"/>
    <w:basedOn w:val="1"/>
    <w:qFormat/>
    <w:uiPriority w:val="0"/>
    <w:pPr>
      <w:numPr>
        <w:ilvl w:val="0"/>
        <w:numId w:val="1"/>
      </w:numPr>
    </w:pPr>
    <w:rPr>
      <w:rFonts w:ascii="Times New Roman" w:hAnsi="Times New Roman"/>
      <w:sz w:val="24"/>
      <w:szCs w:val="24"/>
    </w:rPr>
  </w:style>
  <w:style w:type="paragraph" w:customStyle="1" w:styleId="95">
    <w:name w:val="公文抬头"/>
    <w:basedOn w:val="2"/>
    <w:qFormat/>
    <w:uiPriority w:val="0"/>
    <w:pPr>
      <w:ind w:firstLine="0"/>
    </w:pPr>
    <w:rPr>
      <w:rFonts w:ascii="仿宋_GB2312" w:eastAsia="仿宋_GB2312"/>
      <w:sz w:val="30"/>
      <w:szCs w:val="24"/>
    </w:rPr>
  </w:style>
  <w:style w:type="paragraph" w:customStyle="1" w:styleId="96">
    <w:name w:val="Char Char Char1 Char"/>
    <w:basedOn w:val="15"/>
    <w:qFormat/>
    <w:uiPriority w:val="0"/>
    <w:rPr>
      <w:rFonts w:ascii="Tahoma" w:hAnsi="Tahoma"/>
      <w:sz w:val="24"/>
      <w:szCs w:val="24"/>
    </w:rPr>
  </w:style>
  <w:style w:type="paragraph" w:customStyle="1" w:styleId="9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8">
    <w:name w:val="公文标题"/>
    <w:basedOn w:val="8"/>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9">
    <w:name w:val="发文落款"/>
    <w:basedOn w:val="97"/>
    <w:qFormat/>
    <w:uiPriority w:val="0"/>
    <w:pPr>
      <w:ind w:left="4094" w:right="607" w:firstLine="0"/>
      <w:jc w:val="center"/>
    </w:pPr>
  </w:style>
  <w:style w:type="paragraph" w:customStyle="1" w:styleId="100">
    <w:name w:val="Char Char Char Char"/>
    <w:basedOn w:val="1"/>
    <w:qFormat/>
    <w:uiPriority w:val="0"/>
    <w:rPr>
      <w:rFonts w:ascii="Times New Roman" w:hAnsi="Times New Roman"/>
      <w:sz w:val="30"/>
      <w:szCs w:val="24"/>
    </w:rPr>
  </w:style>
  <w:style w:type="character" w:customStyle="1" w:styleId="101">
    <w:name w:val="批注框文本 字符"/>
    <w:semiHidden/>
    <w:qFormat/>
    <w:uiPriority w:val="99"/>
    <w:rPr>
      <w:rFonts w:ascii="Calibri" w:hAnsi="Calibri" w:eastAsia="宋体" w:cs="Times New Roman"/>
      <w:sz w:val="18"/>
      <w:szCs w:val="18"/>
    </w:rPr>
  </w:style>
  <w:style w:type="character" w:customStyle="1" w:styleId="102">
    <w:name w:val="批注框文本 字符1"/>
    <w:link w:val="24"/>
    <w:qFormat/>
    <w:uiPriority w:val="0"/>
    <w:rPr>
      <w:rFonts w:ascii="Times New Roman" w:hAnsi="Times New Roman" w:eastAsia="宋体" w:cs="Times New Roman"/>
      <w:sz w:val="18"/>
      <w:szCs w:val="18"/>
    </w:rPr>
  </w:style>
  <w:style w:type="paragraph" w:customStyle="1" w:styleId="103">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4">
    <w:name w:val="批注文字 字符"/>
    <w:semiHidden/>
    <w:qFormat/>
    <w:uiPriority w:val="99"/>
    <w:rPr>
      <w:rFonts w:ascii="Calibri" w:hAnsi="Calibri" w:eastAsia="宋体" w:cs="Times New Roman"/>
    </w:rPr>
  </w:style>
  <w:style w:type="character" w:customStyle="1" w:styleId="105">
    <w:name w:val="批注文字 字符1"/>
    <w:link w:val="16"/>
    <w:qFormat/>
    <w:uiPriority w:val="0"/>
    <w:rPr>
      <w:rFonts w:ascii="宋体" w:hAnsi="宋体" w:eastAsia="宋体" w:cs="Times New Roman"/>
      <w:sz w:val="24"/>
      <w:szCs w:val="24"/>
    </w:rPr>
  </w:style>
  <w:style w:type="character" w:customStyle="1" w:styleId="106">
    <w:name w:val="脚注文本 字符"/>
    <w:semiHidden/>
    <w:qFormat/>
    <w:uiPriority w:val="99"/>
    <w:rPr>
      <w:rFonts w:ascii="Calibri" w:hAnsi="Calibri" w:eastAsia="宋体" w:cs="Times New Roman"/>
      <w:sz w:val="18"/>
      <w:szCs w:val="18"/>
    </w:rPr>
  </w:style>
  <w:style w:type="character" w:customStyle="1" w:styleId="107">
    <w:name w:val="脚注文本 字符1"/>
    <w:link w:val="28"/>
    <w:qFormat/>
    <w:uiPriority w:val="0"/>
    <w:rPr>
      <w:rFonts w:ascii="宋体" w:hAnsi="宋体" w:eastAsia="宋体" w:cs="Times New Roman"/>
      <w:sz w:val="18"/>
      <w:szCs w:val="18"/>
    </w:rPr>
  </w:style>
  <w:style w:type="character" w:customStyle="1" w:styleId="108">
    <w:name w:val="批注主题 字符"/>
    <w:semiHidden/>
    <w:qFormat/>
    <w:uiPriority w:val="99"/>
    <w:rPr>
      <w:rFonts w:ascii="Calibri" w:hAnsi="Calibri" w:eastAsia="宋体" w:cs="Times New Roman"/>
      <w:b/>
      <w:bCs/>
    </w:rPr>
  </w:style>
  <w:style w:type="character" w:customStyle="1" w:styleId="109">
    <w:name w:val="批注主题 字符1"/>
    <w:link w:val="35"/>
    <w:qFormat/>
    <w:uiPriority w:val="0"/>
    <w:rPr>
      <w:rFonts w:ascii="宋体" w:hAnsi="宋体" w:eastAsia="宋体" w:cs="Times New Roman"/>
      <w:b/>
      <w:bCs/>
      <w:sz w:val="24"/>
      <w:szCs w:val="24"/>
    </w:rPr>
  </w:style>
  <w:style w:type="paragraph" w:styleId="110">
    <w:name w:val="List Paragraph"/>
    <w:basedOn w:val="1"/>
    <w:qFormat/>
    <w:uiPriority w:val="34"/>
    <w:pPr>
      <w:ind w:firstLine="420" w:firstLineChars="200"/>
    </w:pPr>
    <w:rPr>
      <w:rFonts w:ascii="Times New Roman" w:hAnsi="Times New Roman"/>
      <w:szCs w:val="20"/>
    </w:rPr>
  </w:style>
  <w:style w:type="paragraph" w:customStyle="1" w:styleId="111">
    <w:name w:val="修订1"/>
    <w:hidden/>
    <w:semiHidden/>
    <w:qFormat/>
    <w:uiPriority w:val="99"/>
    <w:rPr>
      <w:rFonts w:ascii="Times New Roman" w:hAnsi="Times New Roman" w:eastAsia="宋体" w:cs="Times New Roman"/>
      <w:kern w:val="2"/>
      <w:sz w:val="21"/>
      <w:lang w:val="en-US" w:eastAsia="zh-CN" w:bidi="ar-SA"/>
    </w:rPr>
  </w:style>
  <w:style w:type="paragraph" w:customStyle="1" w:styleId="112">
    <w:name w:val="修订2"/>
    <w:hidden/>
    <w:unhideWhenUsed/>
    <w:qFormat/>
    <w:uiPriority w:val="99"/>
    <w:rPr>
      <w:rFonts w:ascii="Calibri" w:hAnsi="Calibri" w:eastAsia="宋体" w:cs="Times New Roman"/>
      <w:kern w:val="2"/>
      <w:sz w:val="21"/>
      <w:szCs w:val="22"/>
      <w:lang w:val="en-US" w:eastAsia="zh-CN" w:bidi="ar-SA"/>
    </w:rPr>
  </w:style>
  <w:style w:type="paragraph" w:customStyle="1" w:styleId="113">
    <w:name w:val="修订3"/>
    <w:hidden/>
    <w:unhideWhenUsed/>
    <w:qFormat/>
    <w:uiPriority w:val="99"/>
    <w:rPr>
      <w:rFonts w:ascii="Calibri" w:hAnsi="Calibri" w:eastAsia="宋体" w:cs="Times New Roman"/>
      <w:kern w:val="2"/>
      <w:sz w:val="21"/>
      <w:szCs w:val="22"/>
      <w:lang w:val="en-US" w:eastAsia="zh-CN" w:bidi="ar-SA"/>
    </w:rPr>
  </w:style>
  <w:style w:type="character" w:customStyle="1" w:styleId="114">
    <w:name w:val="页眉 Char"/>
    <w:qFormat/>
    <w:uiPriority w:val="99"/>
    <w:rPr>
      <w:kern w:val="2"/>
      <w:sz w:val="18"/>
      <w:szCs w:val="18"/>
      <w:lang w:val="zh-CN" w:eastAsia="zh-CN"/>
    </w:rPr>
  </w:style>
  <w:style w:type="character" w:customStyle="1" w:styleId="115">
    <w:name w:val="标准正文 Char"/>
    <w:link w:val="116"/>
    <w:qFormat/>
    <w:uiPriority w:val="0"/>
    <w:rPr>
      <w:szCs w:val="24"/>
    </w:rPr>
  </w:style>
  <w:style w:type="paragraph" w:customStyle="1" w:styleId="116">
    <w:name w:val="标准正文"/>
    <w:basedOn w:val="1"/>
    <w:link w:val="115"/>
    <w:qFormat/>
    <w:uiPriority w:val="0"/>
    <w:pPr>
      <w:tabs>
        <w:tab w:val="left" w:pos="720"/>
      </w:tabs>
      <w:spacing w:line="360" w:lineRule="auto"/>
      <w:ind w:firstLine="200" w:firstLineChars="200"/>
    </w:pPr>
    <w:rPr>
      <w:rFonts w:ascii="等线" w:hAnsi="等线" w:eastAsia="等线"/>
      <w:kern w:val="0"/>
      <w:sz w:val="20"/>
      <w:szCs w:val="24"/>
    </w:rPr>
  </w:style>
  <w:style w:type="paragraph" w:customStyle="1" w:styleId="117">
    <w:name w:val="PlainText"/>
    <w:basedOn w:val="1"/>
    <w:qFormat/>
    <w:uiPriority w:val="0"/>
    <w:pPr>
      <w:textAlignment w:val="baseline"/>
    </w:pPr>
    <w:rPr>
      <w:rFonts w:ascii="宋体" w:hAnsi="Courier New" w:cs="Calibri"/>
      <w:color w:val="000000"/>
      <w:kern w:val="0"/>
      <w:sz w:val="20"/>
      <w:szCs w:val="20"/>
    </w:rPr>
  </w:style>
  <w:style w:type="character" w:customStyle="1" w:styleId="118">
    <w:name w:val="正文文本1"/>
    <w:qFormat/>
    <w:uiPriority w:val="0"/>
    <w:rPr>
      <w:rFonts w:ascii="宋体" w:hAnsi="宋体" w:eastAsia="宋体" w:cs="宋体"/>
      <w:color w:val="000000"/>
      <w:spacing w:val="0"/>
      <w:w w:val="100"/>
      <w:position w:val="0"/>
      <w:sz w:val="19"/>
      <w:szCs w:val="19"/>
      <w:shd w:val="clear" w:color="auto" w:fill="FFFFFF"/>
      <w:lang w:val="zh-TW"/>
    </w:rPr>
  </w:style>
  <w:style w:type="paragraph" w:customStyle="1" w:styleId="119">
    <w:name w:val="正文文本3"/>
    <w:basedOn w:val="1"/>
    <w:qFormat/>
    <w:uiPriority w:val="0"/>
    <w:pPr>
      <w:shd w:val="clear" w:color="auto" w:fill="FFFFFF"/>
      <w:spacing w:line="0" w:lineRule="atLeast"/>
      <w:jc w:val="left"/>
    </w:pPr>
    <w:rPr>
      <w:rFonts w:ascii="宋体" w:hAnsi="宋体" w:cs="宋体"/>
      <w:sz w:val="19"/>
      <w:szCs w:val="19"/>
    </w:rPr>
  </w:style>
  <w:style w:type="character" w:customStyle="1" w:styleId="120">
    <w:name w:val="font11"/>
    <w:qFormat/>
    <w:uiPriority w:val="0"/>
    <w:rPr>
      <w:rFonts w:hint="eastAsia" w:ascii="仿宋" w:hAnsi="仿宋" w:eastAsia="仿宋" w:cs="仿宋"/>
      <w:color w:val="000000"/>
      <w:sz w:val="28"/>
      <w:szCs w:val="28"/>
      <w:u w:val="none"/>
    </w:rPr>
  </w:style>
  <w:style w:type="paragraph" w:customStyle="1" w:styleId="121">
    <w:name w:val="正题"/>
    <w:basedOn w:val="1"/>
    <w:next w:val="122"/>
    <w:qFormat/>
    <w:uiPriority w:val="0"/>
    <w:pPr>
      <w:topLinePunct/>
      <w:adjustRightInd w:val="0"/>
      <w:snapToGrid w:val="0"/>
      <w:spacing w:line="360" w:lineRule="auto"/>
      <w:jc w:val="center"/>
    </w:pPr>
    <w:rPr>
      <w:rFonts w:ascii="等线" w:hAnsi="等线" w:eastAsia="黑体"/>
      <w:b/>
      <w:spacing w:val="4"/>
      <w:kern w:val="0"/>
      <w:sz w:val="36"/>
      <w:szCs w:val="36"/>
    </w:rPr>
  </w:style>
  <w:style w:type="paragraph" w:customStyle="1" w:styleId="122">
    <w:name w:val="文一"/>
    <w:basedOn w:val="1"/>
    <w:qFormat/>
    <w:uiPriority w:val="0"/>
    <w:pPr>
      <w:topLinePunct/>
      <w:adjustRightInd w:val="0"/>
      <w:snapToGrid w:val="0"/>
      <w:spacing w:line="360" w:lineRule="auto"/>
      <w:ind w:firstLine="200" w:firstLineChars="200"/>
    </w:pPr>
    <w:rPr>
      <w:rFonts w:ascii="Times New Roman" w:hAnsi="Times New Roman"/>
      <w:spacing w:val="4"/>
      <w:kern w:val="0"/>
      <w:sz w:val="24"/>
      <w:szCs w:val="24"/>
    </w:rPr>
  </w:style>
  <w:style w:type="character" w:customStyle="1" w:styleId="123">
    <w:name w:val="标题 1 字符1"/>
    <w:link w:val="3"/>
    <w:qFormat/>
    <w:uiPriority w:val="0"/>
    <w:rPr>
      <w:rFonts w:ascii="Arial" w:hAnsi="Arial" w:eastAsia="宋体"/>
      <w:b/>
      <w:kern w:val="44"/>
      <w:sz w:val="28"/>
      <w:szCs w:val="28"/>
    </w:rPr>
  </w:style>
  <w:style w:type="character" w:customStyle="1" w:styleId="124">
    <w:name w:val="标题 2 Char"/>
    <w:link w:val="7"/>
    <w:qFormat/>
    <w:uiPriority w:val="0"/>
    <w:rPr>
      <w:rFonts w:ascii="Arial" w:hAnsi="Arial"/>
      <w:b/>
      <w:color w:val="000000"/>
      <w:sz w:val="24"/>
      <w:szCs w:val="24"/>
    </w:rPr>
  </w:style>
  <w:style w:type="character" w:customStyle="1" w:styleId="125">
    <w:name w:val="标题 1 Char1"/>
    <w:link w:val="3"/>
    <w:qFormat/>
    <w:uiPriority w:val="0"/>
    <w:rPr>
      <w:kern w:val="44"/>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21692</Words>
  <Characters>22623</Characters>
  <Lines>429</Lines>
  <Paragraphs>120</Paragraphs>
  <TotalTime>3</TotalTime>
  <ScaleCrop>false</ScaleCrop>
  <LinksUpToDate>false</LinksUpToDate>
  <CharactersWithSpaces>23575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2019-10-12T15:40:00Z</dcterms:created>
  <dc:creator>管理员</dc:creator>
  <cp:lastModifiedBy>建</cp:lastModifiedBy>
  <cp:lastPrinted>2025-07-30T08:18:00Z</cp:lastPrinted>
  <dcterms:modified xsi:type="dcterms:W3CDTF">2025-08-01T02:52:21Z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B5500F81B1B445C2B1185437853BFA4A</vt:lpwstr>
  </property>
  <property fmtid="{D5CDD505-2E9C-101B-9397-08002B2CF9AE}" pid="4" name="KSOTemplateDocerSaveRecord">
    <vt:lpwstr>eyJoZGlkIjoiOGY3NThlNjIxMjkzYzQ1NzM1NmYxMjUyNmYwMmE3ZjEiLCJ1c2VySWQiOiIxOTA3MjQxMCJ9</vt:lpwstr>
  </property>
</Properties>
</file>