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7BD59">
      <w:pPr>
        <w:jc w:val="left"/>
        <w:rPr>
          <w:color w:val="auto"/>
          <w:highlight w:val="none"/>
        </w:rPr>
      </w:pPr>
    </w:p>
    <w:p w14:paraId="4B1C17C4">
      <w:pPr>
        <w:autoSpaceDE w:val="0"/>
        <w:autoSpaceDN w:val="0"/>
        <w:adjustRightInd w:val="0"/>
        <w:spacing w:line="360" w:lineRule="auto"/>
        <w:jc w:val="center"/>
        <w:rPr>
          <w:rFonts w:hint="eastAsia"/>
          <w:b/>
          <w:color w:val="auto"/>
          <w:sz w:val="44"/>
          <w:szCs w:val="44"/>
          <w:highlight w:val="none"/>
        </w:rPr>
      </w:pPr>
      <w:r>
        <w:rPr>
          <w:rFonts w:hint="eastAsia"/>
          <w:b/>
          <w:color w:val="auto"/>
          <w:sz w:val="44"/>
          <w:szCs w:val="44"/>
          <w:highlight w:val="none"/>
        </w:rPr>
        <w:t>广州市天河区棠东广棠路2号、广园路以北以及棠东横岭地块开发建设综合商业项目</w:t>
      </w:r>
    </w:p>
    <w:p w14:paraId="1BF3750F">
      <w:pPr>
        <w:autoSpaceDE w:val="0"/>
        <w:autoSpaceDN w:val="0"/>
        <w:adjustRightInd w:val="0"/>
        <w:spacing w:line="360" w:lineRule="auto"/>
        <w:jc w:val="center"/>
        <w:rPr>
          <w:rFonts w:hint="eastAsia" w:eastAsia="宋体"/>
          <w:b/>
          <w:color w:val="auto"/>
          <w:sz w:val="44"/>
          <w:szCs w:val="44"/>
          <w:highlight w:val="none"/>
          <w:lang w:eastAsia="zh-CN"/>
        </w:rPr>
      </w:pPr>
      <w:r>
        <w:rPr>
          <w:rFonts w:hint="eastAsia"/>
          <w:b/>
          <w:color w:val="auto"/>
          <w:sz w:val="44"/>
          <w:szCs w:val="44"/>
          <w:highlight w:val="none"/>
          <w:lang w:eastAsia="zh-CN"/>
        </w:rPr>
        <w:t>施工总承包</w:t>
      </w:r>
    </w:p>
    <w:p w14:paraId="182FD2F3">
      <w:pPr>
        <w:autoSpaceDE w:val="0"/>
        <w:autoSpaceDN w:val="0"/>
        <w:adjustRightInd w:val="0"/>
        <w:spacing w:line="360" w:lineRule="auto"/>
        <w:jc w:val="center"/>
        <w:rPr>
          <w:rFonts w:hint="eastAsia"/>
          <w:b/>
          <w:color w:val="auto"/>
          <w:sz w:val="44"/>
          <w:szCs w:val="44"/>
          <w:highlight w:val="none"/>
        </w:rPr>
      </w:pPr>
    </w:p>
    <w:p w14:paraId="5246CFAA">
      <w:pPr>
        <w:pStyle w:val="4"/>
        <w:spacing w:line="360" w:lineRule="auto"/>
        <w:rPr>
          <w:rFonts w:hint="eastAsia"/>
          <w:color w:val="auto"/>
          <w:highlight w:val="none"/>
        </w:rPr>
      </w:pPr>
    </w:p>
    <w:p w14:paraId="4D856C56">
      <w:pPr>
        <w:spacing w:line="360" w:lineRule="auto"/>
        <w:jc w:val="right"/>
        <w:rPr>
          <w:color w:val="auto"/>
          <w:highlight w:val="none"/>
        </w:rPr>
      </w:pPr>
    </w:p>
    <w:p w14:paraId="1B804FD3">
      <w:pPr>
        <w:pStyle w:val="2"/>
        <w:spacing w:line="360" w:lineRule="auto"/>
        <w:rPr>
          <w:color w:val="auto"/>
          <w:highlight w:val="none"/>
        </w:rPr>
      </w:pPr>
    </w:p>
    <w:p w14:paraId="5DADA438">
      <w:pPr>
        <w:spacing w:line="360" w:lineRule="auto"/>
        <w:rPr>
          <w:color w:val="auto"/>
          <w:sz w:val="28"/>
          <w:highlight w:val="none"/>
        </w:rPr>
      </w:pPr>
    </w:p>
    <w:p w14:paraId="706D1C69">
      <w:pPr>
        <w:spacing w:line="360" w:lineRule="auto"/>
        <w:jc w:val="center"/>
        <w:rPr>
          <w:rFonts w:hint="eastAsia" w:eastAsia="黑体"/>
          <w:color w:val="auto"/>
          <w:sz w:val="84"/>
          <w:szCs w:val="84"/>
          <w:highlight w:val="none"/>
        </w:rPr>
      </w:pPr>
      <w:r>
        <w:rPr>
          <w:rFonts w:eastAsia="黑体"/>
          <w:color w:val="auto"/>
          <w:sz w:val="84"/>
          <w:szCs w:val="84"/>
          <w:highlight w:val="none"/>
        </w:rPr>
        <w:t>招</w:t>
      </w:r>
      <w:r>
        <w:rPr>
          <w:rFonts w:hint="eastAsia" w:eastAsia="黑体"/>
          <w:color w:val="auto"/>
          <w:sz w:val="84"/>
          <w:szCs w:val="84"/>
          <w:highlight w:val="none"/>
        </w:rPr>
        <w:t xml:space="preserve"> </w:t>
      </w:r>
      <w:r>
        <w:rPr>
          <w:rFonts w:eastAsia="黑体"/>
          <w:color w:val="auto"/>
          <w:sz w:val="84"/>
          <w:szCs w:val="84"/>
          <w:highlight w:val="none"/>
        </w:rPr>
        <w:t>标</w:t>
      </w:r>
      <w:r>
        <w:rPr>
          <w:rFonts w:hint="eastAsia" w:eastAsia="黑体"/>
          <w:color w:val="auto"/>
          <w:sz w:val="84"/>
          <w:szCs w:val="84"/>
          <w:highlight w:val="none"/>
        </w:rPr>
        <w:t xml:space="preserve"> 公 告</w:t>
      </w:r>
    </w:p>
    <w:p w14:paraId="4B5CE524">
      <w:pPr>
        <w:spacing w:line="360" w:lineRule="auto"/>
        <w:rPr>
          <w:color w:val="auto"/>
          <w:highlight w:val="none"/>
        </w:rPr>
      </w:pPr>
    </w:p>
    <w:p w14:paraId="04BC4C6F">
      <w:pPr>
        <w:spacing w:line="360" w:lineRule="auto"/>
        <w:rPr>
          <w:color w:val="auto"/>
          <w:highlight w:val="none"/>
        </w:rPr>
      </w:pPr>
      <w:bookmarkStart w:id="1" w:name="_GoBack"/>
      <w:bookmarkEnd w:id="1"/>
    </w:p>
    <w:p w14:paraId="5C1868BE">
      <w:pPr>
        <w:spacing w:line="360" w:lineRule="auto"/>
        <w:rPr>
          <w:color w:val="auto"/>
          <w:highlight w:val="none"/>
        </w:rPr>
      </w:pPr>
    </w:p>
    <w:p w14:paraId="6053E38D">
      <w:pPr>
        <w:spacing w:line="360" w:lineRule="auto"/>
        <w:rPr>
          <w:color w:val="auto"/>
          <w:highlight w:val="none"/>
        </w:rPr>
      </w:pPr>
    </w:p>
    <w:p w14:paraId="0A63146A">
      <w:pPr>
        <w:pStyle w:val="4"/>
        <w:spacing w:line="360" w:lineRule="auto"/>
        <w:rPr>
          <w:color w:val="auto"/>
          <w:highlight w:val="none"/>
        </w:rPr>
      </w:pPr>
    </w:p>
    <w:p w14:paraId="76595F52">
      <w:pPr>
        <w:spacing w:line="360" w:lineRule="auto"/>
        <w:rPr>
          <w:color w:val="auto"/>
          <w:highlight w:val="none"/>
        </w:rPr>
      </w:pPr>
    </w:p>
    <w:p w14:paraId="4442A712">
      <w:pPr>
        <w:spacing w:line="360" w:lineRule="auto"/>
        <w:rPr>
          <w:color w:val="auto"/>
          <w:highlight w:val="none"/>
        </w:rPr>
      </w:pPr>
    </w:p>
    <w:p w14:paraId="127F1BAB">
      <w:pPr>
        <w:spacing w:line="360" w:lineRule="auto"/>
        <w:ind w:firstLine="1057" w:firstLineChars="329"/>
        <w:rPr>
          <w:rFonts w:hint="eastAsia" w:ascii="宋体" w:hAnsi="宋体"/>
          <w:b/>
          <w:color w:val="auto"/>
          <w:sz w:val="32"/>
          <w:szCs w:val="32"/>
          <w:highlight w:val="none"/>
        </w:rPr>
      </w:pPr>
      <w:r>
        <w:rPr>
          <w:rFonts w:hint="eastAsia" w:ascii="宋体" w:hAnsi="宋体"/>
          <w:b/>
          <w:color w:val="auto"/>
          <w:sz w:val="32"/>
          <w:szCs w:val="32"/>
          <w:highlight w:val="none"/>
        </w:rPr>
        <w:t>招 标  单 位：广州市天河棠东经济发展有限公司</w:t>
      </w:r>
    </w:p>
    <w:p w14:paraId="713BBC22">
      <w:pPr>
        <w:spacing w:line="360" w:lineRule="auto"/>
        <w:ind w:firstLine="3299" w:firstLineChars="1027"/>
        <w:rPr>
          <w:rFonts w:hint="eastAsia" w:ascii="宋体" w:hAnsi="宋体"/>
          <w:b/>
          <w:color w:val="auto"/>
          <w:sz w:val="32"/>
          <w:szCs w:val="32"/>
          <w:highlight w:val="none"/>
        </w:rPr>
      </w:pPr>
      <w:r>
        <w:rPr>
          <w:rFonts w:hint="eastAsia" w:ascii="宋体" w:hAnsi="宋体"/>
          <w:b/>
          <w:color w:val="auto"/>
          <w:sz w:val="32"/>
          <w:szCs w:val="32"/>
          <w:highlight w:val="none"/>
          <w:lang w:val="zh-CN"/>
        </w:rPr>
        <w:t>广州市天河区棠下街棠东股份合作经济联社</w:t>
      </w:r>
    </w:p>
    <w:p w14:paraId="527D6636">
      <w:pPr>
        <w:spacing w:line="360" w:lineRule="auto"/>
        <w:ind w:firstLine="1057" w:firstLineChars="329"/>
        <w:rPr>
          <w:rFonts w:hint="default" w:ascii="宋体" w:hAnsi="宋体" w:eastAsia="宋体"/>
          <w:b/>
          <w:color w:val="auto"/>
          <w:sz w:val="32"/>
          <w:szCs w:val="32"/>
          <w:highlight w:val="none"/>
          <w:lang w:val="en-US" w:eastAsia="zh-CN"/>
        </w:rPr>
      </w:pPr>
      <w:r>
        <w:rPr>
          <w:rFonts w:hint="eastAsia" w:ascii="宋体" w:hAnsi="宋体"/>
          <w:b/>
          <w:color w:val="auto"/>
          <w:sz w:val="32"/>
          <w:szCs w:val="32"/>
          <w:highlight w:val="none"/>
        </w:rPr>
        <w:t>招标代理单位：</w:t>
      </w:r>
      <w:r>
        <w:rPr>
          <w:rFonts w:hint="eastAsia" w:ascii="宋体" w:hAnsi="宋体"/>
          <w:b/>
          <w:color w:val="auto"/>
          <w:sz w:val="32"/>
          <w:szCs w:val="32"/>
          <w:highlight w:val="none"/>
          <w:lang w:val="en-US" w:eastAsia="zh-CN"/>
        </w:rPr>
        <w:t>广东省城规建设监理有限公司</w:t>
      </w:r>
    </w:p>
    <w:p w14:paraId="63F8C7C7">
      <w:pPr>
        <w:spacing w:line="360" w:lineRule="auto"/>
        <w:ind w:firstLine="1057" w:firstLineChars="329"/>
        <w:rPr>
          <w:rFonts w:hint="eastAsia" w:ascii="宋体" w:hAnsi="宋体"/>
          <w:b/>
          <w:color w:val="auto"/>
          <w:sz w:val="32"/>
          <w:szCs w:val="32"/>
          <w:highlight w:val="none"/>
        </w:rPr>
      </w:pPr>
      <w:r>
        <w:rPr>
          <w:rFonts w:hint="eastAsia" w:ascii="宋体" w:hAnsi="宋体"/>
          <w:b/>
          <w:color w:val="auto"/>
          <w:sz w:val="32"/>
          <w:szCs w:val="32"/>
          <w:highlight w:val="none"/>
        </w:rPr>
        <w:t>日        期：</w:t>
      </w:r>
      <w:r>
        <w:rPr>
          <w:rFonts w:hint="eastAsia" w:ascii="宋体" w:hAnsi="宋体"/>
          <w:b/>
          <w:color w:val="auto"/>
          <w:sz w:val="32"/>
          <w:szCs w:val="32"/>
          <w:highlight w:val="none"/>
          <w:lang w:val="en-US" w:eastAsia="zh-CN"/>
        </w:rPr>
        <w:t>2025</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8</w:t>
      </w:r>
      <w:r>
        <w:rPr>
          <w:rFonts w:hint="eastAsia" w:ascii="宋体" w:hAnsi="宋体"/>
          <w:b/>
          <w:color w:val="auto"/>
          <w:sz w:val="32"/>
          <w:szCs w:val="32"/>
          <w:highlight w:val="none"/>
        </w:rPr>
        <w:t>月</w:t>
      </w:r>
    </w:p>
    <w:p w14:paraId="487E3FD3">
      <w:pPr>
        <w:pStyle w:val="14"/>
        <w:spacing w:line="360" w:lineRule="auto"/>
        <w:jc w:val="center"/>
        <w:rPr>
          <w:rFonts w:hint="eastAsia" w:eastAsia="宋体"/>
          <w:b/>
          <w:bCs/>
          <w:color w:val="auto"/>
          <w:sz w:val="36"/>
          <w:szCs w:val="36"/>
          <w:highlight w:val="none"/>
          <w:lang w:eastAsia="zh-CN"/>
        </w:rPr>
      </w:pPr>
      <w:r>
        <w:rPr>
          <w:rFonts w:hint="eastAsia"/>
          <w:b/>
          <w:color w:val="auto"/>
          <w:sz w:val="32"/>
          <w:szCs w:val="32"/>
          <w:highlight w:val="none"/>
        </w:rPr>
        <w:br w:type="page"/>
      </w:r>
      <w:r>
        <w:rPr>
          <w:rFonts w:hint="eastAsia"/>
          <w:b/>
          <w:bCs/>
          <w:color w:val="auto"/>
          <w:sz w:val="36"/>
          <w:szCs w:val="36"/>
          <w:highlight w:val="none"/>
        </w:rPr>
        <w:t>广州市天河区棠东广棠路2号、广园路以北以及棠东横岭地块开发建设综合商业项目</w:t>
      </w:r>
      <w:r>
        <w:rPr>
          <w:rFonts w:hint="eastAsia"/>
          <w:b/>
          <w:bCs/>
          <w:color w:val="auto"/>
          <w:sz w:val="36"/>
          <w:szCs w:val="36"/>
          <w:highlight w:val="none"/>
          <w:lang w:eastAsia="zh-CN"/>
        </w:rPr>
        <w:t>施工总承包</w:t>
      </w:r>
    </w:p>
    <w:p w14:paraId="5F79E3D6">
      <w:pPr>
        <w:pStyle w:val="14"/>
        <w:spacing w:line="360" w:lineRule="auto"/>
        <w:jc w:val="center"/>
        <w:rPr>
          <w:b/>
          <w:bCs/>
          <w:color w:val="auto"/>
          <w:sz w:val="36"/>
          <w:szCs w:val="36"/>
          <w:highlight w:val="none"/>
        </w:rPr>
      </w:pPr>
      <w:r>
        <w:rPr>
          <w:rFonts w:hint="eastAsia"/>
          <w:b/>
          <w:bCs/>
          <w:color w:val="auto"/>
          <w:sz w:val="36"/>
          <w:szCs w:val="36"/>
          <w:highlight w:val="none"/>
          <w:u w:val="none"/>
        </w:rPr>
        <w:t>招标公告</w:t>
      </w:r>
    </w:p>
    <w:p w14:paraId="2CEC310E">
      <w:pPr>
        <w:spacing w:line="360" w:lineRule="auto"/>
        <w:ind w:left="0" w:leftChars="0" w:firstLine="480" w:firstLineChars="200"/>
        <w:rPr>
          <w:rFonts w:ascii="宋体" w:hAnsi="宋体" w:cs="宋体"/>
          <w:bCs/>
          <w:color w:val="auto"/>
          <w:sz w:val="24"/>
          <w:szCs w:val="24"/>
          <w:highlight w:val="none"/>
          <w:u w:val="single"/>
        </w:rPr>
      </w:pPr>
      <w:r>
        <w:rPr>
          <w:rFonts w:hint="eastAsia" w:ascii="宋体" w:hAnsi="宋体"/>
          <w:color w:val="auto"/>
          <w:sz w:val="24"/>
          <w:highlight w:val="none"/>
        </w:rPr>
        <w:t>根据</w:t>
      </w:r>
      <w:r>
        <w:rPr>
          <w:rFonts w:hint="eastAsia" w:ascii="宋体" w:hAnsi="宋体"/>
          <w:color w:val="auto"/>
          <w:sz w:val="24"/>
          <w:highlight w:val="none"/>
          <w:u w:val="single"/>
        </w:rPr>
        <w:t>广东省企业投资项目备案证（2306-440106-04-01-315807）、（2407-440106-04-01-257915）、（2407-440106-04-01-144861）</w:t>
      </w:r>
      <w:r>
        <w:rPr>
          <w:rFonts w:hint="eastAsia" w:ascii="宋体" w:hAnsi="宋体"/>
          <w:color w:val="auto"/>
          <w:sz w:val="24"/>
          <w:highlight w:val="none"/>
        </w:rPr>
        <w:t>批准，并且技术资料满足施工需要，</w:t>
      </w:r>
      <w:r>
        <w:rPr>
          <w:rFonts w:hint="eastAsia" w:ascii="宋体" w:hAnsi="宋体" w:cs="宋体"/>
          <w:color w:val="auto"/>
          <w:sz w:val="24"/>
          <w:szCs w:val="24"/>
          <w:highlight w:val="none"/>
          <w:u w:val="single"/>
        </w:rPr>
        <w:t>广州市天河棠东经济发展有限公司、广州市天河区棠下街棠东股份合作经济联社</w:t>
      </w:r>
      <w:r>
        <w:rPr>
          <w:rFonts w:hint="eastAsia" w:ascii="宋体" w:hAnsi="宋体"/>
          <w:color w:val="auto"/>
          <w:sz w:val="24"/>
          <w:highlight w:val="none"/>
        </w:rPr>
        <w:t>现对</w:t>
      </w:r>
      <w:r>
        <w:rPr>
          <w:rFonts w:hint="eastAsia" w:ascii="宋体" w:hAnsi="宋体" w:cs="宋体"/>
          <w:bCs/>
          <w:color w:val="auto"/>
          <w:sz w:val="24"/>
          <w:szCs w:val="24"/>
          <w:highlight w:val="none"/>
          <w:u w:val="single"/>
        </w:rPr>
        <w:t>广州市天河区棠东广棠路2号、广园路以北以及棠东横岭地块开发建设综合商业项目</w:t>
      </w:r>
      <w:r>
        <w:rPr>
          <w:rFonts w:hint="eastAsia" w:ascii="宋体" w:hAnsi="宋体" w:cs="宋体"/>
          <w:bCs/>
          <w:color w:val="auto"/>
          <w:sz w:val="24"/>
          <w:szCs w:val="24"/>
          <w:highlight w:val="none"/>
          <w:u w:val="single"/>
          <w:lang w:eastAsia="zh-CN"/>
        </w:rPr>
        <w:t>施工总承包</w:t>
      </w:r>
      <w:r>
        <w:rPr>
          <w:rFonts w:hint="eastAsia" w:ascii="宋体" w:hAnsi="宋体" w:cs="宋体"/>
          <w:bCs/>
          <w:color w:val="auto"/>
          <w:sz w:val="24"/>
          <w:szCs w:val="24"/>
          <w:highlight w:val="none"/>
          <w:u w:val="single"/>
          <w:lang w:val="en-US" w:eastAsia="zh-CN"/>
        </w:rPr>
        <w:t xml:space="preserve"> </w:t>
      </w:r>
      <w:r>
        <w:rPr>
          <w:rFonts w:hint="eastAsia" w:ascii="宋体" w:hAnsi="宋体"/>
          <w:color w:val="auto"/>
          <w:sz w:val="24"/>
          <w:highlight w:val="none"/>
        </w:rPr>
        <w:t>进行公开招标，选定承包人。</w:t>
      </w:r>
    </w:p>
    <w:p w14:paraId="48295A17">
      <w:pPr>
        <w:tabs>
          <w:tab w:val="center" w:pos="4415"/>
        </w:tabs>
        <w:spacing w:line="360" w:lineRule="auto"/>
        <w:ind w:left="0" w:leftChars="0" w:firstLine="480" w:firstLineChars="200"/>
        <w:rPr>
          <w:rFonts w:hint="eastAsia" w:ascii="宋体" w:hAnsi="宋体" w:eastAsia="宋体" w:cs="宋体"/>
          <w:bCs/>
          <w:color w:val="auto"/>
          <w:sz w:val="24"/>
          <w:szCs w:val="24"/>
          <w:highlight w:val="none"/>
          <w:u w:val="single"/>
          <w:lang w:eastAsia="zh-CN"/>
        </w:rPr>
      </w:pPr>
      <w:r>
        <w:rPr>
          <w:rFonts w:hint="eastAsia" w:ascii="宋体" w:hAnsi="宋体"/>
          <w:color w:val="auto"/>
          <w:sz w:val="24"/>
          <w:highlight w:val="none"/>
        </w:rPr>
        <w:t>一、工程名称：</w:t>
      </w:r>
      <w:r>
        <w:rPr>
          <w:rFonts w:hint="eastAsia" w:ascii="宋体" w:hAnsi="宋体" w:cs="宋体"/>
          <w:bCs/>
          <w:color w:val="auto"/>
          <w:sz w:val="24"/>
          <w:szCs w:val="24"/>
          <w:highlight w:val="none"/>
          <w:u w:val="single"/>
        </w:rPr>
        <w:t>广州市天河区棠东广棠路2号、广园路以北以及棠东横岭地块开发建设综合商业项目</w:t>
      </w:r>
      <w:r>
        <w:rPr>
          <w:rFonts w:hint="eastAsia" w:ascii="宋体" w:hAnsi="宋体" w:cs="宋体"/>
          <w:bCs/>
          <w:color w:val="auto"/>
          <w:sz w:val="24"/>
          <w:szCs w:val="24"/>
          <w:highlight w:val="none"/>
          <w:u w:val="single"/>
          <w:lang w:eastAsia="zh-CN"/>
        </w:rPr>
        <w:t>施工总承包</w:t>
      </w:r>
    </w:p>
    <w:p w14:paraId="38CA8606">
      <w:pPr>
        <w:tabs>
          <w:tab w:val="center" w:pos="4415"/>
        </w:tabs>
        <w:spacing w:line="360" w:lineRule="auto"/>
        <w:ind w:firstLine="480" w:firstLineChars="200"/>
        <w:rPr>
          <w:rFonts w:hint="eastAsia" w:ascii="宋体" w:hAnsi="宋体" w:cs="宋体"/>
          <w:color w:val="auto"/>
          <w:sz w:val="24"/>
          <w:szCs w:val="24"/>
          <w:highlight w:val="none"/>
        </w:rPr>
      </w:pPr>
      <w:r>
        <w:rPr>
          <w:rFonts w:hint="eastAsia" w:ascii="宋体" w:hAnsi="宋体"/>
          <w:color w:val="auto"/>
          <w:sz w:val="24"/>
          <w:highlight w:val="none"/>
        </w:rPr>
        <w:t>二、</w:t>
      </w:r>
      <w:r>
        <w:rPr>
          <w:rFonts w:hint="eastAsia" w:ascii="宋体" w:hAnsi="宋体" w:cs="宋体"/>
          <w:color w:val="auto"/>
          <w:sz w:val="24"/>
          <w:szCs w:val="24"/>
          <w:highlight w:val="none"/>
        </w:rPr>
        <w:t>招标单位：广州市天河棠东经济发展有限公司、</w:t>
      </w:r>
      <w:r>
        <w:rPr>
          <w:rFonts w:hint="eastAsia" w:ascii="宋体" w:hAnsi="宋体" w:cs="宋体"/>
          <w:color w:val="auto"/>
          <w:sz w:val="24"/>
          <w:szCs w:val="24"/>
          <w:highlight w:val="none"/>
          <w:lang w:val="zh-CN"/>
        </w:rPr>
        <w:t>广州市天河区棠下街棠东股份合作经济联社</w:t>
      </w:r>
    </w:p>
    <w:p w14:paraId="0045068C">
      <w:pPr>
        <w:tabs>
          <w:tab w:val="center" w:pos="4415"/>
        </w:tabs>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李先生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020-85544836</w:t>
      </w:r>
    </w:p>
    <w:p w14:paraId="5D180F59">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联系地址：</w:t>
      </w:r>
      <w:r>
        <w:rPr>
          <w:rFonts w:hint="eastAsia" w:ascii="宋体" w:hAnsi="宋体" w:cs="宋体"/>
          <w:color w:val="auto"/>
          <w:sz w:val="24"/>
          <w:highlight w:val="none"/>
          <w:u w:val="single"/>
        </w:rPr>
        <w:t xml:space="preserve">广州市天河区中山大道831号 </w:t>
      </w:r>
    </w:p>
    <w:p w14:paraId="1F88D333">
      <w:pPr>
        <w:spacing w:line="360" w:lineRule="auto"/>
        <w:ind w:left="0" w:leftChars="0" w:firstLine="480" w:firstLineChars="200"/>
        <w:rPr>
          <w:rFonts w:hint="default" w:ascii="宋体" w:eastAsia="宋体"/>
          <w:color w:val="auto"/>
          <w:sz w:val="24"/>
          <w:highlight w:val="none"/>
          <w:u w:val="single"/>
          <w:lang w:val="en-US" w:eastAsia="zh-CN"/>
        </w:rPr>
      </w:pPr>
      <w:r>
        <w:rPr>
          <w:rFonts w:hint="eastAsia" w:ascii="宋体" w:hAnsi="宋体"/>
          <w:color w:val="auto"/>
          <w:sz w:val="24"/>
          <w:highlight w:val="none"/>
        </w:rPr>
        <w:t>招标代理机构：</w:t>
      </w:r>
      <w:r>
        <w:rPr>
          <w:rFonts w:hint="eastAsia" w:ascii="宋体" w:hAnsi="宋体" w:cs="宋体"/>
          <w:color w:val="auto"/>
          <w:sz w:val="24"/>
          <w:highlight w:val="none"/>
          <w:u w:val="single"/>
          <w:lang w:val="en-US" w:eastAsia="zh-CN"/>
        </w:rPr>
        <w:t>广东省城规建设监理有限公司</w:t>
      </w:r>
    </w:p>
    <w:p w14:paraId="44901E43">
      <w:pPr>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color w:val="auto"/>
          <w:sz w:val="24"/>
          <w:highlight w:val="none"/>
        </w:rPr>
        <w:t>联系人：</w:t>
      </w:r>
      <w:r>
        <w:rPr>
          <w:rFonts w:hint="eastAsia" w:ascii="宋体" w:hAnsi="宋体"/>
          <w:color w:val="auto"/>
          <w:sz w:val="24"/>
          <w:highlight w:val="none"/>
          <w:lang w:val="en-US" w:eastAsia="zh-CN"/>
        </w:rPr>
        <w:t xml:space="preserve">叶工  </w:t>
      </w:r>
      <w:r>
        <w:rPr>
          <w:rFonts w:ascii="宋体" w:hAnsi="宋体"/>
          <w:color w:val="auto"/>
          <w:sz w:val="24"/>
          <w:highlight w:val="none"/>
        </w:rPr>
        <w:t xml:space="preserve">      </w:t>
      </w:r>
      <w:r>
        <w:rPr>
          <w:rFonts w:hint="eastAsia" w:ascii="宋体" w:hAnsi="宋体"/>
          <w:color w:val="auto"/>
          <w:sz w:val="24"/>
          <w:highlight w:val="none"/>
        </w:rPr>
        <w:t>联系电话：</w:t>
      </w:r>
      <w:r>
        <w:rPr>
          <w:rFonts w:hint="eastAsia" w:ascii="宋体" w:hAnsi="宋体" w:cs="宋体"/>
          <w:color w:val="auto"/>
          <w:sz w:val="24"/>
          <w:highlight w:val="none"/>
          <w:u w:val="single"/>
          <w:lang w:val="en-US" w:eastAsia="zh-CN"/>
        </w:rPr>
        <w:t>020-83560819/13824451276</w:t>
      </w:r>
    </w:p>
    <w:p w14:paraId="4343F9D0">
      <w:pPr>
        <w:spacing w:line="360" w:lineRule="auto"/>
        <w:ind w:firstLine="480" w:firstLineChars="200"/>
        <w:rPr>
          <w:rFonts w:hint="default" w:eastAsia="宋体"/>
          <w:color w:val="auto"/>
          <w:highlight w:val="none"/>
          <w:lang w:val="en-US" w:eastAsia="zh-CN"/>
        </w:rPr>
      </w:pPr>
      <w:r>
        <w:rPr>
          <w:rFonts w:hint="eastAsia" w:ascii="宋体" w:hAnsi="宋体" w:cs="宋体"/>
          <w:color w:val="auto"/>
          <w:sz w:val="24"/>
          <w:szCs w:val="24"/>
          <w:highlight w:val="none"/>
        </w:rPr>
        <w:t>联系地址：</w:t>
      </w:r>
      <w:r>
        <w:rPr>
          <w:rFonts w:hint="eastAsia" w:ascii="宋体" w:hAnsi="宋体" w:cs="宋体"/>
          <w:color w:val="auto"/>
          <w:sz w:val="24"/>
          <w:highlight w:val="none"/>
          <w:u w:val="single"/>
          <w:lang w:val="en-US" w:eastAsia="zh-CN"/>
        </w:rPr>
        <w:t>广州市白云区启德路77号广州法务大厦北塔6楼</w:t>
      </w:r>
    </w:p>
    <w:p w14:paraId="0504D6A2">
      <w:pPr>
        <w:spacing w:line="360" w:lineRule="auto"/>
        <w:ind w:firstLine="480" w:firstLineChars="200"/>
        <w:rPr>
          <w:rFonts w:hint="eastAsia" w:ascii="宋体"/>
          <w:color w:val="auto"/>
          <w:sz w:val="24"/>
          <w:highlight w:val="none"/>
        </w:rPr>
      </w:pPr>
      <w:r>
        <w:rPr>
          <w:rFonts w:hint="eastAsia" w:ascii="宋体" w:hAnsi="宋体"/>
          <w:color w:val="auto"/>
          <w:sz w:val="24"/>
          <w:highlight w:val="none"/>
        </w:rPr>
        <w:t>招标监督机构：</w:t>
      </w:r>
      <w:r>
        <w:rPr>
          <w:rFonts w:hint="eastAsia" w:ascii="宋体" w:hAnsi="宋体"/>
          <w:color w:val="auto"/>
          <w:sz w:val="24"/>
          <w:highlight w:val="none"/>
          <w:u w:val="single"/>
        </w:rPr>
        <w:t>广州市天河区东圃棠东经济发展总公司</w:t>
      </w:r>
    </w:p>
    <w:p w14:paraId="7339A8EF">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苏先生</w:t>
      </w:r>
      <w:r>
        <w:rPr>
          <w:rFonts w:hint="eastAsia" w:ascii="宋体" w:hAnsi="宋体" w:cs="宋体"/>
          <w:color w:val="auto"/>
          <w:sz w:val="24"/>
          <w:szCs w:val="24"/>
          <w:highlight w:val="none"/>
        </w:rPr>
        <w:t xml:space="preserve">    </w:t>
      </w:r>
      <w:r>
        <w:rPr>
          <w:rFonts w:hint="eastAsia" w:ascii="宋体" w:hAnsi="宋体"/>
          <w:color w:val="auto"/>
          <w:sz w:val="24"/>
          <w:highlight w:val="none"/>
        </w:rPr>
        <w:t>监督电话：</w:t>
      </w:r>
      <w:r>
        <w:rPr>
          <w:rFonts w:hint="eastAsia" w:ascii="宋体" w:hAnsi="宋体"/>
          <w:color w:val="auto"/>
          <w:sz w:val="24"/>
          <w:highlight w:val="none"/>
          <w:u w:val="single"/>
        </w:rPr>
        <w:t>020-85550282</w:t>
      </w:r>
    </w:p>
    <w:p w14:paraId="2CF70D7E">
      <w:pPr>
        <w:spacing w:line="360" w:lineRule="auto"/>
        <w:ind w:firstLine="480" w:firstLineChars="200"/>
        <w:rPr>
          <w:rFonts w:ascii="宋体" w:hAnsi="宋体"/>
          <w:color w:val="auto"/>
          <w:sz w:val="24"/>
          <w:highlight w:val="none"/>
        </w:rPr>
      </w:pPr>
      <w:r>
        <w:rPr>
          <w:rFonts w:ascii="宋体" w:hAnsi="宋体"/>
          <w:color w:val="auto"/>
          <w:sz w:val="24"/>
          <w:highlight w:val="none"/>
        </w:rPr>
        <w:t>联系地址：</w:t>
      </w:r>
      <w:r>
        <w:rPr>
          <w:rFonts w:hint="eastAsia" w:ascii="宋体" w:hAnsi="宋体"/>
          <w:color w:val="auto"/>
          <w:sz w:val="24"/>
          <w:highlight w:val="none"/>
          <w:u w:val="single"/>
        </w:rPr>
        <w:t>广州市天河区中山大道831号</w:t>
      </w:r>
    </w:p>
    <w:p w14:paraId="4C48E1DC">
      <w:pPr>
        <w:spacing w:line="360" w:lineRule="auto"/>
        <w:ind w:firstLine="480" w:firstLineChars="200"/>
        <w:rPr>
          <w:rFonts w:ascii="宋体" w:hAnsi="宋体" w:cs="宋体"/>
          <w:bCs/>
          <w:color w:val="auto"/>
          <w:sz w:val="24"/>
          <w:highlight w:val="none"/>
          <w:u w:val="single"/>
        </w:rPr>
      </w:pPr>
      <w:r>
        <w:rPr>
          <w:rFonts w:hint="eastAsia" w:ascii="宋体" w:hAnsi="宋体"/>
          <w:color w:val="auto"/>
          <w:sz w:val="24"/>
          <w:highlight w:val="none"/>
        </w:rPr>
        <w:t>三、建设</w:t>
      </w:r>
      <w:r>
        <w:rPr>
          <w:rFonts w:hint="eastAsia" w:ascii="宋体" w:hAnsi="宋体" w:eastAsia="宋体" w:cs="Times New Roman"/>
          <w:color w:val="auto"/>
          <w:sz w:val="24"/>
          <w:highlight w:val="none"/>
        </w:rPr>
        <w:t>地点：</w:t>
      </w:r>
      <w:r>
        <w:rPr>
          <w:rFonts w:hint="eastAsia" w:ascii="宋体" w:hAnsi="宋体" w:eastAsia="宋体" w:cs="Times New Roman"/>
          <w:color w:val="auto"/>
          <w:sz w:val="24"/>
          <w:highlight w:val="none"/>
          <w:lang w:val="en-US" w:eastAsia="zh-CN"/>
        </w:rPr>
        <w:t>广州市</w:t>
      </w:r>
      <w:r>
        <w:rPr>
          <w:rFonts w:hint="eastAsia" w:ascii="宋体" w:hAnsi="宋体" w:eastAsia="宋体" w:cs="Times New Roman"/>
          <w:color w:val="auto"/>
          <w:sz w:val="24"/>
          <w:highlight w:val="none"/>
        </w:rPr>
        <w:t>天河智谷片区，广园快速路北侧，北邻天坤二路，南邻车陂西路</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场</w:t>
      </w:r>
      <w:r>
        <w:rPr>
          <w:rFonts w:hint="eastAsia" w:ascii="宋体" w:hAnsi="宋体" w:eastAsia="宋体" w:cs="Times New Roman"/>
          <w:color w:val="auto"/>
          <w:sz w:val="24"/>
          <w:highlight w:val="none"/>
        </w:rPr>
        <w:t>地东侧靠近建明五路及广氮花园住宅小区</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南邻车陂西路及广园快速路</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西邻棠东广棠路</w:t>
      </w:r>
      <w:r>
        <w:rPr>
          <w:rFonts w:hint="eastAsia"/>
          <w:snapToGrid w:val="0"/>
          <w:color w:val="auto"/>
          <w:kern w:val="0"/>
          <w:sz w:val="28"/>
          <w:szCs w:val="28"/>
          <w:highlight w:val="none"/>
          <w:lang w:eastAsia="zh-CN"/>
        </w:rPr>
        <w:t>。</w:t>
      </w:r>
    </w:p>
    <w:p w14:paraId="2E6467C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四、项目概况：</w:t>
      </w:r>
      <w:r>
        <w:rPr>
          <w:rFonts w:hint="eastAsia" w:ascii="宋体" w:hAnsi="宋体" w:eastAsia="宋体" w:cs="Times New Roman"/>
          <w:color w:val="auto"/>
          <w:sz w:val="24"/>
          <w:szCs w:val="24"/>
          <w:highlight w:val="none"/>
          <w:u w:val="single"/>
          <w:lang w:val="en-US" w:eastAsia="zh-CN"/>
        </w:rPr>
        <w:t>项目建设用地</w:t>
      </w:r>
      <w:r>
        <w:rPr>
          <w:rFonts w:hint="default" w:ascii="宋体" w:hAnsi="宋体" w:eastAsia="宋体" w:cs="Times New Roman"/>
          <w:color w:val="auto"/>
          <w:sz w:val="24"/>
          <w:szCs w:val="24"/>
          <w:highlight w:val="none"/>
          <w:u w:val="single"/>
          <w:lang w:val="en-US" w:eastAsia="zh-CN"/>
        </w:rPr>
        <w:t>总面积</w:t>
      </w:r>
      <w:r>
        <w:rPr>
          <w:rFonts w:hint="eastAsia" w:ascii="宋体" w:hAnsi="宋体" w:eastAsia="宋体" w:cs="Times New Roman"/>
          <w:color w:val="auto"/>
          <w:sz w:val="24"/>
          <w:szCs w:val="24"/>
          <w:highlight w:val="none"/>
          <w:u w:val="single"/>
          <w:lang w:val="en-US" w:eastAsia="zh-CN"/>
        </w:rPr>
        <w:t>为49251</w:t>
      </w:r>
      <w:r>
        <w:rPr>
          <w:rFonts w:hint="default"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lang w:val="en-US" w:eastAsia="zh-CN"/>
        </w:rPr>
        <w:t>，规划</w:t>
      </w:r>
      <w:r>
        <w:rPr>
          <w:rFonts w:hint="default" w:ascii="宋体" w:hAnsi="宋体" w:eastAsia="宋体" w:cs="Times New Roman"/>
          <w:color w:val="auto"/>
          <w:sz w:val="24"/>
          <w:szCs w:val="24"/>
          <w:highlight w:val="none"/>
          <w:u w:val="single"/>
          <w:lang w:val="en-US" w:eastAsia="zh-CN"/>
        </w:rPr>
        <w:t>总建筑面积</w:t>
      </w:r>
      <w:r>
        <w:rPr>
          <w:rFonts w:hint="eastAsia" w:ascii="宋体" w:hAnsi="宋体" w:eastAsia="宋体" w:cs="Times New Roman"/>
          <w:color w:val="auto"/>
          <w:sz w:val="24"/>
          <w:szCs w:val="24"/>
          <w:highlight w:val="none"/>
          <w:u w:val="single"/>
          <w:lang w:val="en-US" w:eastAsia="zh-CN"/>
        </w:rPr>
        <w:t>约234356.58</w:t>
      </w:r>
      <w:r>
        <w:rPr>
          <w:rFonts w:hint="default"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lang w:val="en-US" w:eastAsia="zh-CN"/>
        </w:rPr>
        <w:t>，其中地上约176700.6㎡，地下约57655.98㎡。工程估算总投资金额：154,498.86万元。</w:t>
      </w:r>
    </w:p>
    <w:p w14:paraId="4F75F46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五、标段划分及各标段招标内容、规模和最高投标限价：</w:t>
      </w:r>
    </w:p>
    <w:p w14:paraId="1CC2D51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1、本工程划分为</w:t>
      </w:r>
      <w:r>
        <w:rPr>
          <w:rFonts w:hint="eastAsia" w:ascii="宋体" w:hAnsi="宋体"/>
          <w:color w:val="auto"/>
          <w:sz w:val="24"/>
          <w:szCs w:val="24"/>
          <w:highlight w:val="none"/>
          <w:u w:val="single"/>
        </w:rPr>
        <w:t>1</w:t>
      </w:r>
      <w:r>
        <w:rPr>
          <w:rFonts w:hint="eastAsia" w:ascii="宋体" w:hAnsi="宋体"/>
          <w:color w:val="auto"/>
          <w:sz w:val="24"/>
          <w:szCs w:val="24"/>
          <w:highlight w:val="none"/>
        </w:rPr>
        <w:t>个标段。</w:t>
      </w:r>
    </w:p>
    <w:p w14:paraId="45AE2F3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2、招标内容、规模：</w:t>
      </w:r>
    </w:p>
    <w:p w14:paraId="2D2A714B">
      <w:pPr>
        <w:pStyle w:val="11"/>
        <w:snapToGrid/>
        <w:spacing w:line="360" w:lineRule="auto"/>
        <w:ind w:firstLine="480" w:firstLineChars="200"/>
        <w:rPr>
          <w:rFonts w:hint="eastAsia"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u w:val="single"/>
          <w:lang w:val="en-US" w:eastAsia="zh-CN"/>
        </w:rPr>
        <w:t>项目建设用地</w:t>
      </w:r>
      <w:r>
        <w:rPr>
          <w:rFonts w:hint="default" w:ascii="宋体" w:hAnsi="宋体" w:eastAsia="宋体" w:cs="Times New Roman"/>
          <w:color w:val="auto"/>
          <w:sz w:val="24"/>
          <w:szCs w:val="24"/>
          <w:highlight w:val="none"/>
          <w:u w:val="single"/>
          <w:lang w:val="en-US" w:eastAsia="zh-CN"/>
        </w:rPr>
        <w:t>总面积</w:t>
      </w:r>
      <w:r>
        <w:rPr>
          <w:rFonts w:hint="eastAsia" w:ascii="宋体" w:hAnsi="宋体" w:eastAsia="宋体" w:cs="Times New Roman"/>
          <w:color w:val="auto"/>
          <w:sz w:val="24"/>
          <w:szCs w:val="24"/>
          <w:highlight w:val="none"/>
          <w:u w:val="single"/>
          <w:lang w:val="en-US" w:eastAsia="zh-CN"/>
        </w:rPr>
        <w:t>为49251</w:t>
      </w:r>
      <w:r>
        <w:rPr>
          <w:rFonts w:hint="default"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lang w:val="en-US" w:eastAsia="zh-CN"/>
        </w:rPr>
        <w:t>，规划</w:t>
      </w:r>
      <w:r>
        <w:rPr>
          <w:rFonts w:hint="default" w:ascii="宋体" w:hAnsi="宋体" w:eastAsia="宋体" w:cs="Times New Roman"/>
          <w:color w:val="auto"/>
          <w:sz w:val="24"/>
          <w:szCs w:val="24"/>
          <w:highlight w:val="none"/>
          <w:u w:val="single"/>
          <w:lang w:val="en-US" w:eastAsia="zh-CN"/>
        </w:rPr>
        <w:t>总建筑面积</w:t>
      </w:r>
      <w:r>
        <w:rPr>
          <w:rFonts w:hint="eastAsia" w:ascii="宋体" w:hAnsi="宋体" w:eastAsia="宋体" w:cs="Times New Roman"/>
          <w:color w:val="auto"/>
          <w:sz w:val="24"/>
          <w:szCs w:val="24"/>
          <w:highlight w:val="none"/>
          <w:u w:val="single"/>
          <w:lang w:val="en-US" w:eastAsia="zh-CN"/>
        </w:rPr>
        <w:t>约234356.58</w:t>
      </w:r>
      <w:r>
        <w:rPr>
          <w:rFonts w:hint="default"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lang w:val="en-US" w:eastAsia="zh-CN"/>
        </w:rPr>
        <w:t>，其中地上约176700.6㎡，地下约57655.98㎡，</w:t>
      </w:r>
      <w:r>
        <w:rPr>
          <w:rFonts w:hint="eastAsia" w:ascii="宋体" w:hAnsi="宋体" w:cs="Times New Roman"/>
          <w:color w:val="auto"/>
          <w:sz w:val="24"/>
          <w:szCs w:val="24"/>
          <w:highlight w:val="none"/>
          <w:u w:val="single"/>
          <w:lang w:val="en-US" w:eastAsia="zh-CN"/>
        </w:rPr>
        <w:t>建</w:t>
      </w:r>
      <w:r>
        <w:rPr>
          <w:rFonts w:hint="eastAsia" w:ascii="宋体" w:hAnsi="宋体" w:eastAsia="宋体" w:cs="Times New Roman"/>
          <w:color w:val="auto"/>
          <w:sz w:val="24"/>
          <w:szCs w:val="24"/>
          <w:highlight w:val="none"/>
          <w:u w:val="single"/>
          <w:lang w:val="en-US" w:eastAsia="zh-CN"/>
        </w:rPr>
        <w:t>筑限高＜80m其中：</w:t>
      </w:r>
    </w:p>
    <w:p w14:paraId="28954F31">
      <w:pPr>
        <w:pStyle w:val="11"/>
        <w:snapToGrid/>
        <w:spacing w:line="360" w:lineRule="auto"/>
        <w:ind w:firstLine="480" w:firstLineChars="200"/>
        <w:rPr>
          <w:rFonts w:hint="default"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u w:val="single"/>
          <w:lang w:val="en-US" w:eastAsia="zh-CN"/>
        </w:rPr>
        <w:t>(1)3号地块：基底面积为10600.54</w:t>
      </w:r>
      <w:r>
        <w:rPr>
          <w:rFonts w:hint="default"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lang w:val="en-US" w:eastAsia="zh-CN"/>
        </w:rPr>
        <w:t>，净用地面积约19638</w:t>
      </w:r>
      <w:r>
        <w:rPr>
          <w:rFonts w:hint="default"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lang w:val="en-US" w:eastAsia="zh-CN"/>
        </w:rPr>
        <w:t>，地上建筑面积约83461.5</w:t>
      </w:r>
      <w:r>
        <w:rPr>
          <w:rFonts w:hint="default"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lang w:val="en-US" w:eastAsia="zh-CN"/>
        </w:rPr>
        <w:t>，地下建筑面积约27670.18</w:t>
      </w:r>
      <w:r>
        <w:rPr>
          <w:rFonts w:hint="default"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lang w:val="en-US" w:eastAsia="zh-CN"/>
        </w:rPr>
        <w:t>，绿地率为≥20%，建筑密度53.98%；</w:t>
      </w:r>
    </w:p>
    <w:p w14:paraId="7018BD82">
      <w:pPr>
        <w:pStyle w:val="11"/>
        <w:snapToGrid/>
        <w:spacing w:line="360" w:lineRule="auto"/>
        <w:ind w:firstLine="480" w:firstLineChars="200"/>
        <w:rPr>
          <w:rFonts w:hint="eastAsia"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u w:val="single"/>
          <w:lang w:val="en-US" w:eastAsia="zh-CN"/>
        </w:rPr>
        <w:t>(2)4号地块：基底面积为2931.55</w:t>
      </w:r>
      <w:r>
        <w:rPr>
          <w:rFonts w:hint="default"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lang w:val="en-US" w:eastAsia="zh-CN"/>
        </w:rPr>
        <w:t>，净用地面积约6788</w:t>
      </w:r>
      <w:r>
        <w:rPr>
          <w:rFonts w:hint="default"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lang w:val="en-US" w:eastAsia="zh-CN"/>
        </w:rPr>
        <w:t>，地上建筑面积约22780.5</w:t>
      </w:r>
      <w:r>
        <w:rPr>
          <w:rFonts w:hint="default"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lang w:val="en-US" w:eastAsia="zh-CN"/>
        </w:rPr>
        <w:t>，地下建筑面积约10933.1</w:t>
      </w:r>
      <w:r>
        <w:rPr>
          <w:rFonts w:hint="default"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lang w:val="en-US" w:eastAsia="zh-CN"/>
        </w:rPr>
        <w:t>，绿地率为≥20%，建筑密度43.19%；</w:t>
      </w:r>
    </w:p>
    <w:p w14:paraId="426E849B">
      <w:pPr>
        <w:pStyle w:val="11"/>
        <w:snapToGrid/>
        <w:spacing w:line="360" w:lineRule="auto"/>
        <w:ind w:firstLine="480" w:firstLineChars="200"/>
        <w:rPr>
          <w:rFonts w:hint="eastAsia"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u w:val="single"/>
          <w:lang w:val="en-US" w:eastAsia="zh-CN"/>
        </w:rPr>
        <w:t>(3)5号地块：基底面积为8293.63</w:t>
      </w:r>
      <w:r>
        <w:rPr>
          <w:rFonts w:hint="default"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lang w:val="en-US" w:eastAsia="zh-CN"/>
        </w:rPr>
        <w:t>，净用地面积约15389</w:t>
      </w:r>
      <w:r>
        <w:rPr>
          <w:rFonts w:hint="default"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lang w:val="en-US" w:eastAsia="zh-CN"/>
        </w:rPr>
        <w:t>，地上建筑面积约51645.5</w:t>
      </w:r>
      <w:r>
        <w:rPr>
          <w:rFonts w:hint="default"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lang w:val="en-US" w:eastAsia="zh-CN"/>
        </w:rPr>
        <w:t>，地下建筑面积约13245.75</w:t>
      </w:r>
      <w:r>
        <w:rPr>
          <w:rFonts w:hint="default"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lang w:val="en-US" w:eastAsia="zh-CN"/>
        </w:rPr>
        <w:t>，绿地率为≥20%，建筑密度53.89%；</w:t>
      </w:r>
    </w:p>
    <w:p w14:paraId="31673497">
      <w:pPr>
        <w:pStyle w:val="11"/>
        <w:snapToGrid/>
        <w:spacing w:line="360" w:lineRule="auto"/>
        <w:ind w:firstLine="480" w:firstLineChars="200"/>
        <w:rPr>
          <w:rFonts w:hint="eastAsia"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u w:val="single"/>
          <w:lang w:val="en-US" w:eastAsia="zh-CN"/>
        </w:rPr>
        <w:t>(4)6号地块：基底面积为3838.29</w:t>
      </w:r>
      <w:r>
        <w:rPr>
          <w:rFonts w:hint="default"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lang w:val="en-US" w:eastAsia="zh-CN"/>
        </w:rPr>
        <w:t>，净用地面积约7436</w:t>
      </w:r>
      <w:r>
        <w:rPr>
          <w:rFonts w:hint="default"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lang w:val="en-US" w:eastAsia="zh-CN"/>
        </w:rPr>
        <w:t>，地上建筑面积约18813.1</w:t>
      </w:r>
      <w:r>
        <w:rPr>
          <w:rFonts w:hint="default"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lang w:val="en-US" w:eastAsia="zh-CN"/>
        </w:rPr>
        <w:t>，地下建筑面积约5806.95</w:t>
      </w:r>
      <w:r>
        <w:rPr>
          <w:rFonts w:hint="default"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lang w:val="en-US" w:eastAsia="zh-CN"/>
        </w:rPr>
        <w:t>，绿地率为≥20%，建筑密度51.62%；</w:t>
      </w:r>
    </w:p>
    <w:p w14:paraId="1982B44E">
      <w:pPr>
        <w:pStyle w:val="11"/>
        <w:snapToGrid/>
        <w:spacing w:line="360" w:lineRule="auto"/>
        <w:ind w:firstLine="480" w:firstLineChars="200"/>
        <w:rPr>
          <w:rFonts w:hint="eastAsia"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u w:val="single"/>
          <w:lang w:val="en-US" w:eastAsia="zh-CN"/>
        </w:rPr>
        <w:t>(5)绿地面积按净用地面积的20%计算为9850.2</w:t>
      </w:r>
      <w:r>
        <w:rPr>
          <w:rFonts w:hint="default"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lang w:val="en-US" w:eastAsia="zh-CN"/>
        </w:rPr>
        <w:t>；</w:t>
      </w:r>
    </w:p>
    <w:p w14:paraId="4CAC133A">
      <w:pPr>
        <w:pStyle w:val="11"/>
        <w:snapToGrid/>
        <w:spacing w:line="360" w:lineRule="auto"/>
        <w:ind w:firstLine="480" w:firstLineChars="200"/>
        <w:rPr>
          <w:rFonts w:hint="eastAsia" w:ascii="宋体" w:hAnsi="宋体" w:eastAsia="宋体" w:cs="Times New Roman"/>
          <w:color w:val="auto"/>
          <w:sz w:val="24"/>
          <w:szCs w:val="24"/>
          <w:highlight w:val="none"/>
          <w:u w:val="single"/>
          <w:lang w:val="en-US" w:eastAsia="zh-CN"/>
        </w:rPr>
      </w:pPr>
      <w:r>
        <w:rPr>
          <w:rFonts w:hint="eastAsia" w:ascii="宋体" w:hAnsi="宋体" w:eastAsia="宋体" w:cs="Times New Roman"/>
          <w:color w:val="auto"/>
          <w:sz w:val="24"/>
          <w:szCs w:val="24"/>
          <w:highlight w:val="none"/>
          <w:u w:val="single"/>
          <w:lang w:val="en-US" w:eastAsia="zh-CN"/>
        </w:rPr>
        <w:t>(6)道路面积按净用地面积、基底面积及绿地面积相减计算为13737</w:t>
      </w:r>
      <w:r>
        <w:rPr>
          <w:rFonts w:hint="default" w:ascii="宋体" w:hAnsi="宋体" w:eastAsia="宋体" w:cs="Times New Roman"/>
          <w:color w:val="auto"/>
          <w:sz w:val="24"/>
          <w:szCs w:val="24"/>
          <w:highlight w:val="none"/>
          <w:u w:val="single"/>
          <w:lang w:val="en-US" w:eastAsia="zh-CN"/>
        </w:rPr>
        <w:t>㎡</w:t>
      </w:r>
      <w:r>
        <w:rPr>
          <w:rFonts w:hint="eastAsia" w:ascii="宋体" w:hAnsi="宋体" w:eastAsia="宋体" w:cs="Times New Roman"/>
          <w:color w:val="auto"/>
          <w:sz w:val="24"/>
          <w:szCs w:val="24"/>
          <w:highlight w:val="none"/>
          <w:u w:val="single"/>
          <w:lang w:val="en-US" w:eastAsia="zh-CN"/>
        </w:rPr>
        <w:t>。</w:t>
      </w:r>
    </w:p>
    <w:p w14:paraId="32FDE010">
      <w:pPr>
        <w:pStyle w:val="11"/>
        <w:snapToGrid/>
        <w:spacing w:line="360" w:lineRule="auto"/>
        <w:ind w:firstLine="480" w:firstLineChars="200"/>
        <w:rPr>
          <w:rFonts w:hint="eastAsia" w:ascii="宋体" w:hAnsi="宋体" w:cs="宋体"/>
          <w:color w:val="auto"/>
          <w:sz w:val="24"/>
          <w:highlight w:val="none"/>
          <w:u w:val="single"/>
        </w:rPr>
      </w:pPr>
      <w:r>
        <w:rPr>
          <w:rFonts w:hint="eastAsia" w:ascii="宋体" w:hAnsi="宋体"/>
          <w:color w:val="auto"/>
          <w:sz w:val="24"/>
          <w:szCs w:val="24"/>
          <w:highlight w:val="none"/>
          <w:u w:val="single"/>
          <w:lang w:val="en-US" w:eastAsia="zh-CN"/>
        </w:rPr>
        <w:t>具体内容以招标人提供的有关资料为准。</w:t>
      </w:r>
    </w:p>
    <w:p w14:paraId="2CBB827D">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工程承包范围：</w:t>
      </w:r>
      <w:r>
        <w:rPr>
          <w:rFonts w:hint="eastAsia" w:ascii="宋体" w:hAnsi="宋体" w:eastAsia="宋体" w:cs="Times New Roman"/>
          <w:color w:val="auto"/>
          <w:sz w:val="24"/>
          <w:szCs w:val="24"/>
          <w:highlight w:val="none"/>
          <w:u w:val="single"/>
          <w:lang w:val="en-US" w:eastAsia="zh"/>
        </w:rPr>
        <w:t>地下室侧壁及地下室顶板土方回填、承台土及垫层底往上 30cm 土方开挖及外运、地基基础工程、主体结构工程、二次结构及砌筑工程、钢结构制作及安装工程、防雷工程、外墙饰面工程、所有门窗工程、幕墙工程施工（包含施工图深化设计）、屋面工程、人防工程、防水工程、室内外装修工程、室外工程、标识工程、污水处理工程、园林景观工程（含海绵城市施工）、地坪漆、车位划线、交通标志标识等；人防土建、设备安装工程（平时）、电梯工程（含深化设计）、给排水工程（含自来水检测）、电气工程、消防工程、空调工程、智能化工程、柴油发电机组及环保工程施工验收（含深化设计）、永久用水工程、泛光照明工程、燃气工程、驻地网工程、信号覆盖工程等</w:t>
      </w:r>
      <w:r>
        <w:rPr>
          <w:rFonts w:hint="eastAsia" w:ascii="宋体" w:hAnsi="宋体"/>
          <w:color w:val="auto"/>
          <w:sz w:val="24"/>
          <w:szCs w:val="24"/>
          <w:highlight w:val="none"/>
          <w:u w:val="single"/>
          <w:lang w:val="en-US" w:eastAsia="zh-CN"/>
        </w:rPr>
        <w:t>。按发包人提供的招标文件、招标答疑文件，完成本工程的全部施工任务及其他相关工作。具体内容以招标人提供的有关资料为准。</w:t>
      </w:r>
    </w:p>
    <w:p w14:paraId="653F709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3、最高投标限价：</w:t>
      </w:r>
      <w:r>
        <w:rPr>
          <w:rFonts w:hint="eastAsia" w:ascii="宋体" w:hAnsi="宋体"/>
          <w:color w:val="auto"/>
          <w:sz w:val="24"/>
          <w:szCs w:val="24"/>
          <w:highlight w:val="none"/>
          <w:u w:val="single"/>
        </w:rPr>
        <w:t>人民币</w:t>
      </w:r>
      <w:r>
        <w:rPr>
          <w:rFonts w:hint="eastAsia" w:ascii="宋体" w:hAnsi="宋体"/>
          <w:color w:val="auto"/>
          <w:sz w:val="24"/>
          <w:szCs w:val="24"/>
          <w:highlight w:val="none"/>
          <w:u w:val="single"/>
          <w:lang w:val="en-US" w:eastAsia="zh-CN"/>
        </w:rPr>
        <w:t>119,230.36万</w:t>
      </w:r>
      <w:r>
        <w:rPr>
          <w:rFonts w:hint="eastAsia" w:ascii="宋体" w:hAnsi="宋体"/>
          <w:color w:val="auto"/>
          <w:sz w:val="24"/>
          <w:szCs w:val="24"/>
          <w:highlight w:val="none"/>
          <w:u w:val="single"/>
        </w:rPr>
        <w:t>元。</w:t>
      </w:r>
    </w:p>
    <w:p w14:paraId="29F9FCA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六、资金来源：</w:t>
      </w:r>
      <w:r>
        <w:rPr>
          <w:rFonts w:hint="eastAsia" w:ascii="宋体" w:hAnsi="宋体"/>
          <w:color w:val="auto"/>
          <w:sz w:val="24"/>
          <w:highlight w:val="none"/>
          <w:u w:val="single"/>
        </w:rPr>
        <w:t>自筹资金</w:t>
      </w:r>
    </w:p>
    <w:p w14:paraId="22CC864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七、公告发布日期、递交投标文件时间与开标时间：</w:t>
      </w:r>
    </w:p>
    <w:p w14:paraId="100459BD">
      <w:pPr>
        <w:snapToGrid/>
        <w:spacing w:line="360" w:lineRule="auto"/>
        <w:ind w:left="0" w:leftChars="0" w:firstLine="480" w:firstLineChars="200"/>
        <w:rPr>
          <w:rFonts w:ascii="宋体" w:hAnsi="宋体"/>
          <w:color w:val="auto"/>
          <w:sz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日至</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6B48D3F">
      <w:pPr>
        <w:shd w:val="clear"/>
        <w:snapToGrid/>
        <w:spacing w:line="360" w:lineRule="auto"/>
        <w:ind w:left="0" w:firstLine="480" w:firstLineChars="200"/>
        <w:rPr>
          <w:rFonts w:ascii="宋体" w:cs="宋体"/>
          <w:color w:val="auto"/>
          <w:kern w:val="0"/>
          <w:sz w:val="24"/>
          <w:szCs w:val="24"/>
          <w:highlight w:val="none"/>
        </w:rPr>
      </w:pPr>
      <w:r>
        <w:rPr>
          <w:rFonts w:hint="eastAsia" w:ascii="宋体" w:hAnsi="宋体"/>
          <w:color w:val="auto"/>
          <w:sz w:val="24"/>
          <w:highlight w:val="none"/>
        </w:rPr>
        <w:t>凡有意参加投标者，请登录</w:t>
      </w:r>
      <w:r>
        <w:rPr>
          <w:rFonts w:ascii="宋体" w:hAnsi="宋体"/>
          <w:bCs/>
          <w:color w:val="auto"/>
          <w:kern w:val="0"/>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14:paraId="0407C9C9">
      <w:pPr>
        <w:widowControl/>
        <w:shd w:val="clear" w:color="auto" w:fill="auto"/>
        <w:snapToGrid/>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注：发布招标公告的时间为招标公告发出之日起至投标截止时间止。</w:t>
      </w:r>
    </w:p>
    <w:p w14:paraId="236C1694">
      <w:pPr>
        <w:widowControl/>
        <w:shd w:val="clear" w:color="auto" w:fill="auto"/>
        <w:snapToGrid/>
        <w:spacing w:line="360" w:lineRule="auto"/>
        <w:ind w:left="0" w:leftChars="0"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14:paraId="71136126">
      <w:pPr>
        <w:widowControl/>
        <w:shd w:val="clear" w:color="auto" w:fill="auto"/>
        <w:snapToGrid/>
        <w:spacing w:line="360" w:lineRule="auto"/>
        <w:ind w:left="0" w:leftChars="0"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14:paraId="60752980">
      <w:pPr>
        <w:widowControl/>
        <w:shd w:val="clear" w:color="auto" w:fill="auto"/>
        <w:snapToGrid/>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14:paraId="74AE951B">
      <w:pPr>
        <w:widowControl/>
        <w:shd w:val="clear" w:color="auto" w:fill="auto"/>
        <w:snapToGrid/>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14:paraId="3EC301FB">
      <w:pPr>
        <w:snapToGrid/>
        <w:spacing w:line="360" w:lineRule="auto"/>
        <w:ind w:firstLine="480" w:firstLineChars="200"/>
        <w:rPr>
          <w:rFonts w:hint="eastAsia" w:ascii="宋体" w:hAnsi="宋体"/>
          <w:bCs/>
          <w:color w:val="auto"/>
          <w:kern w:val="0"/>
          <w:sz w:val="24"/>
          <w:szCs w:val="24"/>
          <w:highlight w:val="none"/>
          <w:u w:val="single"/>
        </w:rPr>
      </w:pPr>
      <w:r>
        <w:rPr>
          <w:rFonts w:hint="eastAsia" w:ascii="宋体" w:hAnsi="宋体" w:cs="宋体"/>
          <w:color w:val="auto"/>
          <w:sz w:val="24"/>
          <w:szCs w:val="24"/>
          <w:highlight w:val="none"/>
        </w:rPr>
        <w:t>5．</w:t>
      </w:r>
      <w:r>
        <w:rPr>
          <w:rFonts w:hint="eastAsia" w:ascii="宋体" w:hAnsi="宋体"/>
          <w:bCs/>
          <w:color w:val="auto"/>
          <w:sz w:val="24"/>
          <w:highlight w:val="none"/>
        </w:rPr>
        <w:t>投标人通过</w:t>
      </w:r>
      <w:r>
        <w:rPr>
          <w:rFonts w:ascii="宋体" w:hAnsi="宋体"/>
          <w:bCs/>
          <w:color w:val="auto"/>
          <w:kern w:val="0"/>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ascii="宋体" w:hAnsi="宋体"/>
          <w:bCs/>
          <w:color w:val="auto"/>
          <w:kern w:val="0"/>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ascii="宋体" w:hAnsi="宋体"/>
          <w:bCs/>
          <w:color w:val="auto"/>
          <w:kern w:val="0"/>
          <w:sz w:val="24"/>
          <w:szCs w:val="24"/>
          <w:highlight w:val="none"/>
          <w:u w:val="single"/>
        </w:rPr>
        <w:t>广州交易集团有限公司（广州公共资源交易中心）</w:t>
      </w:r>
      <w:r>
        <w:rPr>
          <w:rFonts w:hint="eastAsia" w:ascii="宋体" w:hAnsi="宋体"/>
          <w:bCs/>
          <w:color w:val="auto"/>
          <w:kern w:val="0"/>
          <w:sz w:val="24"/>
          <w:szCs w:val="24"/>
          <w:highlight w:val="none"/>
          <w:u w:val="single"/>
        </w:rPr>
        <w:t>网站。</w:t>
      </w:r>
    </w:p>
    <w:p w14:paraId="5EE13332">
      <w:pPr>
        <w:snapToGrid/>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6、在投标登记时，投标人应按要求在</w:t>
      </w:r>
      <w:r>
        <w:rPr>
          <w:rFonts w:hint="eastAsia" w:ascii="宋体" w:hAnsi="宋体" w:cs="仿宋_GB2312"/>
          <w:color w:val="auto"/>
          <w:sz w:val="24"/>
          <w:szCs w:val="24"/>
          <w:highlight w:val="none"/>
          <w:u w:val="single"/>
        </w:rPr>
        <w:t>广州交易集团有限公司（广州公共资源交易中心）</w:t>
      </w:r>
      <w:r>
        <w:rPr>
          <w:rFonts w:hint="eastAsia" w:ascii="宋体" w:hAnsi="宋体" w:cs="仿宋_GB2312"/>
          <w:color w:val="auto"/>
          <w:sz w:val="24"/>
          <w:szCs w:val="24"/>
          <w:highlight w:val="none"/>
        </w:rPr>
        <w:t>交易系统中填写《施工项目管理团队人员信息表》（详见附件二），表中的项目管理团队人员信息作为投标文件的一部分，将由</w:t>
      </w:r>
      <w:r>
        <w:rPr>
          <w:rFonts w:hint="eastAsia" w:ascii="宋体" w:hAnsi="宋体" w:cs="仿宋_GB2312"/>
          <w:color w:val="auto"/>
          <w:sz w:val="24"/>
          <w:szCs w:val="24"/>
          <w:highlight w:val="none"/>
          <w:u w:val="single"/>
        </w:rPr>
        <w:t>广州交易集团有限公司（广州公共资源交易中心）</w:t>
      </w:r>
      <w:r>
        <w:rPr>
          <w:rFonts w:hint="eastAsia" w:ascii="宋体" w:hAnsi="宋体" w:cs="仿宋_GB2312"/>
          <w:color w:val="auto"/>
          <w:sz w:val="24"/>
          <w:szCs w:val="24"/>
          <w:highlight w:val="none"/>
        </w:rPr>
        <w:t xml:space="preserve">交易系统提取后供各相关单位在中标人履约时进行比对、查核。 </w:t>
      </w:r>
    </w:p>
    <w:p w14:paraId="76FFEE74">
      <w:pPr>
        <w:widowControl/>
        <w:shd w:val="clear" w:color="auto" w:fill="auto"/>
        <w:snapToGrid/>
        <w:spacing w:line="36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14:paraId="4AD3A486">
      <w:pPr>
        <w:widowControl/>
        <w:shd w:val="clear" w:color="auto" w:fill="auto"/>
        <w:snapToGrid/>
        <w:spacing w:line="36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bCs/>
          <w:color w:val="auto"/>
          <w:kern w:val="0"/>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ascii="宋体" w:hAnsi="宋体"/>
          <w:bCs/>
          <w:color w:val="auto"/>
          <w:kern w:val="0"/>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bCs/>
          <w:color w:val="auto"/>
          <w:kern w:val="0"/>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14:paraId="0D550552">
      <w:pPr>
        <w:spacing w:line="360" w:lineRule="auto"/>
        <w:ind w:firstLine="480" w:firstLineChars="200"/>
        <w:rPr>
          <w:rFonts w:ascii="宋体"/>
          <w:color w:val="auto"/>
          <w:sz w:val="24"/>
          <w:highlight w:val="none"/>
        </w:rPr>
      </w:pPr>
      <w:r>
        <w:rPr>
          <w:rFonts w:hint="eastAsia" w:ascii="宋体" w:hAnsi="宋体"/>
          <w:color w:val="auto"/>
          <w:sz w:val="24"/>
          <w:highlight w:val="none"/>
        </w:rPr>
        <w:t>九、投标人合格条件：</w:t>
      </w:r>
    </w:p>
    <w:p w14:paraId="238D2067">
      <w:pPr>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14:paraId="6B58DBB8">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．投标人均具有独立法人资格，按国家法律经营。</w:t>
      </w:r>
    </w:p>
    <w:p w14:paraId="630CB80C">
      <w:pPr>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．投标人均持有建设行政主管部门颁发的有效期</w:t>
      </w:r>
      <w:r>
        <w:rPr>
          <w:rFonts w:ascii="宋体" w:hAnsi="宋体"/>
          <w:color w:val="auto"/>
          <w:sz w:val="24"/>
          <w:highlight w:val="none"/>
        </w:rPr>
        <w:t>内</w:t>
      </w:r>
      <w:r>
        <w:rPr>
          <w:rFonts w:hint="eastAsia" w:ascii="宋体" w:hAnsi="宋体"/>
          <w:color w:val="auto"/>
          <w:sz w:val="24"/>
          <w:highlight w:val="none"/>
        </w:rPr>
        <w:t>的企业资质证书及安全生产许可证。</w:t>
      </w:r>
    </w:p>
    <w:p w14:paraId="2DC3AF88">
      <w:pPr>
        <w:pStyle w:val="26"/>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．投标人具备以下资质：</w:t>
      </w:r>
    </w:p>
    <w:p w14:paraId="68351EF8">
      <w:pPr>
        <w:pStyle w:val="26"/>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投标人具有承接本工程所需的</w:t>
      </w:r>
      <w:r>
        <w:rPr>
          <w:rFonts w:hint="eastAsia" w:ascii="宋体" w:hAnsi="宋体" w:eastAsia="宋体"/>
          <w:color w:val="auto"/>
          <w:sz w:val="24"/>
          <w:szCs w:val="24"/>
          <w:highlight w:val="none"/>
          <w:u w:val="single"/>
        </w:rPr>
        <w:t>建筑工程施工总承包</w:t>
      </w:r>
      <w:r>
        <w:rPr>
          <w:rFonts w:hint="eastAsia" w:ascii="宋体" w:hAnsi="宋体" w:eastAsia="宋体"/>
          <w:color w:val="auto"/>
          <w:sz w:val="24"/>
          <w:szCs w:val="24"/>
          <w:highlight w:val="none"/>
          <w:u w:val="single"/>
          <w:lang w:val="en-US" w:eastAsia="zh-CN"/>
        </w:rPr>
        <w:t>贰</w:t>
      </w:r>
      <w:r>
        <w:rPr>
          <w:rFonts w:hint="eastAsia" w:ascii="宋体" w:hAnsi="宋体" w:eastAsia="宋体"/>
          <w:color w:val="auto"/>
          <w:sz w:val="24"/>
          <w:szCs w:val="24"/>
          <w:highlight w:val="none"/>
          <w:u w:val="single"/>
        </w:rPr>
        <w:t>级或以上资质。</w:t>
      </w:r>
    </w:p>
    <w:p w14:paraId="5DAA24EB">
      <w:pPr>
        <w:pStyle w:val="26"/>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投标人拟担任本工程项目负责人的人员为：</w:t>
      </w:r>
      <w:r>
        <w:rPr>
          <w:rFonts w:hint="eastAsia" w:ascii="宋体" w:hAnsi="宋体" w:eastAsia="宋体" w:cs="宋体"/>
          <w:color w:val="auto"/>
          <w:sz w:val="24"/>
          <w:szCs w:val="24"/>
          <w:highlight w:val="none"/>
          <w:u w:val="single"/>
        </w:rPr>
        <w:t>建筑工程</w:t>
      </w:r>
      <w:r>
        <w:rPr>
          <w:rFonts w:hint="eastAsia" w:ascii="宋体" w:hAnsi="宋体" w:eastAsia="宋体"/>
          <w:color w:val="auto"/>
          <w:sz w:val="24"/>
          <w:szCs w:val="24"/>
          <w:highlight w:val="none"/>
        </w:rPr>
        <w:t>专业</w:t>
      </w:r>
      <w:r>
        <w:rPr>
          <w:rFonts w:hint="eastAsia" w:ascii="宋体" w:hAnsi="宋体" w:eastAsia="宋体"/>
          <w:color w:val="auto"/>
          <w:sz w:val="24"/>
          <w:szCs w:val="24"/>
          <w:highlight w:val="none"/>
          <w:u w:val="single"/>
          <w:lang w:val="en-US" w:eastAsia="zh-CN"/>
        </w:rPr>
        <w:t>壹</w:t>
      </w:r>
      <w:r>
        <w:rPr>
          <w:rFonts w:hint="eastAsia" w:ascii="宋体" w:hAnsi="宋体" w:eastAsia="宋体"/>
          <w:color w:val="auto"/>
          <w:sz w:val="24"/>
          <w:szCs w:val="24"/>
          <w:highlight w:val="none"/>
          <w:u w:val="single"/>
        </w:rPr>
        <w:t>级</w:t>
      </w:r>
      <w:r>
        <w:rPr>
          <w:rFonts w:hint="eastAsia" w:ascii="宋体" w:hAnsi="宋体" w:eastAsia="宋体"/>
          <w:color w:val="auto"/>
          <w:sz w:val="24"/>
          <w:szCs w:val="24"/>
          <w:highlight w:val="none"/>
        </w:rPr>
        <w:t>的注册建造师。</w:t>
      </w:r>
    </w:p>
    <w:p w14:paraId="45CCAE2D">
      <w:pPr>
        <w:shd w:val="clear" w:color="auto" w:fill="auto"/>
        <w:snapToGrid/>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09989CF5">
      <w:pPr>
        <w:shd w:val="clear" w:color="auto" w:fill="auto"/>
        <w:snapToGrid/>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1D36C431">
      <w:pPr>
        <w:shd w:val="clear" w:color="auto" w:fill="auto"/>
        <w:snapToGrid/>
        <w:spacing w:line="360" w:lineRule="auto"/>
        <w:ind w:firstLine="480" w:firstLineChars="200"/>
        <w:jc w:val="left"/>
        <w:rPr>
          <w:rFonts w:hint="eastAsia" w:ascii="宋体" w:hAnsi="宋体"/>
          <w:strike/>
          <w:color w:val="auto"/>
          <w:kern w:val="0"/>
          <w:sz w:val="24"/>
          <w:highlight w:val="none"/>
        </w:rPr>
      </w:pPr>
      <w:r>
        <w:rPr>
          <w:rFonts w:hint="eastAsia" w:ascii="宋体" w:hAnsi="宋体"/>
          <w:color w:val="auto"/>
          <w:kern w:val="0"/>
          <w:sz w:val="24"/>
          <w:highlight w:val="none"/>
        </w:rPr>
        <w:t>②根据《住房和城乡建设部办公厅关于全面实行一级建造师电子注册证书的通知》（建办市〔2021〕40号），自2022年1月1日起，一级建造师统一使用电子证书，纸质证书作废。</w:t>
      </w:r>
    </w:p>
    <w:p w14:paraId="773FA7CE">
      <w:pPr>
        <w:shd w:val="clear" w:color="auto" w:fill="auto"/>
        <w:snapToGrid/>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47CF6830">
      <w:pPr>
        <w:shd w:val="clear" w:color="auto" w:fill="auto"/>
        <w:snapToGrid/>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③项目负责人在任职期间不得担任专职安全员，项目专职安全员在任职期间也不得担任项目负责人，项目负责人和专职安全员不为同一人。</w:t>
      </w:r>
    </w:p>
    <w:p w14:paraId="15C8F29E">
      <w:pPr>
        <w:pStyle w:val="26"/>
        <w:numPr>
          <w:ilvl w:val="0"/>
          <w:numId w:val="1"/>
        </w:numPr>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项目负责人持有在有效期内的安全生产考核合格证（B类）或建筑施工企业项目负责人安全生产考核合格证书。</w:t>
      </w:r>
    </w:p>
    <w:p w14:paraId="5094D3F3">
      <w:pPr>
        <w:pStyle w:val="2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注：项目负责人按广氮土地储备项目征地返还村留用地（广棠路2号)【3号地块】、广氮土地储备项目征地返还村留用地（棠东横岭）【6号地块】、广氮AT0606047地块</w:t>
      </w:r>
      <w:r>
        <w:rPr>
          <w:rFonts w:hint="eastAsia" w:ascii="宋体" w:hAnsi="宋体" w:eastAsia="宋体"/>
          <w:color w:val="auto"/>
          <w:sz w:val="24"/>
          <w:szCs w:val="24"/>
          <w:highlight w:val="none"/>
          <w:lang w:val="en-US" w:eastAsia="zh-CN"/>
        </w:rPr>
        <w:t>和</w:t>
      </w:r>
      <w:r>
        <w:rPr>
          <w:rFonts w:hint="eastAsia" w:ascii="宋体" w:hAnsi="宋体" w:eastAsia="宋体"/>
          <w:color w:val="auto"/>
          <w:sz w:val="24"/>
          <w:szCs w:val="24"/>
          <w:highlight w:val="none"/>
        </w:rPr>
        <w:t>AT0607109地块【4号5号地块】三个项目分别填报，均需满足本公告第九条投标人合格条件第4点、第5点要求。</w:t>
      </w:r>
    </w:p>
    <w:p w14:paraId="36F4C4FF">
      <w:pPr>
        <w:pStyle w:val="26"/>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6．投标人拟担任本工程技术负责人的资格要求为：</w:t>
      </w:r>
      <w:r>
        <w:rPr>
          <w:rFonts w:hint="eastAsia" w:ascii="宋体" w:hAnsi="宋体" w:eastAsia="宋体"/>
          <w:color w:val="auto"/>
          <w:sz w:val="24"/>
          <w:szCs w:val="24"/>
          <w:highlight w:val="none"/>
          <w:u w:val="single"/>
        </w:rPr>
        <w:t>建筑工程相关专业高级（或以上）技术职称。</w:t>
      </w:r>
    </w:p>
    <w:p w14:paraId="6120E17F">
      <w:pPr>
        <w:spacing w:line="360" w:lineRule="auto"/>
        <w:ind w:firstLine="480" w:firstLineChars="200"/>
        <w:rPr>
          <w:rFonts w:hint="eastAsia" w:ascii="宋体" w:hAnsi="宋体"/>
          <w:color w:val="auto"/>
          <w:sz w:val="24"/>
          <w:szCs w:val="24"/>
          <w:highlight w:val="none"/>
        </w:rPr>
      </w:pPr>
      <w:r>
        <w:rPr>
          <w:rFonts w:hint="eastAsia" w:ascii="宋体" w:hAnsi="宋体"/>
          <w:color w:val="auto"/>
          <w:kern w:val="0"/>
          <w:sz w:val="24"/>
          <w:highlight w:val="none"/>
        </w:rPr>
        <w:t>7．专职安全员须具有在有效期内的安全生产考核合格证（C类）或建筑施工企业专职安全生产管理人员安全生产考核合格证书（C3）</w:t>
      </w:r>
      <w:r>
        <w:rPr>
          <w:rFonts w:hint="eastAsia" w:ascii="宋体" w:hAnsi="宋体"/>
          <w:color w:val="auto"/>
          <w:sz w:val="24"/>
          <w:szCs w:val="24"/>
          <w:highlight w:val="none"/>
        </w:rPr>
        <w:t>。</w:t>
      </w:r>
    </w:p>
    <w:p w14:paraId="06CF9FFF">
      <w:pPr>
        <w:spacing w:line="360" w:lineRule="auto"/>
        <w:ind w:firstLine="480" w:firstLineChars="200"/>
        <w:rPr>
          <w:rFonts w:hint="eastAsia" w:ascii="宋体" w:hAnsi="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kern w:val="0"/>
          <w:sz w:val="24"/>
          <w:highlight w:val="none"/>
        </w:rPr>
        <w:t>专职安全员</w:t>
      </w:r>
      <w:r>
        <w:rPr>
          <w:rFonts w:hint="eastAsia" w:ascii="宋体" w:hAnsi="宋体"/>
          <w:color w:val="auto"/>
          <w:sz w:val="24"/>
          <w:szCs w:val="24"/>
          <w:highlight w:val="none"/>
        </w:rPr>
        <w:t>按广氮土地储备项目征地返还村留用地（广棠路2号)【3号地块】、广氮土地储备项目征地返还村留用地（棠东横岭）【6号地块】、广氮AT0606047地块</w:t>
      </w:r>
      <w:r>
        <w:rPr>
          <w:rFonts w:hint="eastAsia" w:ascii="宋体" w:hAnsi="宋体"/>
          <w:color w:val="auto"/>
          <w:sz w:val="24"/>
          <w:szCs w:val="24"/>
          <w:highlight w:val="none"/>
          <w:lang w:val="en-US" w:eastAsia="zh-CN"/>
        </w:rPr>
        <w:t>和</w:t>
      </w:r>
      <w:r>
        <w:rPr>
          <w:rFonts w:hint="eastAsia" w:ascii="宋体" w:hAnsi="宋体"/>
          <w:color w:val="auto"/>
          <w:sz w:val="24"/>
          <w:szCs w:val="24"/>
          <w:highlight w:val="none"/>
        </w:rPr>
        <w:t>AT0607109地块【4号5号地块】三个项目分别填报，均</w:t>
      </w:r>
      <w:r>
        <w:rPr>
          <w:rFonts w:hint="eastAsia" w:ascii="宋体" w:cs="宋体"/>
          <w:color w:val="auto"/>
          <w:sz w:val="24"/>
          <w:highlight w:val="none"/>
        </w:rPr>
        <w:t>需满足上述要求</w:t>
      </w:r>
      <w:r>
        <w:rPr>
          <w:rFonts w:hint="eastAsia" w:ascii="宋体" w:hAnsi="宋体"/>
          <w:color w:val="auto"/>
          <w:sz w:val="24"/>
          <w:szCs w:val="24"/>
          <w:highlight w:val="none"/>
        </w:rPr>
        <w:t>。</w:t>
      </w:r>
    </w:p>
    <w:p w14:paraId="4388D269">
      <w:pPr>
        <w:spacing w:line="360" w:lineRule="auto"/>
        <w:ind w:firstLine="480" w:firstLineChars="200"/>
        <w:rPr>
          <w:rFonts w:ascii="宋体"/>
          <w:color w:val="auto"/>
          <w:sz w:val="24"/>
          <w:highlight w:val="none"/>
        </w:rPr>
      </w:pPr>
      <w:r>
        <w:rPr>
          <w:rFonts w:hint="eastAsia" w:ascii="宋体" w:hAnsi="宋体"/>
          <w:color w:val="auto"/>
          <w:sz w:val="24"/>
          <w:highlight w:val="none"/>
        </w:rPr>
        <w:t>8</w:t>
      </w:r>
      <w:r>
        <w:rPr>
          <w:rFonts w:hint="eastAsia" w:ascii="宋体" w:hAnsi="宋体"/>
          <w:color w:val="auto"/>
          <w:kern w:val="0"/>
          <w:sz w:val="24"/>
          <w:highlight w:val="none"/>
        </w:rPr>
        <w:t>．</w:t>
      </w:r>
      <w:r>
        <w:rPr>
          <w:rFonts w:hint="eastAsia" w:ascii="宋体" w:hAnsi="宋体"/>
          <w:color w:val="auto"/>
          <w:sz w:val="24"/>
          <w:highlight w:val="none"/>
        </w:rPr>
        <w:t>投标人已按照附件一的内容签署盖章的投标人声明。</w:t>
      </w:r>
    </w:p>
    <w:p w14:paraId="5814B6F2">
      <w:pPr>
        <w:spacing w:line="360" w:lineRule="auto"/>
        <w:ind w:firstLine="480" w:firstLineChars="200"/>
        <w:rPr>
          <w:rFonts w:hint="eastAsia" w:ascii="宋体"/>
          <w:color w:val="auto"/>
          <w:sz w:val="24"/>
          <w:szCs w:val="24"/>
          <w:highlight w:val="none"/>
        </w:rPr>
      </w:pPr>
      <w:r>
        <w:rPr>
          <w:rFonts w:hint="eastAsia" w:ascii="宋体" w:hAnsi="宋体"/>
          <w:color w:val="auto"/>
          <w:sz w:val="24"/>
          <w:highlight w:val="none"/>
        </w:rPr>
        <w:t>9．关于联合体投标：</w:t>
      </w:r>
      <w:r>
        <w:rPr>
          <w:rFonts w:hint="eastAsia" w:ascii="宋体" w:hAnsi="宋体" w:cs="宋体"/>
          <w:color w:val="auto"/>
          <w:kern w:val="0"/>
          <w:sz w:val="24"/>
          <w:szCs w:val="24"/>
          <w:highlight w:val="none"/>
          <w:u w:val="single"/>
        </w:rPr>
        <w:t>本项目不接受联合体投标</w:t>
      </w:r>
      <w:r>
        <w:rPr>
          <w:rFonts w:hint="eastAsia" w:ascii="宋体" w:hAnsi="宋体"/>
          <w:color w:val="auto"/>
          <w:sz w:val="24"/>
          <w:szCs w:val="24"/>
          <w:highlight w:val="none"/>
        </w:rPr>
        <w:t>。</w:t>
      </w:r>
    </w:p>
    <w:p w14:paraId="15981C1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10．资格审查前，</w:t>
      </w:r>
      <w:r>
        <w:rPr>
          <w:rFonts w:hint="eastAsia" w:ascii="宋体" w:hAnsi="宋体"/>
          <w:color w:val="auto"/>
          <w:sz w:val="24"/>
          <w:szCs w:val="24"/>
          <w:highlight w:val="none"/>
        </w:rPr>
        <w:t>投标人须在广州市住房和城乡建设局建立企业信用档案及拟担任本工程项目负责人、专职安全员须是本企业信用档案中的在册人员。企业信用档案取自投标截止时间投标人在信用管理平台内的信息，</w:t>
      </w:r>
      <w:r>
        <w:rPr>
          <w:rFonts w:hint="eastAsia" w:ascii="宋体" w:hAnsi="宋体"/>
          <w:color w:val="auto"/>
          <w:sz w:val="24"/>
          <w:highlight w:val="none"/>
        </w:rPr>
        <w:t>投标人</w:t>
      </w:r>
      <w:r>
        <w:rPr>
          <w:rFonts w:hint="eastAsia" w:ascii="宋体" w:hAnsi="宋体"/>
          <w:color w:val="auto"/>
          <w:sz w:val="24"/>
          <w:szCs w:val="24"/>
          <w:highlight w:val="none"/>
        </w:rPr>
        <w:t>无需提交相关资料，若招标人延长递交投标文件截止时间的，信用档案信息的评审时点也相应延长。</w:t>
      </w:r>
      <w:r>
        <w:rPr>
          <w:rFonts w:hint="eastAsia" w:ascii="宋体" w:hAnsi="宋体" w:cs="宋体"/>
          <w:color w:val="auto"/>
          <w:sz w:val="24"/>
          <w:highlight w:val="none"/>
        </w:rPr>
        <w:t>（信用档案办理详见《广州市住建行业信用管理平台施工企业信息录入指引》http://zfcj.gz.gov.cn/zwgk/zsdwxxgkzl/gzsjzyglfwzx/bszy/content/post_8484886.html）</w:t>
      </w:r>
      <w:r>
        <w:rPr>
          <w:rFonts w:hint="eastAsia" w:ascii="宋体" w:hAnsi="宋体"/>
          <w:color w:val="auto"/>
          <w:sz w:val="24"/>
          <w:highlight w:val="none"/>
        </w:rPr>
        <w:t>。</w:t>
      </w:r>
    </w:p>
    <w:p w14:paraId="1D3296D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highlight w:val="none"/>
        </w:rPr>
        <w:t>11</w:t>
      </w:r>
      <w:r>
        <w:rPr>
          <w:rFonts w:hint="eastAsia" w:ascii="宋体" w:hAnsi="宋体"/>
          <w:color w:val="auto"/>
          <w:kern w:val="0"/>
          <w:sz w:val="24"/>
          <w:highlight w:val="none"/>
        </w:rPr>
        <w:t>．</w:t>
      </w:r>
      <w:r>
        <w:rPr>
          <w:rFonts w:hint="eastAsia" w:ascii="宋体" w:hAnsi="宋体"/>
          <w:color w:val="auto"/>
          <w:sz w:val="24"/>
          <w:szCs w:val="24"/>
          <w:highlight w:val="none"/>
        </w:rPr>
        <w:t>投标人未出现以下情形：与其它投标人的单位负责人为同一人或者存在控股、管理关系的（按投标人提供的《投标人声明》第</w:t>
      </w:r>
      <w:r>
        <w:rPr>
          <w:rFonts w:hint="eastAsia" w:ascii="宋体" w:hAnsi="宋体"/>
          <w:color w:val="auto"/>
          <w:sz w:val="24"/>
          <w:szCs w:val="24"/>
          <w:highlight w:val="none"/>
          <w:lang w:val="en-US" w:eastAsia="zh-CN"/>
        </w:rPr>
        <w:t>九</w:t>
      </w:r>
      <w:r>
        <w:rPr>
          <w:rFonts w:hint="eastAsia" w:ascii="宋体" w:hAnsi="宋体"/>
          <w:color w:val="auto"/>
          <w:sz w:val="24"/>
          <w:szCs w:val="24"/>
          <w:highlight w:val="none"/>
        </w:rPr>
        <w:t>条内容进行评审）。如不同投标申请人出现单位负责人为同一人或者存在控股、管理关系的情形，则</w:t>
      </w:r>
      <w:r>
        <w:rPr>
          <w:rFonts w:hint="eastAsia" w:ascii="宋体" w:hAnsi="宋体"/>
          <w:color w:val="auto"/>
          <w:sz w:val="24"/>
          <w:szCs w:val="24"/>
          <w:highlight w:val="none"/>
          <w:u w:val="single"/>
        </w:rPr>
        <w:t>相关投标均无效</w:t>
      </w:r>
      <w:r>
        <w:rPr>
          <w:rFonts w:hint="eastAsia" w:ascii="宋体" w:hAnsi="宋体"/>
          <w:color w:val="auto"/>
          <w:sz w:val="24"/>
          <w:szCs w:val="24"/>
          <w:highlight w:val="none"/>
        </w:rPr>
        <w:t>。</w:t>
      </w:r>
    </w:p>
    <w:p w14:paraId="78992B1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w:t>
      </w:r>
      <w:r>
        <w:rPr>
          <w:rFonts w:hint="eastAsia" w:ascii="宋体" w:hAnsi="宋体"/>
          <w:color w:val="auto"/>
          <w:kern w:val="0"/>
          <w:sz w:val="24"/>
          <w:highlight w:val="none"/>
        </w:rPr>
        <w:t>．</w:t>
      </w:r>
      <w:r>
        <w:rPr>
          <w:rFonts w:hint="eastAsia" w:ascii="宋体" w:hAnsi="宋体" w:cs="宋体"/>
          <w:color w:val="auto"/>
          <w:sz w:val="24"/>
          <w:szCs w:val="24"/>
          <w:highlight w:val="none"/>
        </w:rPr>
        <w:t>投标人</w:t>
      </w:r>
      <w:r>
        <w:rPr>
          <w:rFonts w:hint="eastAsia" w:ascii="宋体" w:hAnsi="宋体"/>
          <w:color w:val="auto"/>
          <w:sz w:val="24"/>
          <w:szCs w:val="24"/>
          <w:highlight w:val="none"/>
        </w:rPr>
        <w:t>未被列入拖欠农民工工资失信联合惩戒对象名单（投标人无需提供资料，按</w:t>
      </w:r>
      <w:r>
        <w:rPr>
          <w:rFonts w:hint="eastAsia" w:ascii="宋体" w:hAnsi="宋体"/>
          <w:color w:val="auto"/>
          <w:sz w:val="24"/>
          <w:szCs w:val="24"/>
          <w:highlight w:val="none"/>
          <w:lang w:eastAsia="zh-CN"/>
        </w:rPr>
        <w:t>投标截止时间广州交易集团有限公司（广州公共资源交易中心）</w:t>
      </w:r>
      <w:r>
        <w:rPr>
          <w:rFonts w:hint="eastAsia" w:ascii="宋体" w:hAnsi="宋体"/>
          <w:color w:val="auto"/>
          <w:sz w:val="24"/>
          <w:szCs w:val="24"/>
          <w:highlight w:val="none"/>
        </w:rPr>
        <w:t>交易系统比对的结果进行评审）。</w:t>
      </w:r>
    </w:p>
    <w:p w14:paraId="75444BE7">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注：</w:t>
      </w:r>
      <w:r>
        <w:rPr>
          <w:rFonts w:hint="eastAsia" w:ascii="宋体" w:hAnsi="宋体"/>
          <w:color w:val="auto"/>
          <w:sz w:val="24"/>
          <w:highlight w:val="none"/>
        </w:rPr>
        <w:t>未在招标公告第九条单列的资审合格条件，不作为资审不合格的依据。</w:t>
      </w:r>
    </w:p>
    <w:p w14:paraId="009F5F39">
      <w:pPr>
        <w:snapToGrid/>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十、资格审查方式：</w:t>
      </w:r>
    </w:p>
    <w:p w14:paraId="7F1DE354">
      <w:pPr>
        <w:widowControl/>
        <w:snapToGrid/>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14:paraId="79FE25F3">
      <w:pPr>
        <w:snapToGrid/>
        <w:spacing w:line="360" w:lineRule="auto"/>
        <w:ind w:firstLine="480" w:firstLineChars="200"/>
        <w:rPr>
          <w:rFonts w:hint="eastAsia" w:ascii="宋体" w:hAnsi="宋体"/>
          <w:bCs/>
          <w:color w:val="auto"/>
          <w:sz w:val="24"/>
          <w:highlight w:val="none"/>
        </w:rPr>
      </w:pPr>
      <w:r>
        <w:rPr>
          <w:rFonts w:hint="eastAsia" w:ascii="宋体" w:hAnsi="宋体"/>
          <w:color w:val="auto"/>
          <w:sz w:val="24"/>
          <w:highlight w:val="none"/>
        </w:rPr>
        <w:t>十一、资格审查结果将在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14:paraId="3CA092C2">
      <w:pPr>
        <w:snapToGri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十二、满足资格审查合格条件的投标人不足3名或通过有效性审查的投标人不足3名时为招标失败。招标人分析招标失败原因，修正招标方案，报有关管理部门核准后，重新组织招标。</w:t>
      </w:r>
    </w:p>
    <w:p w14:paraId="5B46494E">
      <w:pPr>
        <w:snapToGri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9719E4D">
      <w:pPr>
        <w:snapToGri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26D4B22D">
      <w:pPr>
        <w:snapToGri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十五、潜在投标人或利害关系人对本招标公告及招标文件有异议的，应当在投标截止时间10日前向招标人书面提出。</w:t>
      </w:r>
    </w:p>
    <w:p w14:paraId="70E24A13">
      <w:pPr>
        <w:tabs>
          <w:tab w:val="center" w:pos="4415"/>
        </w:tabs>
        <w:spacing w:line="360" w:lineRule="auto"/>
        <w:ind w:firstLine="1015" w:firstLineChars="423"/>
        <w:rPr>
          <w:rFonts w:hint="eastAsia" w:ascii="宋体" w:hAnsi="宋体" w:cs="宋体"/>
          <w:color w:val="auto"/>
          <w:sz w:val="24"/>
          <w:szCs w:val="24"/>
          <w:highlight w:val="none"/>
        </w:rPr>
      </w:pPr>
      <w:r>
        <w:rPr>
          <w:rFonts w:hint="eastAsia" w:ascii="宋体" w:hAnsi="宋体"/>
          <w:color w:val="auto"/>
          <w:sz w:val="24"/>
          <w:highlight w:val="none"/>
        </w:rPr>
        <w:t>异议受理部门：</w:t>
      </w:r>
      <w:r>
        <w:rPr>
          <w:rFonts w:hint="eastAsia" w:ascii="宋体" w:hAnsi="宋体" w:cs="宋体"/>
          <w:color w:val="auto"/>
          <w:sz w:val="24"/>
          <w:szCs w:val="24"/>
          <w:highlight w:val="none"/>
        </w:rPr>
        <w:t>广州市天河棠东经济发展有限公司</w:t>
      </w:r>
    </w:p>
    <w:p w14:paraId="42F5CC79">
      <w:pPr>
        <w:tabs>
          <w:tab w:val="center" w:pos="4415"/>
        </w:tabs>
        <w:spacing w:line="360" w:lineRule="auto"/>
        <w:ind w:firstLine="2692" w:firstLineChars="1122"/>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广州市天河区棠下街棠东股份合作经济联社</w:t>
      </w:r>
    </w:p>
    <w:p w14:paraId="6C992B8E">
      <w:pPr>
        <w:tabs>
          <w:tab w:val="center" w:pos="4415"/>
        </w:tabs>
        <w:spacing w:line="360" w:lineRule="auto"/>
        <w:ind w:firstLine="1015" w:firstLineChars="423"/>
        <w:rPr>
          <w:rFonts w:hint="eastAsia" w:ascii="宋体" w:hAnsi="宋体" w:cs="宋体"/>
          <w:color w:val="auto"/>
          <w:sz w:val="24"/>
          <w:highlight w:val="none"/>
          <w:u w:val="singl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李先生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020-85544836</w:t>
      </w:r>
    </w:p>
    <w:p w14:paraId="18F4CAAA">
      <w:pPr>
        <w:spacing w:line="360" w:lineRule="auto"/>
        <w:ind w:firstLine="1017" w:firstLineChars="424"/>
        <w:rPr>
          <w:rFonts w:hint="eastAsia" w:ascii="宋体" w:hAnsi="宋体"/>
          <w:color w:val="auto"/>
          <w:sz w:val="24"/>
          <w:highlight w:val="none"/>
          <w:u w:val="single"/>
        </w:rPr>
      </w:pPr>
      <w:r>
        <w:rPr>
          <w:rFonts w:hint="eastAsia" w:ascii="宋体" w:hAnsi="宋体" w:cs="宋体"/>
          <w:color w:val="auto"/>
          <w:sz w:val="24"/>
          <w:highlight w:val="none"/>
        </w:rPr>
        <w:t>联系地址：</w:t>
      </w:r>
      <w:r>
        <w:rPr>
          <w:rFonts w:hint="eastAsia" w:ascii="宋体" w:hAnsi="宋体" w:cs="宋体"/>
          <w:color w:val="auto"/>
          <w:sz w:val="24"/>
          <w:highlight w:val="none"/>
          <w:u w:val="single"/>
        </w:rPr>
        <w:t xml:space="preserve">广州市天河区中山大道831号 </w:t>
      </w:r>
    </w:p>
    <w:p w14:paraId="07DC018C">
      <w:pPr>
        <w:snapToGri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98EA43B">
      <w:pPr>
        <w:snapToGri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十六、本公告在广州交易集团有限公司（广州公共资源交易中心）网站（网址：http://www.gzggzy.cn）、广东省招标投标监管网（网址：http://zbtb.gd.gov.cn）、中国招标投标公共服务平台（网址：http://www.cebpubservice.com）发布，本公告的修改、补充，在广州交易集团有限公司（广州公共资源交易中心）网站发布。</w:t>
      </w:r>
    </w:p>
    <w:p w14:paraId="43BBF832">
      <w:pPr>
        <w:snapToGri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14:paraId="27C40B57">
      <w:pPr>
        <w:snapToGri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十八、招标公告网上发布时，同时发布招标文件、最高投标限价。招标公告发布之日起计算编制投标文件时间，编制投标文件的时间不得少于20天。</w:t>
      </w:r>
    </w:p>
    <w:p w14:paraId="3EA4B4E9">
      <w:pPr>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rPr>
        <w:t>十九、 《投诉处理决定书》和《行政处理决定书》在广州市住房和城乡建设局网站上公布的，视为送达其他与决定书有关的当事人。</w:t>
      </w:r>
    </w:p>
    <w:p w14:paraId="7521A386">
      <w:pPr>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rPr>
        <w:t>特别提示：投标人在本项目招标人的工程项目中存在下列行为的，将被拒绝一年内参与招标人后续工程投标。（注：拒绝投标时限由招标人视严重程度确定，最低三个月起，自招标人发出通知之日起计）：</w:t>
      </w:r>
    </w:p>
    <w:p w14:paraId="1FE0E656">
      <w:pPr>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rPr>
        <w:t>1.将中标工程转包或者违法分包的;</w:t>
      </w:r>
    </w:p>
    <w:p w14:paraId="22179BB2">
      <w:pPr>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rPr>
        <w:t>2.在中标工程中不执行质量、安全生产相关规定的，造成质量或安全事故的；</w:t>
      </w:r>
    </w:p>
    <w:p w14:paraId="744433D9">
      <w:pPr>
        <w:snapToGri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3.出让投标资格的；</w:t>
      </w:r>
    </w:p>
    <w:p w14:paraId="2BD08A93">
      <w:pPr>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存在围标或串标情形的;</w:t>
      </w:r>
    </w:p>
    <w:p w14:paraId="3745ABD4">
      <w:pPr>
        <w:snapToGri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.在投标文件中提供虚假材料的;</w:t>
      </w:r>
    </w:p>
    <w:p w14:paraId="066CAC91">
      <w:pPr>
        <w:snapToGri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.存在少放、不放业绩、奖项等客观评审资料，减少自身竞争力情形的；</w:t>
      </w:r>
    </w:p>
    <w:p w14:paraId="55F13C71">
      <w:pPr>
        <w:snapToGri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存在行贿情形的;</w:t>
      </w:r>
    </w:p>
    <w:p w14:paraId="57B2B7F4">
      <w:pPr>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.拖欠农民工工资的；</w:t>
      </w:r>
    </w:p>
    <w:p w14:paraId="24A35065">
      <w:pPr>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.未按照国家、省、市有关建筑施工实名制管理和工人工资支付分账管理的规定执行，被行政监管部门处罚的；</w:t>
      </w:r>
    </w:p>
    <w:p w14:paraId="2F848CC1">
      <w:pPr>
        <w:snapToGrid/>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10</w:t>
      </w:r>
      <w:r>
        <w:rPr>
          <w:rFonts w:hint="eastAsia" w:ascii="宋体" w:hAnsi="宋体"/>
          <w:color w:val="auto"/>
          <w:sz w:val="24"/>
          <w:highlight w:val="none"/>
        </w:rPr>
        <w:t>.中标人在项目实施过程中选取的专业分包单位或劳务企业或劳务班组长与投标时不一致的（如有）</w:t>
      </w:r>
      <w:r>
        <w:rPr>
          <w:rFonts w:hint="eastAsia" w:ascii="宋体" w:hAnsi="宋体"/>
          <w:color w:val="auto"/>
          <w:sz w:val="24"/>
          <w:highlight w:val="none"/>
          <w:lang w:eastAsia="zh-CN"/>
        </w:rPr>
        <w:t>；</w:t>
      </w:r>
    </w:p>
    <w:p w14:paraId="4457ECA0">
      <w:pPr>
        <w:snapToGri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11.本项目投标时拟派的专职安全员在其他项目中有任职且在本项目开工前未完成更换确保专职安全员只在本项目上任职的</w:t>
      </w:r>
      <w:r>
        <w:rPr>
          <w:rFonts w:hint="eastAsia" w:ascii="宋体" w:hAnsi="宋体"/>
          <w:color w:val="auto"/>
          <w:sz w:val="24"/>
          <w:highlight w:val="none"/>
        </w:rPr>
        <w:t>。</w:t>
      </w:r>
    </w:p>
    <w:p w14:paraId="48AF1818">
      <w:pPr>
        <w:spacing w:line="360" w:lineRule="auto"/>
        <w:ind w:firstLine="420"/>
        <w:jc w:val="right"/>
        <w:rPr>
          <w:rFonts w:hint="eastAsia" w:ascii="宋体" w:hAnsi="宋体" w:cs="宋体"/>
          <w:color w:val="auto"/>
          <w:sz w:val="24"/>
          <w:szCs w:val="24"/>
          <w:highlight w:val="none"/>
        </w:rPr>
      </w:pPr>
    </w:p>
    <w:p w14:paraId="4D82AFBC">
      <w:pPr>
        <w:tabs>
          <w:tab w:val="center" w:pos="4415"/>
        </w:tabs>
        <w:spacing w:line="360" w:lineRule="auto"/>
        <w:ind w:firstLine="1015" w:firstLineChars="423"/>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招 标 人：广州市天河棠东经济发展有限公司</w:t>
      </w:r>
    </w:p>
    <w:p w14:paraId="7199FE16">
      <w:pPr>
        <w:tabs>
          <w:tab w:val="center" w:pos="4415"/>
        </w:tabs>
        <w:spacing w:line="360" w:lineRule="auto"/>
        <w:ind w:firstLine="1015" w:firstLineChars="423"/>
        <w:jc w:val="right"/>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广州市天河区棠下街棠东股份合作经济联社</w:t>
      </w:r>
      <w:r>
        <w:rPr>
          <w:rFonts w:hint="eastAsia" w:ascii="宋体" w:hAnsi="宋体" w:cs="宋体"/>
          <w:color w:val="auto"/>
          <w:sz w:val="24"/>
          <w:szCs w:val="24"/>
          <w:highlight w:val="none"/>
        </w:rPr>
        <w:t xml:space="preserve">                  </w:t>
      </w:r>
    </w:p>
    <w:p w14:paraId="2DD4C05F">
      <w:pPr>
        <w:tabs>
          <w:tab w:val="left" w:pos="3060"/>
        </w:tabs>
        <w:spacing w:line="360" w:lineRule="auto"/>
        <w:ind w:right="27" w:firstLine="540" w:firstLineChars="225"/>
        <w:jc w:val="right"/>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none"/>
          <w:lang w:val="en-US" w:eastAsia="zh-CN"/>
        </w:rPr>
        <w:t>广</w:t>
      </w:r>
      <w:r>
        <w:rPr>
          <w:rFonts w:hint="eastAsia" w:ascii="宋体" w:hAnsi="宋体" w:cs="宋体"/>
          <w:color w:val="auto"/>
          <w:sz w:val="24"/>
          <w:szCs w:val="24"/>
          <w:highlight w:val="none"/>
          <w:lang w:val="en-US" w:eastAsia="zh-CN"/>
        </w:rPr>
        <w:t xml:space="preserve">东省城规建设监理有限公司       </w:t>
      </w:r>
      <w:r>
        <w:rPr>
          <w:rFonts w:hint="eastAsia" w:ascii="宋体" w:hAnsi="宋体" w:cs="宋体"/>
          <w:color w:val="auto"/>
          <w:sz w:val="24"/>
          <w:szCs w:val="24"/>
          <w:highlight w:val="none"/>
          <w:u w:val="single"/>
          <w:lang w:val="en-US" w:eastAsia="zh-CN"/>
        </w:rPr>
        <w:t xml:space="preserve"> </w:t>
      </w:r>
    </w:p>
    <w:p w14:paraId="778CEC04">
      <w:pPr>
        <w:wordWrap w:val="0"/>
        <w:spacing w:line="360" w:lineRule="auto"/>
        <w:ind w:right="480"/>
        <w:jc w:val="right"/>
        <w:rPr>
          <w:rFonts w:ascii="宋体" w:hAnsi="宋体" w:cs="宋体"/>
          <w:color w:val="auto"/>
          <w:sz w:val="24"/>
          <w:szCs w:val="24"/>
          <w:highlight w:val="none"/>
        </w:rPr>
      </w:pPr>
      <w:r>
        <w:rPr>
          <w:rFonts w:hint="eastAsia" w:ascii="宋体" w:hAnsi="宋体" w:cs="宋体"/>
          <w:color w:val="auto"/>
          <w:kern w:val="0"/>
          <w:sz w:val="24"/>
          <w:szCs w:val="24"/>
          <w:highlight w:val="none"/>
        </w:rPr>
        <w:t>2025</w:t>
      </w:r>
      <w:r>
        <w:rPr>
          <w:rFonts w:hint="eastAsia" w:ascii="宋体" w:hAnsi="宋体" w:cs="宋体"/>
          <w:color w:val="auto"/>
          <w:sz w:val="24"/>
          <w:szCs w:val="24"/>
          <w:highlight w:val="none"/>
        </w:rPr>
        <w:t>年  月  日</w:t>
      </w:r>
    </w:p>
    <w:p w14:paraId="51A748B9">
      <w:pPr>
        <w:spacing w:line="360" w:lineRule="auto"/>
        <w:ind w:firstLine="537" w:firstLineChars="224"/>
        <w:rPr>
          <w:rFonts w:ascii="宋体"/>
          <w:color w:val="auto"/>
          <w:sz w:val="24"/>
          <w:highlight w:val="none"/>
        </w:rPr>
        <w:sectPr>
          <w:footerReference r:id="rId3" w:type="default"/>
          <w:footerReference r:id="rId4" w:type="even"/>
          <w:endnotePr>
            <w:numFmt w:val="decimal"/>
          </w:endnotePr>
          <w:pgSz w:w="11906" w:h="16838"/>
          <w:pgMar w:top="1440" w:right="1134" w:bottom="1440" w:left="1134" w:header="851" w:footer="992" w:gutter="0"/>
          <w:cols w:space="720" w:num="1"/>
          <w:docGrid w:type="lines" w:linePitch="312" w:charSpace="0"/>
        </w:sectPr>
      </w:pPr>
    </w:p>
    <w:p w14:paraId="52216823">
      <w:pPr>
        <w:spacing w:line="360" w:lineRule="auto"/>
        <w:rPr>
          <w:b/>
          <w:color w:val="auto"/>
          <w:sz w:val="44"/>
          <w:highlight w:val="none"/>
        </w:rPr>
      </w:pPr>
      <w:r>
        <w:rPr>
          <w:rFonts w:hint="eastAsia" w:ascii="宋体" w:hAnsi="宋体"/>
          <w:color w:val="auto"/>
          <w:sz w:val="24"/>
          <w:highlight w:val="none"/>
        </w:rPr>
        <w:t>附件一：</w:t>
      </w:r>
    </w:p>
    <w:p w14:paraId="16CD40BB">
      <w:pPr>
        <w:spacing w:line="360" w:lineRule="auto"/>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14:paraId="09A56475">
      <w:pPr>
        <w:spacing w:line="360" w:lineRule="auto"/>
        <w:jc w:val="center"/>
        <w:rPr>
          <w:b/>
          <w:color w:val="auto"/>
          <w:sz w:val="44"/>
          <w:szCs w:val="44"/>
          <w:highlight w:val="none"/>
        </w:rPr>
      </w:pPr>
    </w:p>
    <w:p w14:paraId="61107854">
      <w:pPr>
        <w:pStyle w:val="26"/>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招投标监管单位及招标人：</w:t>
      </w:r>
    </w:p>
    <w:p w14:paraId="0D875F9B">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本公司就参加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投标工作，作出郑重声明：</w:t>
      </w:r>
    </w:p>
    <w:p w14:paraId="02AB4117">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一、本公司保证投标文件及其后提供的一切材料都是真实的。如我司成为本项目中标候选人，我司同意并授权招标人将我司投标文件商务部分文件的人员、业绩、奖项等资料进行公开。</w:t>
      </w:r>
    </w:p>
    <w:p w14:paraId="4E69EE12">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3C5DA13A">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三、本公司不存在下列情形之一：</w:t>
      </w:r>
    </w:p>
    <w:p w14:paraId="1FA98C9D">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（1）为招标人不具有独立法人资格的附属机构（单位）；</w:t>
      </w:r>
    </w:p>
    <w:p w14:paraId="699FB921">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（2）为本标段前期准备提供设计或咨询服务或者与本项目设计人或提供咨询服务的机构存在附属关系的；</w:t>
      </w:r>
    </w:p>
    <w:p w14:paraId="64BA43B7">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（3）为本标段监理人或者与本标段监理人存在隶属关系或者其他利害关系；</w:t>
      </w:r>
    </w:p>
    <w:p w14:paraId="627940B0">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（4）为本标段的代建人；</w:t>
      </w:r>
    </w:p>
    <w:p w14:paraId="6E8513EB">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（5）为本标段提供招标代理服务的；</w:t>
      </w:r>
    </w:p>
    <w:p w14:paraId="21EBE4FC">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（6）与本标段的监理人或代建人或招标代理机构同为一个法定代表人的；</w:t>
      </w:r>
    </w:p>
    <w:p w14:paraId="6335896B">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（7）与本标段的监理人或代建人或招标代理机构互相控股或参股的；</w:t>
      </w:r>
    </w:p>
    <w:p w14:paraId="693E36C6">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（8）与本标段的监理人或代建人或招标代理机构相互任职或工作的；</w:t>
      </w:r>
    </w:p>
    <w:p w14:paraId="04775219">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（9）与本标段的检测机构有隶属关系或者其他利害关系；</w:t>
      </w:r>
    </w:p>
    <w:p w14:paraId="3FA331EA">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（10）与招标人存在利害关系且可能影响招标公正性；  </w:t>
      </w:r>
    </w:p>
    <w:p w14:paraId="04808EFB">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618EA717">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（12）被责令停产停业、暂扣或者吊销许可证、暂扣或者吊销执照的（本项事实应当以根据《中华人民共和国行政处罚法》依法作出并已经生效的行政处罚决定为认定依据。）；</w:t>
      </w:r>
    </w:p>
    <w:p w14:paraId="7F3FCDDE">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（13）进入清算程序，或被宣布破产，或其他丧失履约能力的情形；</w:t>
      </w:r>
    </w:p>
    <w:p w14:paraId="4B19042E">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49780B7">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（15）法律法规规定的其他情形。</w:t>
      </w:r>
    </w:p>
    <w:p w14:paraId="42364D2E">
      <w:pPr>
        <w:pStyle w:val="26"/>
        <w:ind w:firstLine="420" w:firstLineChars="200"/>
        <w:rPr>
          <w:rFonts w:hint="eastAsia" w:ascii="宋体" w:hAnsi="宋体" w:eastAsia="宋体"/>
          <w:color w:val="auto"/>
          <w:sz w:val="21"/>
          <w:szCs w:val="21"/>
          <w:highlight w:val="none"/>
          <w:lang w:eastAsia="zh-CN"/>
        </w:rPr>
      </w:pPr>
      <w:r>
        <w:rPr>
          <w:rFonts w:hint="eastAsia" w:ascii="宋体" w:hAnsi="宋体" w:eastAsia="宋体" w:cs="宋体"/>
          <w:color w:val="auto"/>
          <w:sz w:val="21"/>
          <w:szCs w:val="21"/>
          <w:highlight w:val="none"/>
        </w:rPr>
        <w:t>四、本公司保证：</w:t>
      </w:r>
      <w:r>
        <w:rPr>
          <w:rFonts w:hint="eastAsia" w:ascii="宋体" w:hAnsi="宋体" w:eastAsia="宋体"/>
          <w:color w:val="auto"/>
          <w:sz w:val="21"/>
          <w:szCs w:val="21"/>
          <w:highlight w:val="none"/>
        </w:rPr>
        <w:t>本项目拟派的项目负责人投标截止时没有在其他在建项目中任施工单位项目负责人</w:t>
      </w:r>
      <w:r>
        <w:rPr>
          <w:rFonts w:hint="eastAsia" w:ascii="宋体" w:hAnsi="宋体" w:eastAsia="宋体"/>
          <w:color w:val="auto"/>
          <w:sz w:val="21"/>
          <w:szCs w:val="21"/>
          <w:highlight w:val="none"/>
          <w:lang w:eastAsia="zh-CN"/>
        </w:rPr>
        <w:t>。</w:t>
      </w:r>
    </w:p>
    <w:p w14:paraId="0F20CC81">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olor w:val="auto"/>
          <w:sz w:val="21"/>
          <w:szCs w:val="21"/>
          <w:highlight w:val="none"/>
          <w:lang w:val="en-US" w:eastAsia="zh-CN"/>
        </w:rPr>
        <w:t>五、</w:t>
      </w:r>
      <w:r>
        <w:rPr>
          <w:rFonts w:hint="eastAsia" w:ascii="宋体" w:hAnsi="宋体" w:eastAsia="宋体"/>
          <w:color w:val="auto"/>
          <w:sz w:val="21"/>
          <w:szCs w:val="21"/>
          <w:highlight w:val="non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7F9670E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六</w:t>
      </w:r>
      <w:r>
        <w:rPr>
          <w:rFonts w:hint="eastAsia" w:ascii="宋体" w:hAnsi="宋体" w:cs="宋体"/>
          <w:color w:val="auto"/>
          <w:kern w:val="0"/>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0D15F404">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七</w:t>
      </w:r>
      <w:r>
        <w:rPr>
          <w:rFonts w:hint="eastAsia" w:ascii="宋体" w:hAnsi="宋体" w:cs="宋体"/>
          <w:color w:val="auto"/>
          <w:kern w:val="0"/>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665EE49E">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61626FE2">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rPr>
        <w:t>、与本公司单位负责人为同一人或者与本公司存在控股、管理关系的其他单位包括：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。（注：本条由投标人如实填写，如有，应列出全部满足招标公告资质要求的相关单位的名称；如无，则填写“无”。）</w:t>
      </w:r>
    </w:p>
    <w:p w14:paraId="0B4A158E">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十</w:t>
      </w:r>
      <w:r>
        <w:rPr>
          <w:rFonts w:hint="eastAsia" w:ascii="宋体" w:hAnsi="宋体" w:eastAsia="宋体" w:cs="宋体"/>
          <w:color w:val="auto"/>
          <w:sz w:val="21"/>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71E73896">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109000F4">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、本公司违反上述保证，或本声明陈述与事实不符，</w:t>
      </w:r>
      <w:r>
        <w:rPr>
          <w:rFonts w:hint="eastAsia" w:ascii="宋体" w:hAnsi="宋体" w:eastAsia="宋体"/>
          <w:color w:val="auto"/>
          <w:sz w:val="21"/>
          <w:szCs w:val="21"/>
          <w:highlight w:val="none"/>
        </w:rPr>
        <w:t>一经查实将按相关规定进行信用记录。本公司对失信行为产生的一切后果已知悉。其中，本声明陈述与事实不符的，属于弄虚作假骗取中标，将依法接受监管部门的处罚</w:t>
      </w:r>
      <w:r>
        <w:rPr>
          <w:rFonts w:hint="eastAsia" w:ascii="宋体" w:hAnsi="宋体" w:eastAsia="宋体" w:cs="宋体"/>
          <w:color w:val="auto"/>
          <w:sz w:val="21"/>
          <w:szCs w:val="21"/>
          <w:highlight w:val="none"/>
        </w:rPr>
        <w:t>。</w:t>
      </w:r>
    </w:p>
    <w:p w14:paraId="352092FA">
      <w:pPr>
        <w:pStyle w:val="26"/>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4FAC75F9">
      <w:pPr>
        <w:pStyle w:val="26"/>
        <w:spacing w:line="48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声明企业：</w:t>
      </w:r>
    </w:p>
    <w:p w14:paraId="5809D578">
      <w:pPr>
        <w:pStyle w:val="26"/>
        <w:spacing w:line="48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14:paraId="4DC7077B">
      <w:pPr>
        <w:pStyle w:val="26"/>
        <w:spacing w:line="480" w:lineRule="auto"/>
        <w:ind w:right="879" w:firstLine="1890" w:firstLineChars="9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14:paraId="490E1EE2">
      <w:pPr>
        <w:pStyle w:val="26"/>
        <w:spacing w:line="480" w:lineRule="auto"/>
        <w:ind w:right="879" w:firstLine="1890" w:firstLineChars="900"/>
        <w:jc w:val="right"/>
        <w:rPr>
          <w:rFonts w:hint="eastAsia" w:ascii="宋体" w:hAnsi="宋体" w:cs="宋体"/>
          <w:color w:val="auto"/>
          <w:szCs w:val="21"/>
          <w:highlight w:val="none"/>
        </w:rPr>
      </w:pPr>
      <w:r>
        <w:rPr>
          <w:rFonts w:hint="eastAsia" w:ascii="宋体" w:hAnsi="宋体" w:eastAsia="宋体"/>
          <w:color w:val="auto"/>
          <w:sz w:val="21"/>
          <w:szCs w:val="21"/>
          <w:highlight w:val="none"/>
        </w:rPr>
        <w:t>年</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月</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日</w:t>
      </w:r>
    </w:p>
    <w:p w14:paraId="4C5108D2">
      <w:pPr>
        <w:spacing w:line="360" w:lineRule="auto"/>
        <w:rPr>
          <w:rFonts w:hint="eastAsia" w:ascii="宋体" w:hAnsi="宋体" w:cs="宋体"/>
          <w:color w:val="auto"/>
          <w:szCs w:val="21"/>
          <w:highlight w:val="none"/>
        </w:rPr>
      </w:pPr>
    </w:p>
    <w:p w14:paraId="07E6EF4C">
      <w:pPr>
        <w:pStyle w:val="4"/>
        <w:rPr>
          <w:rFonts w:hint="eastAsia"/>
          <w:color w:val="auto"/>
          <w:highlight w:val="none"/>
        </w:rPr>
      </w:pPr>
    </w:p>
    <w:p w14:paraId="2E8EBE48">
      <w:pPr>
        <w:spacing w:line="360" w:lineRule="auto"/>
        <w:rPr>
          <w:rFonts w:hint="eastAsia" w:ascii="宋体" w:hAnsi="宋体" w:cs="宋体"/>
          <w:color w:val="auto"/>
          <w:kern w:val="0"/>
          <w:szCs w:val="21"/>
          <w:highlight w:val="none"/>
        </w:rPr>
      </w:pPr>
      <w:r>
        <w:rPr>
          <w:rFonts w:hint="eastAsia" w:ascii="宋体" w:hAnsi="宋体" w:cs="宋体"/>
          <w:color w:val="auto"/>
          <w:szCs w:val="21"/>
          <w:highlight w:val="none"/>
        </w:rPr>
        <w:t>注：</w:t>
      </w:r>
      <w:r>
        <w:rPr>
          <w:rFonts w:hint="eastAsia" w:ascii="宋体" w:hAnsi="宋体" w:cs="宋体"/>
          <w:color w:val="auto"/>
          <w:kern w:val="0"/>
          <w:szCs w:val="21"/>
          <w:highlight w:val="none"/>
        </w:rPr>
        <w:t>招标人应当要求投标人的项目负责人和技术负责人签字。</w:t>
      </w:r>
    </w:p>
    <w:p w14:paraId="52A4AAB5">
      <w:pPr>
        <w:pStyle w:val="26"/>
        <w:ind w:right="879" w:firstLine="5040" w:firstLineChars="2400"/>
        <w:jc w:val="left"/>
        <w:outlineLvl w:val="0"/>
        <w:rPr>
          <w:rFonts w:hint="eastAsia" w:ascii="宋体" w:hAnsi="宋体" w:eastAsia="宋体"/>
          <w:color w:val="auto"/>
          <w:sz w:val="21"/>
          <w:szCs w:val="21"/>
          <w:highlight w:val="none"/>
        </w:rPr>
      </w:pPr>
    </w:p>
    <w:p w14:paraId="122D5420">
      <w:pPr>
        <w:pStyle w:val="26"/>
        <w:ind w:right="879" w:firstLine="5040" w:firstLineChars="2400"/>
        <w:jc w:val="left"/>
        <w:outlineLvl w:val="0"/>
        <w:rPr>
          <w:rFonts w:hint="eastAsia" w:ascii="宋体" w:hAnsi="宋体" w:eastAsia="宋体"/>
          <w:color w:val="auto"/>
          <w:sz w:val="21"/>
          <w:szCs w:val="21"/>
          <w:highlight w:val="none"/>
        </w:rPr>
      </w:pPr>
    </w:p>
    <w:p w14:paraId="7E13382C">
      <w:pPr>
        <w:pStyle w:val="26"/>
        <w:ind w:right="879" w:firstLine="5040" w:firstLineChars="2400"/>
        <w:jc w:val="left"/>
        <w:outlineLvl w:val="0"/>
        <w:rPr>
          <w:rFonts w:hint="eastAsia" w:ascii="宋体" w:hAnsi="宋体" w:eastAsia="宋体"/>
          <w:color w:val="auto"/>
          <w:sz w:val="21"/>
          <w:szCs w:val="21"/>
          <w:highlight w:val="none"/>
        </w:rPr>
      </w:pPr>
    </w:p>
    <w:p w14:paraId="7ABEA70B">
      <w:pPr>
        <w:pStyle w:val="26"/>
        <w:ind w:right="879" w:firstLine="5040" w:firstLineChars="2400"/>
        <w:jc w:val="left"/>
        <w:outlineLvl w:val="0"/>
        <w:rPr>
          <w:rFonts w:hint="eastAsia" w:ascii="宋体" w:hAnsi="宋体" w:eastAsia="宋体"/>
          <w:color w:val="auto"/>
          <w:sz w:val="21"/>
          <w:szCs w:val="21"/>
          <w:highlight w:val="none"/>
        </w:rPr>
      </w:pPr>
    </w:p>
    <w:p w14:paraId="12EA0E15">
      <w:pPr>
        <w:pStyle w:val="26"/>
        <w:ind w:right="879" w:firstLine="5040" w:firstLineChars="2400"/>
        <w:jc w:val="left"/>
        <w:outlineLvl w:val="0"/>
        <w:rPr>
          <w:rFonts w:hint="eastAsia" w:ascii="宋体" w:hAnsi="宋体" w:eastAsia="宋体"/>
          <w:color w:val="auto"/>
          <w:sz w:val="21"/>
          <w:szCs w:val="21"/>
          <w:highlight w:val="none"/>
        </w:rPr>
      </w:pPr>
    </w:p>
    <w:p w14:paraId="70ECD2A7">
      <w:pPr>
        <w:pStyle w:val="26"/>
        <w:ind w:right="879" w:firstLine="5040" w:firstLineChars="2400"/>
        <w:jc w:val="left"/>
        <w:outlineLvl w:val="0"/>
        <w:rPr>
          <w:rFonts w:hint="eastAsia" w:ascii="宋体" w:hAnsi="宋体" w:eastAsia="宋体"/>
          <w:color w:val="auto"/>
          <w:sz w:val="21"/>
          <w:szCs w:val="21"/>
          <w:highlight w:val="none"/>
        </w:rPr>
      </w:pPr>
    </w:p>
    <w:p w14:paraId="6AA24C9B">
      <w:pPr>
        <w:pStyle w:val="26"/>
        <w:ind w:right="879" w:firstLine="5040" w:firstLineChars="2400"/>
        <w:jc w:val="left"/>
        <w:outlineLvl w:val="0"/>
        <w:rPr>
          <w:rFonts w:hint="eastAsia" w:ascii="宋体" w:hAnsi="宋体" w:eastAsia="宋体"/>
          <w:color w:val="auto"/>
          <w:sz w:val="21"/>
          <w:szCs w:val="21"/>
          <w:highlight w:val="none"/>
        </w:rPr>
      </w:pPr>
    </w:p>
    <w:p w14:paraId="5DBABA63">
      <w:pPr>
        <w:pStyle w:val="26"/>
        <w:ind w:right="879" w:firstLine="5040" w:firstLineChars="2400"/>
        <w:jc w:val="left"/>
        <w:outlineLvl w:val="0"/>
        <w:rPr>
          <w:rFonts w:hint="eastAsia" w:ascii="宋体" w:hAnsi="宋体" w:eastAsia="宋体"/>
          <w:color w:val="auto"/>
          <w:sz w:val="21"/>
          <w:szCs w:val="21"/>
          <w:highlight w:val="none"/>
        </w:rPr>
      </w:pPr>
    </w:p>
    <w:p w14:paraId="169E9265">
      <w:pPr>
        <w:widowControl/>
        <w:jc w:val="left"/>
        <w:rPr>
          <w:rFonts w:hint="eastAsia" w:ascii="宋体" w:hAnsi="宋体" w:cs="宋体"/>
          <w:b/>
          <w:color w:val="auto"/>
          <w:kern w:val="0"/>
          <w:sz w:val="28"/>
          <w:szCs w:val="28"/>
          <w:highlight w:val="none"/>
          <w:lang w:bidi="ar"/>
        </w:rPr>
      </w:pPr>
      <w:r>
        <w:rPr>
          <w:rFonts w:hint="eastAsia" w:ascii="宋体" w:hAnsi="宋体"/>
          <w:color w:val="auto"/>
          <w:sz w:val="24"/>
          <w:highlight w:val="none"/>
        </w:rPr>
        <w:t>附件二：</w:t>
      </w:r>
    </w:p>
    <w:p w14:paraId="206A0F41">
      <w:pPr>
        <w:jc w:val="center"/>
        <w:rPr>
          <w:rFonts w:ascii="宋体" w:hAnsi="宋体"/>
          <w:b/>
          <w:color w:val="auto"/>
          <w:kern w:val="0"/>
          <w:sz w:val="44"/>
          <w:szCs w:val="44"/>
          <w:highlight w:val="none"/>
        </w:rPr>
      </w:pPr>
      <w:r>
        <w:rPr>
          <w:rFonts w:ascii="宋体" w:hAnsi="宋体"/>
          <w:b/>
          <w:color w:val="auto"/>
          <w:kern w:val="0"/>
          <w:sz w:val="44"/>
          <w:szCs w:val="44"/>
          <w:highlight w:val="none"/>
        </w:rPr>
        <w:t>施工项目管理团队人员信息表</w:t>
      </w:r>
    </w:p>
    <w:tbl>
      <w:tblPr>
        <w:tblStyle w:val="17"/>
        <w:tblW w:w="8648" w:type="dxa"/>
        <w:jc w:val="center"/>
        <w:tblLayout w:type="fixed"/>
        <w:tblCellMar>
          <w:top w:w="0" w:type="dxa"/>
          <w:left w:w="108" w:type="dxa"/>
          <w:bottom w:w="0" w:type="dxa"/>
          <w:right w:w="108" w:type="dxa"/>
        </w:tblCellMar>
      </w:tblPr>
      <w:tblGrid>
        <w:gridCol w:w="776"/>
        <w:gridCol w:w="1376"/>
        <w:gridCol w:w="2066"/>
        <w:gridCol w:w="1721"/>
        <w:gridCol w:w="2709"/>
      </w:tblGrid>
      <w:tr w14:paraId="1A13938F">
        <w:tblPrEx>
          <w:tblCellMar>
            <w:top w:w="0" w:type="dxa"/>
            <w:left w:w="108" w:type="dxa"/>
            <w:bottom w:w="0" w:type="dxa"/>
            <w:right w:w="108" w:type="dxa"/>
          </w:tblCellMar>
        </w:tblPrEx>
        <w:trPr>
          <w:trHeight w:val="497" w:hRule="atLeast"/>
          <w:jc w:val="center"/>
        </w:trPr>
        <w:tc>
          <w:tcPr>
            <w:tcW w:w="8648" w:type="dxa"/>
            <w:gridSpan w:val="5"/>
            <w:tcBorders>
              <w:top w:val="nil"/>
              <w:left w:val="nil"/>
              <w:bottom w:val="single" w:color="auto" w:sz="4" w:space="0"/>
              <w:right w:val="nil"/>
            </w:tcBorders>
            <w:vAlign w:val="center"/>
          </w:tcPr>
          <w:p w14:paraId="1E6E42BC">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 w:val="28"/>
                <w:szCs w:val="28"/>
                <w:highlight w:val="none"/>
              </w:rPr>
              <w:t>施工项目管理团队人员信息表</w:t>
            </w:r>
          </w:p>
        </w:tc>
      </w:tr>
      <w:tr w14:paraId="24D17C28">
        <w:tblPrEx>
          <w:tblCellMar>
            <w:top w:w="0" w:type="dxa"/>
            <w:left w:w="108" w:type="dxa"/>
            <w:bottom w:w="0" w:type="dxa"/>
            <w:right w:w="108" w:type="dxa"/>
          </w:tblCellMar>
        </w:tblPrEx>
        <w:trPr>
          <w:trHeight w:val="366"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9FE0A2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376" w:type="dxa"/>
            <w:tcBorders>
              <w:top w:val="single" w:color="auto" w:sz="4" w:space="0"/>
              <w:left w:val="single" w:color="auto" w:sz="4" w:space="0"/>
              <w:bottom w:val="single" w:color="auto" w:sz="4" w:space="0"/>
              <w:right w:val="single" w:color="auto" w:sz="4" w:space="0"/>
            </w:tcBorders>
            <w:vAlign w:val="center"/>
          </w:tcPr>
          <w:p w14:paraId="2C87456C">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2066" w:type="dxa"/>
            <w:tcBorders>
              <w:top w:val="single" w:color="auto" w:sz="4" w:space="0"/>
              <w:left w:val="single" w:color="auto" w:sz="4" w:space="0"/>
              <w:bottom w:val="single" w:color="auto" w:sz="4" w:space="0"/>
              <w:right w:val="single" w:color="auto" w:sz="4" w:space="0"/>
            </w:tcBorders>
            <w:vAlign w:val="center"/>
          </w:tcPr>
          <w:p w14:paraId="7F380AC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岗位</w:t>
            </w:r>
          </w:p>
        </w:tc>
        <w:tc>
          <w:tcPr>
            <w:tcW w:w="1721" w:type="dxa"/>
            <w:tcBorders>
              <w:top w:val="single" w:color="auto" w:sz="4" w:space="0"/>
              <w:left w:val="single" w:color="auto" w:sz="4" w:space="0"/>
              <w:bottom w:val="single" w:color="auto" w:sz="4" w:space="0"/>
              <w:right w:val="single" w:color="auto" w:sz="4" w:space="0"/>
            </w:tcBorders>
            <w:vAlign w:val="center"/>
          </w:tcPr>
          <w:p w14:paraId="4476873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2709" w:type="dxa"/>
            <w:tcBorders>
              <w:top w:val="single" w:color="auto" w:sz="4" w:space="0"/>
              <w:left w:val="single" w:color="auto" w:sz="4" w:space="0"/>
              <w:bottom w:val="single" w:color="auto" w:sz="4" w:space="0"/>
              <w:right w:val="single" w:color="auto" w:sz="4" w:space="0"/>
            </w:tcBorders>
            <w:vAlign w:val="center"/>
          </w:tcPr>
          <w:p w14:paraId="7BCD6DA4">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职称证书或资格证书编号</w:t>
            </w:r>
          </w:p>
        </w:tc>
      </w:tr>
      <w:tr w14:paraId="67092587">
        <w:tblPrEx>
          <w:tblCellMar>
            <w:top w:w="0" w:type="dxa"/>
            <w:left w:w="108" w:type="dxa"/>
            <w:bottom w:w="0" w:type="dxa"/>
            <w:right w:w="108" w:type="dxa"/>
          </w:tblCellMar>
        </w:tblPrEx>
        <w:trPr>
          <w:trHeight w:val="411"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86625EB">
            <w:pPr>
              <w:widowControl/>
              <w:numPr>
                <w:ilvl w:val="0"/>
                <w:numId w:val="2"/>
              </w:numPr>
              <w:jc w:val="center"/>
              <w:rPr>
                <w:rFonts w:hint="eastAsia" w:ascii="宋体" w:hAnsi="宋体" w:cs="宋体"/>
                <w:color w:val="auto"/>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6D520C80">
            <w:pPr>
              <w:widowControl/>
              <w:jc w:val="center"/>
              <w:rPr>
                <w:rFonts w:hint="eastAsia" w:ascii="宋体" w:hAnsi="宋体" w:cs="宋体"/>
                <w:color w:val="auto"/>
                <w:kern w:val="0"/>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17B3D71C">
            <w:pPr>
              <w:snapToGrid w:val="0"/>
              <w:spacing w:line="276" w:lineRule="auto"/>
              <w:ind w:left="42" w:leftChars="20" w:right="42" w:rightChars="20"/>
              <w:jc w:val="center"/>
              <w:rPr>
                <w:rFonts w:hint="eastAsia" w:ascii="宋体" w:hAnsi="宋体" w:cs="宋体"/>
                <w:color w:val="auto"/>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4DBCFFBD">
            <w:pPr>
              <w:widowControl/>
              <w:jc w:val="center"/>
              <w:rPr>
                <w:rFonts w:hint="eastAsia" w:ascii="宋体" w:hAnsi="宋体" w:cs="宋体"/>
                <w:color w:val="auto"/>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07BDC58C">
            <w:pPr>
              <w:widowControl/>
              <w:jc w:val="center"/>
              <w:rPr>
                <w:rFonts w:hint="eastAsia" w:ascii="宋体" w:hAnsi="宋体" w:cs="宋体"/>
                <w:color w:val="auto"/>
                <w:kern w:val="0"/>
                <w:szCs w:val="21"/>
                <w:highlight w:val="none"/>
              </w:rPr>
            </w:pPr>
          </w:p>
        </w:tc>
      </w:tr>
      <w:tr w14:paraId="1B68D68C">
        <w:tblPrEx>
          <w:tblCellMar>
            <w:top w:w="0" w:type="dxa"/>
            <w:left w:w="108" w:type="dxa"/>
            <w:bottom w:w="0" w:type="dxa"/>
            <w:right w:w="108" w:type="dxa"/>
          </w:tblCellMar>
        </w:tblPrEx>
        <w:trPr>
          <w:trHeight w:val="38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6DAE441">
            <w:pPr>
              <w:widowControl/>
              <w:numPr>
                <w:ilvl w:val="0"/>
                <w:numId w:val="2"/>
              </w:numPr>
              <w:jc w:val="center"/>
              <w:rPr>
                <w:rFonts w:hint="eastAsia" w:ascii="宋体" w:hAnsi="宋体" w:cs="宋体"/>
                <w:color w:val="auto"/>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3B1BC054">
            <w:pPr>
              <w:widowControl/>
              <w:jc w:val="center"/>
              <w:rPr>
                <w:rFonts w:hint="eastAsia" w:ascii="宋体" w:hAnsi="宋体" w:cs="宋体"/>
                <w:color w:val="auto"/>
                <w:kern w:val="0"/>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2B204798">
            <w:pPr>
              <w:snapToGrid w:val="0"/>
              <w:spacing w:line="276" w:lineRule="auto"/>
              <w:ind w:left="42" w:leftChars="20" w:right="42" w:rightChars="20"/>
              <w:jc w:val="center"/>
              <w:rPr>
                <w:rFonts w:hint="eastAsia" w:ascii="宋体" w:hAnsi="宋体" w:cs="宋体"/>
                <w:color w:val="auto"/>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5CBD5F05">
            <w:pPr>
              <w:widowControl/>
              <w:jc w:val="center"/>
              <w:rPr>
                <w:rFonts w:hint="eastAsia" w:ascii="宋体" w:hAnsi="宋体" w:cs="宋体"/>
                <w:color w:val="auto"/>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75A79337">
            <w:pPr>
              <w:widowControl/>
              <w:jc w:val="center"/>
              <w:rPr>
                <w:rFonts w:hint="eastAsia" w:ascii="宋体" w:hAnsi="宋体" w:cs="宋体"/>
                <w:color w:val="auto"/>
                <w:kern w:val="0"/>
                <w:szCs w:val="21"/>
                <w:highlight w:val="none"/>
              </w:rPr>
            </w:pPr>
          </w:p>
        </w:tc>
      </w:tr>
      <w:tr w14:paraId="60DAB1D4">
        <w:tblPrEx>
          <w:tblCellMar>
            <w:top w:w="0" w:type="dxa"/>
            <w:left w:w="108" w:type="dxa"/>
            <w:bottom w:w="0" w:type="dxa"/>
            <w:right w:w="108" w:type="dxa"/>
          </w:tblCellMar>
        </w:tblPrEx>
        <w:trPr>
          <w:trHeight w:val="42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2541708">
            <w:pPr>
              <w:widowControl/>
              <w:numPr>
                <w:ilvl w:val="0"/>
                <w:numId w:val="2"/>
              </w:numPr>
              <w:jc w:val="center"/>
              <w:rPr>
                <w:rFonts w:hint="eastAsia" w:ascii="宋体" w:hAnsi="宋体" w:cs="宋体"/>
                <w:color w:val="auto"/>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34921837">
            <w:pPr>
              <w:widowControl/>
              <w:jc w:val="center"/>
              <w:rPr>
                <w:rFonts w:hint="eastAsia" w:ascii="宋体" w:hAnsi="宋体" w:cs="宋体"/>
                <w:color w:val="auto"/>
                <w:kern w:val="0"/>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0F58199C">
            <w:pPr>
              <w:snapToGrid w:val="0"/>
              <w:spacing w:line="276" w:lineRule="auto"/>
              <w:ind w:left="42" w:leftChars="20" w:right="42" w:rightChars="20"/>
              <w:jc w:val="center"/>
              <w:rPr>
                <w:rFonts w:hint="eastAsia" w:ascii="宋体" w:hAnsi="宋体" w:cs="宋体"/>
                <w:color w:val="auto"/>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652CE249">
            <w:pPr>
              <w:widowControl/>
              <w:jc w:val="center"/>
              <w:rPr>
                <w:rFonts w:hint="eastAsia" w:ascii="宋体" w:hAnsi="宋体" w:cs="宋体"/>
                <w:color w:val="auto"/>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293F7A04">
            <w:pPr>
              <w:widowControl/>
              <w:jc w:val="center"/>
              <w:rPr>
                <w:rFonts w:hint="eastAsia" w:ascii="宋体" w:hAnsi="宋体" w:cs="宋体"/>
                <w:color w:val="auto"/>
                <w:kern w:val="0"/>
                <w:szCs w:val="21"/>
                <w:highlight w:val="none"/>
              </w:rPr>
            </w:pPr>
          </w:p>
        </w:tc>
      </w:tr>
      <w:tr w14:paraId="73D69373">
        <w:tblPrEx>
          <w:tblCellMar>
            <w:top w:w="0" w:type="dxa"/>
            <w:left w:w="108" w:type="dxa"/>
            <w:bottom w:w="0" w:type="dxa"/>
            <w:right w:w="108" w:type="dxa"/>
          </w:tblCellMar>
        </w:tblPrEx>
        <w:trPr>
          <w:trHeight w:val="34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551F7BD">
            <w:pPr>
              <w:widowControl/>
              <w:numPr>
                <w:ilvl w:val="0"/>
                <w:numId w:val="2"/>
              </w:numPr>
              <w:jc w:val="center"/>
              <w:rPr>
                <w:rFonts w:hint="eastAsia" w:ascii="宋体" w:hAnsi="宋体" w:cs="宋体"/>
                <w:color w:val="auto"/>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5D742945">
            <w:pPr>
              <w:widowControl/>
              <w:jc w:val="center"/>
              <w:rPr>
                <w:rFonts w:hint="eastAsia" w:ascii="宋体" w:hAnsi="宋体" w:cs="宋体"/>
                <w:color w:val="auto"/>
                <w:kern w:val="0"/>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1FA9E03D">
            <w:pPr>
              <w:snapToGrid w:val="0"/>
              <w:spacing w:line="276" w:lineRule="auto"/>
              <w:ind w:left="42" w:leftChars="20" w:right="42" w:rightChars="20"/>
              <w:jc w:val="center"/>
              <w:rPr>
                <w:rFonts w:hint="eastAsia" w:ascii="宋体" w:hAnsi="宋体" w:cs="宋体"/>
                <w:color w:val="auto"/>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44FA3106">
            <w:pPr>
              <w:widowControl/>
              <w:jc w:val="center"/>
              <w:rPr>
                <w:rFonts w:hint="eastAsia" w:ascii="宋体" w:hAnsi="宋体" w:cs="宋体"/>
                <w:color w:val="auto"/>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6AF4C40E">
            <w:pPr>
              <w:widowControl/>
              <w:jc w:val="center"/>
              <w:rPr>
                <w:rFonts w:hint="eastAsia" w:ascii="宋体" w:hAnsi="宋体" w:cs="宋体"/>
                <w:color w:val="auto"/>
                <w:kern w:val="0"/>
                <w:szCs w:val="21"/>
                <w:highlight w:val="none"/>
              </w:rPr>
            </w:pPr>
          </w:p>
        </w:tc>
      </w:tr>
      <w:tr w14:paraId="01CD0ECF">
        <w:tblPrEx>
          <w:tblCellMar>
            <w:top w:w="0" w:type="dxa"/>
            <w:left w:w="108" w:type="dxa"/>
            <w:bottom w:w="0" w:type="dxa"/>
            <w:right w:w="108" w:type="dxa"/>
          </w:tblCellMar>
        </w:tblPrEx>
        <w:trPr>
          <w:trHeight w:val="39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705941F">
            <w:pPr>
              <w:widowControl/>
              <w:numPr>
                <w:ilvl w:val="0"/>
                <w:numId w:val="2"/>
              </w:numPr>
              <w:jc w:val="center"/>
              <w:rPr>
                <w:rFonts w:hint="eastAsia" w:ascii="宋体" w:hAnsi="宋体" w:cs="宋体"/>
                <w:color w:val="auto"/>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123A269C">
            <w:pPr>
              <w:widowControl/>
              <w:jc w:val="center"/>
              <w:rPr>
                <w:rFonts w:hint="eastAsia" w:ascii="宋体" w:hAnsi="宋体" w:cs="宋体"/>
                <w:color w:val="auto"/>
                <w:kern w:val="0"/>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685C9AB4">
            <w:pPr>
              <w:snapToGrid w:val="0"/>
              <w:spacing w:line="276" w:lineRule="auto"/>
              <w:ind w:left="42" w:leftChars="20" w:right="42" w:rightChars="20"/>
              <w:jc w:val="center"/>
              <w:rPr>
                <w:rFonts w:hint="eastAsia" w:ascii="宋体" w:hAnsi="宋体" w:cs="宋体"/>
                <w:color w:val="auto"/>
                <w:kern w:val="0"/>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6DC80253">
            <w:pPr>
              <w:widowControl/>
              <w:jc w:val="center"/>
              <w:rPr>
                <w:rFonts w:hint="eastAsia" w:ascii="宋体" w:hAnsi="宋体" w:cs="宋体"/>
                <w:color w:val="auto"/>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3F3B8B58">
            <w:pPr>
              <w:widowControl/>
              <w:jc w:val="center"/>
              <w:rPr>
                <w:rFonts w:hint="eastAsia" w:ascii="宋体" w:hAnsi="宋体" w:cs="宋体"/>
                <w:color w:val="auto"/>
                <w:kern w:val="0"/>
                <w:szCs w:val="21"/>
                <w:highlight w:val="none"/>
              </w:rPr>
            </w:pPr>
          </w:p>
        </w:tc>
      </w:tr>
      <w:tr w14:paraId="0A960DF9">
        <w:tblPrEx>
          <w:tblCellMar>
            <w:top w:w="0" w:type="dxa"/>
            <w:left w:w="108" w:type="dxa"/>
            <w:bottom w:w="0" w:type="dxa"/>
            <w:right w:w="108" w:type="dxa"/>
          </w:tblCellMar>
        </w:tblPrEx>
        <w:trPr>
          <w:trHeight w:val="33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266C885">
            <w:pPr>
              <w:widowControl/>
              <w:numPr>
                <w:ilvl w:val="0"/>
                <w:numId w:val="2"/>
              </w:numPr>
              <w:jc w:val="center"/>
              <w:rPr>
                <w:rFonts w:hint="eastAsia" w:ascii="宋体" w:hAnsi="宋体" w:cs="宋体"/>
                <w:color w:val="auto"/>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7CCC7191">
            <w:pPr>
              <w:widowControl/>
              <w:jc w:val="center"/>
              <w:rPr>
                <w:rFonts w:hint="eastAsia" w:ascii="宋体" w:hAnsi="宋体" w:cs="宋体"/>
                <w:color w:val="auto"/>
                <w:kern w:val="0"/>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18420499">
            <w:pPr>
              <w:snapToGrid w:val="0"/>
              <w:spacing w:line="276" w:lineRule="auto"/>
              <w:ind w:left="42" w:leftChars="20" w:right="42" w:rightChars="20"/>
              <w:jc w:val="center"/>
              <w:rPr>
                <w:rFonts w:hint="eastAsia" w:ascii="宋体" w:hAnsi="宋体" w:cs="宋体"/>
                <w:color w:val="auto"/>
                <w:kern w:val="0"/>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54514243">
            <w:pPr>
              <w:widowControl/>
              <w:jc w:val="center"/>
              <w:rPr>
                <w:rFonts w:hint="eastAsia" w:ascii="宋体" w:hAnsi="宋体" w:cs="宋体"/>
                <w:color w:val="auto"/>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613F32DE">
            <w:pPr>
              <w:widowControl/>
              <w:jc w:val="center"/>
              <w:rPr>
                <w:rFonts w:hint="eastAsia" w:ascii="宋体" w:hAnsi="宋体" w:cs="宋体"/>
                <w:color w:val="auto"/>
                <w:kern w:val="0"/>
                <w:szCs w:val="21"/>
                <w:highlight w:val="none"/>
              </w:rPr>
            </w:pPr>
          </w:p>
        </w:tc>
      </w:tr>
      <w:tr w14:paraId="4F19C85A">
        <w:tblPrEx>
          <w:tblCellMar>
            <w:top w:w="0" w:type="dxa"/>
            <w:left w:w="108" w:type="dxa"/>
            <w:bottom w:w="0" w:type="dxa"/>
            <w:right w:w="108" w:type="dxa"/>
          </w:tblCellMar>
        </w:tblPrEx>
        <w:trPr>
          <w:trHeight w:val="35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A47ABE0">
            <w:pPr>
              <w:widowControl/>
              <w:numPr>
                <w:ilvl w:val="0"/>
                <w:numId w:val="2"/>
              </w:numPr>
              <w:jc w:val="center"/>
              <w:rPr>
                <w:rFonts w:hint="eastAsia" w:ascii="宋体" w:hAnsi="宋体" w:cs="宋体"/>
                <w:color w:val="auto"/>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68E3EB6D">
            <w:pPr>
              <w:widowControl/>
              <w:jc w:val="center"/>
              <w:rPr>
                <w:rFonts w:hint="eastAsia" w:ascii="宋体" w:hAnsi="宋体" w:cs="宋体"/>
                <w:color w:val="auto"/>
                <w:kern w:val="0"/>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29EBFE1E">
            <w:pPr>
              <w:snapToGrid w:val="0"/>
              <w:spacing w:line="276" w:lineRule="auto"/>
              <w:ind w:left="42" w:leftChars="20" w:right="42" w:rightChars="20"/>
              <w:jc w:val="center"/>
              <w:rPr>
                <w:rFonts w:hint="eastAsia" w:ascii="宋体" w:hAnsi="宋体" w:cs="宋体"/>
                <w:color w:val="auto"/>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70DCC1EA">
            <w:pPr>
              <w:widowControl/>
              <w:jc w:val="center"/>
              <w:rPr>
                <w:rFonts w:hint="eastAsia" w:ascii="宋体" w:hAnsi="宋体" w:cs="宋体"/>
                <w:color w:val="auto"/>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1AD17D9F">
            <w:pPr>
              <w:widowControl/>
              <w:jc w:val="center"/>
              <w:rPr>
                <w:rFonts w:hint="eastAsia" w:ascii="宋体" w:hAnsi="宋体" w:cs="宋体"/>
                <w:color w:val="auto"/>
                <w:kern w:val="0"/>
                <w:szCs w:val="21"/>
                <w:highlight w:val="none"/>
              </w:rPr>
            </w:pPr>
          </w:p>
        </w:tc>
      </w:tr>
      <w:tr w14:paraId="234E18B5">
        <w:tblPrEx>
          <w:tblCellMar>
            <w:top w:w="0" w:type="dxa"/>
            <w:left w:w="108" w:type="dxa"/>
            <w:bottom w:w="0" w:type="dxa"/>
            <w:right w:w="108" w:type="dxa"/>
          </w:tblCellMar>
        </w:tblPrEx>
        <w:trPr>
          <w:trHeight w:val="35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A96BBCE">
            <w:pPr>
              <w:widowControl/>
              <w:numPr>
                <w:ilvl w:val="0"/>
                <w:numId w:val="2"/>
              </w:numPr>
              <w:jc w:val="center"/>
              <w:rPr>
                <w:rFonts w:hint="eastAsia" w:ascii="宋体" w:hAnsi="宋体" w:cs="宋体"/>
                <w:color w:val="auto"/>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7DD5706E">
            <w:pPr>
              <w:widowControl/>
              <w:jc w:val="center"/>
              <w:rPr>
                <w:rFonts w:hint="eastAsia" w:ascii="宋体" w:hAnsi="宋体" w:cs="宋体"/>
                <w:color w:val="auto"/>
                <w:kern w:val="0"/>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231999B6">
            <w:pPr>
              <w:snapToGrid w:val="0"/>
              <w:spacing w:line="276" w:lineRule="auto"/>
              <w:ind w:left="42" w:leftChars="20" w:right="42" w:rightChars="20"/>
              <w:jc w:val="center"/>
              <w:rPr>
                <w:rFonts w:hint="eastAsia" w:ascii="宋体" w:hAnsi="宋体" w:cs="宋体"/>
                <w:color w:val="auto"/>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6D0DFC05">
            <w:pPr>
              <w:widowControl/>
              <w:jc w:val="center"/>
              <w:rPr>
                <w:rFonts w:hint="eastAsia" w:ascii="宋体" w:hAnsi="宋体" w:cs="宋体"/>
                <w:color w:val="auto"/>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7B4C8237">
            <w:pPr>
              <w:widowControl/>
              <w:jc w:val="center"/>
              <w:rPr>
                <w:rFonts w:hint="eastAsia" w:ascii="宋体" w:hAnsi="宋体" w:cs="宋体"/>
                <w:color w:val="auto"/>
                <w:kern w:val="0"/>
                <w:szCs w:val="21"/>
                <w:highlight w:val="none"/>
              </w:rPr>
            </w:pPr>
          </w:p>
        </w:tc>
      </w:tr>
      <w:tr w14:paraId="30C17504">
        <w:tblPrEx>
          <w:tblCellMar>
            <w:top w:w="0" w:type="dxa"/>
            <w:left w:w="108" w:type="dxa"/>
            <w:bottom w:w="0" w:type="dxa"/>
            <w:right w:w="108" w:type="dxa"/>
          </w:tblCellMar>
        </w:tblPrEx>
        <w:trPr>
          <w:trHeight w:val="33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A21DAD9">
            <w:pPr>
              <w:widowControl/>
              <w:numPr>
                <w:ilvl w:val="0"/>
                <w:numId w:val="2"/>
              </w:numPr>
              <w:jc w:val="center"/>
              <w:rPr>
                <w:rFonts w:hint="eastAsia" w:ascii="宋体" w:hAnsi="宋体" w:cs="宋体"/>
                <w:color w:val="auto"/>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0D3344F8">
            <w:pPr>
              <w:widowControl/>
              <w:jc w:val="center"/>
              <w:rPr>
                <w:rFonts w:hint="eastAsia" w:ascii="宋体" w:hAnsi="宋体" w:cs="宋体"/>
                <w:color w:val="auto"/>
                <w:kern w:val="0"/>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67C283E9">
            <w:pPr>
              <w:snapToGrid w:val="0"/>
              <w:spacing w:line="276" w:lineRule="auto"/>
              <w:ind w:left="42" w:leftChars="20" w:right="42" w:rightChars="20"/>
              <w:jc w:val="center"/>
              <w:rPr>
                <w:rFonts w:hint="eastAsia" w:ascii="宋体" w:hAnsi="宋体" w:cs="宋体"/>
                <w:color w:val="auto"/>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0A34747A">
            <w:pPr>
              <w:widowControl/>
              <w:jc w:val="center"/>
              <w:rPr>
                <w:rFonts w:hint="eastAsia" w:ascii="宋体" w:hAnsi="宋体" w:cs="宋体"/>
                <w:color w:val="auto"/>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6D3FA10D">
            <w:pPr>
              <w:widowControl/>
              <w:jc w:val="center"/>
              <w:rPr>
                <w:rFonts w:hint="eastAsia" w:ascii="宋体" w:hAnsi="宋体" w:cs="宋体"/>
                <w:color w:val="auto"/>
                <w:kern w:val="0"/>
                <w:szCs w:val="21"/>
                <w:highlight w:val="none"/>
              </w:rPr>
            </w:pPr>
          </w:p>
        </w:tc>
      </w:tr>
      <w:tr w14:paraId="7223164C">
        <w:tblPrEx>
          <w:tblCellMar>
            <w:top w:w="0" w:type="dxa"/>
            <w:left w:w="108" w:type="dxa"/>
            <w:bottom w:w="0" w:type="dxa"/>
            <w:right w:w="108" w:type="dxa"/>
          </w:tblCellMar>
        </w:tblPrEx>
        <w:trPr>
          <w:trHeight w:val="35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34E1D8B">
            <w:pPr>
              <w:widowControl/>
              <w:numPr>
                <w:ilvl w:val="0"/>
                <w:numId w:val="2"/>
              </w:numPr>
              <w:jc w:val="center"/>
              <w:rPr>
                <w:rFonts w:hint="eastAsia" w:ascii="宋体" w:hAnsi="宋体" w:cs="宋体"/>
                <w:color w:val="auto"/>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1B5A8F32">
            <w:pPr>
              <w:widowControl/>
              <w:jc w:val="center"/>
              <w:rPr>
                <w:rFonts w:hint="eastAsia" w:ascii="宋体" w:hAnsi="宋体" w:cs="宋体"/>
                <w:color w:val="auto"/>
                <w:kern w:val="0"/>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332D68E4">
            <w:pPr>
              <w:snapToGrid w:val="0"/>
              <w:spacing w:line="276" w:lineRule="auto"/>
              <w:ind w:left="42" w:leftChars="20" w:right="42" w:rightChars="20"/>
              <w:jc w:val="center"/>
              <w:rPr>
                <w:rFonts w:hint="eastAsia" w:ascii="宋体" w:hAnsi="宋体" w:cs="宋体"/>
                <w:color w:val="auto"/>
                <w:kern w:val="0"/>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45AFBC31">
            <w:pPr>
              <w:widowControl/>
              <w:jc w:val="center"/>
              <w:rPr>
                <w:rFonts w:hint="eastAsia" w:ascii="宋体" w:hAnsi="宋体" w:cs="宋体"/>
                <w:color w:val="auto"/>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63F2AE1D">
            <w:pPr>
              <w:widowControl/>
              <w:jc w:val="center"/>
              <w:rPr>
                <w:rFonts w:hint="eastAsia" w:ascii="宋体" w:hAnsi="宋体" w:cs="宋体"/>
                <w:color w:val="auto"/>
                <w:kern w:val="0"/>
                <w:szCs w:val="21"/>
                <w:highlight w:val="none"/>
              </w:rPr>
            </w:pPr>
          </w:p>
        </w:tc>
      </w:tr>
      <w:tr w14:paraId="559BFF41">
        <w:tblPrEx>
          <w:tblCellMar>
            <w:top w:w="0" w:type="dxa"/>
            <w:left w:w="108" w:type="dxa"/>
            <w:bottom w:w="0" w:type="dxa"/>
            <w:right w:w="108" w:type="dxa"/>
          </w:tblCellMar>
        </w:tblPrEx>
        <w:trPr>
          <w:trHeight w:val="371"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EEA468D">
            <w:pPr>
              <w:widowControl/>
              <w:numPr>
                <w:ilvl w:val="0"/>
                <w:numId w:val="2"/>
              </w:numPr>
              <w:jc w:val="center"/>
              <w:rPr>
                <w:rFonts w:hint="eastAsia" w:ascii="宋体" w:hAnsi="宋体" w:cs="宋体"/>
                <w:color w:val="auto"/>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29BE5F8D">
            <w:pPr>
              <w:widowControl/>
              <w:jc w:val="center"/>
              <w:rPr>
                <w:rFonts w:hint="eastAsia" w:ascii="宋体" w:hAnsi="宋体" w:cs="宋体"/>
                <w:color w:val="auto"/>
                <w:kern w:val="0"/>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19517B55">
            <w:pPr>
              <w:snapToGrid w:val="0"/>
              <w:spacing w:line="276" w:lineRule="auto"/>
              <w:ind w:left="42" w:leftChars="20" w:right="42" w:rightChars="20"/>
              <w:jc w:val="center"/>
              <w:rPr>
                <w:rFonts w:hint="eastAsia" w:ascii="宋体" w:hAnsi="宋体" w:cs="宋体"/>
                <w:color w:val="auto"/>
                <w:kern w:val="0"/>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400213D6">
            <w:pPr>
              <w:widowControl/>
              <w:jc w:val="center"/>
              <w:rPr>
                <w:rFonts w:hint="eastAsia" w:ascii="宋体" w:hAnsi="宋体" w:cs="宋体"/>
                <w:color w:val="auto"/>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157F6A25">
            <w:pPr>
              <w:widowControl/>
              <w:jc w:val="center"/>
              <w:rPr>
                <w:rFonts w:hint="eastAsia" w:ascii="宋体" w:hAnsi="宋体" w:cs="宋体"/>
                <w:color w:val="auto"/>
                <w:kern w:val="0"/>
                <w:szCs w:val="21"/>
                <w:highlight w:val="none"/>
              </w:rPr>
            </w:pPr>
          </w:p>
        </w:tc>
      </w:tr>
      <w:tr w14:paraId="45E591E2">
        <w:tblPrEx>
          <w:tblCellMar>
            <w:top w:w="0" w:type="dxa"/>
            <w:left w:w="108" w:type="dxa"/>
            <w:bottom w:w="0" w:type="dxa"/>
            <w:right w:w="108" w:type="dxa"/>
          </w:tblCellMar>
        </w:tblPrEx>
        <w:trPr>
          <w:trHeight w:val="34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C31FE98">
            <w:pPr>
              <w:widowControl/>
              <w:numPr>
                <w:ilvl w:val="0"/>
                <w:numId w:val="2"/>
              </w:numPr>
              <w:jc w:val="center"/>
              <w:rPr>
                <w:rFonts w:hint="eastAsia" w:ascii="宋体" w:hAnsi="宋体" w:cs="宋体"/>
                <w:color w:val="auto"/>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3FFABBED">
            <w:pPr>
              <w:widowControl/>
              <w:jc w:val="center"/>
              <w:rPr>
                <w:rFonts w:hint="eastAsia" w:ascii="宋体" w:hAnsi="宋体" w:cs="宋体"/>
                <w:color w:val="auto"/>
                <w:kern w:val="0"/>
                <w:szCs w:val="21"/>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7D89949A">
            <w:pPr>
              <w:snapToGrid w:val="0"/>
              <w:spacing w:line="276" w:lineRule="auto"/>
              <w:ind w:left="42" w:leftChars="20" w:right="42" w:rightChars="20"/>
              <w:jc w:val="center"/>
              <w:rPr>
                <w:rFonts w:hint="eastAsia" w:ascii="宋体" w:hAnsi="宋体" w:cs="宋体"/>
                <w:color w:val="auto"/>
                <w:kern w:val="0"/>
                <w:szCs w:val="21"/>
                <w:highlight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54FEBCC3">
            <w:pPr>
              <w:widowControl/>
              <w:jc w:val="center"/>
              <w:rPr>
                <w:rFonts w:hint="eastAsia" w:ascii="宋体" w:hAnsi="宋体" w:cs="宋体"/>
                <w:color w:val="auto"/>
                <w:kern w:val="0"/>
                <w:szCs w:val="21"/>
                <w:highlight w:val="none"/>
              </w:rPr>
            </w:pPr>
          </w:p>
        </w:tc>
        <w:tc>
          <w:tcPr>
            <w:tcW w:w="2709" w:type="dxa"/>
            <w:tcBorders>
              <w:top w:val="single" w:color="auto" w:sz="4" w:space="0"/>
              <w:left w:val="single" w:color="auto" w:sz="4" w:space="0"/>
              <w:bottom w:val="single" w:color="auto" w:sz="4" w:space="0"/>
              <w:right w:val="single" w:color="auto" w:sz="4" w:space="0"/>
            </w:tcBorders>
            <w:vAlign w:val="center"/>
          </w:tcPr>
          <w:p w14:paraId="6A6E1D89">
            <w:pPr>
              <w:widowControl/>
              <w:jc w:val="center"/>
              <w:rPr>
                <w:rFonts w:hint="eastAsia" w:ascii="宋体" w:hAnsi="宋体" w:cs="宋体"/>
                <w:color w:val="auto"/>
                <w:kern w:val="0"/>
                <w:szCs w:val="21"/>
                <w:highlight w:val="none"/>
              </w:rPr>
            </w:pPr>
          </w:p>
        </w:tc>
      </w:tr>
      <w:tr w14:paraId="311108BF">
        <w:tblPrEx>
          <w:tblCellMar>
            <w:top w:w="0" w:type="dxa"/>
            <w:left w:w="108" w:type="dxa"/>
            <w:bottom w:w="0" w:type="dxa"/>
            <w:right w:w="108" w:type="dxa"/>
          </w:tblCellMar>
        </w:tblPrEx>
        <w:trPr>
          <w:trHeight w:val="37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16A7F2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376" w:type="dxa"/>
            <w:tcBorders>
              <w:top w:val="single" w:color="auto" w:sz="4" w:space="0"/>
              <w:left w:val="single" w:color="auto" w:sz="4" w:space="0"/>
              <w:bottom w:val="single" w:color="auto" w:sz="4" w:space="0"/>
              <w:right w:val="single" w:color="auto" w:sz="4" w:space="0"/>
            </w:tcBorders>
            <w:vAlign w:val="center"/>
          </w:tcPr>
          <w:p w14:paraId="0EBC798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066" w:type="dxa"/>
            <w:tcBorders>
              <w:top w:val="single" w:color="auto" w:sz="4" w:space="0"/>
              <w:left w:val="single" w:color="auto" w:sz="4" w:space="0"/>
              <w:bottom w:val="single" w:color="auto" w:sz="4" w:space="0"/>
              <w:right w:val="single" w:color="auto" w:sz="4" w:space="0"/>
            </w:tcBorders>
            <w:vAlign w:val="center"/>
          </w:tcPr>
          <w:p w14:paraId="227DDBE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721" w:type="dxa"/>
            <w:tcBorders>
              <w:top w:val="single" w:color="auto" w:sz="4" w:space="0"/>
              <w:left w:val="single" w:color="auto" w:sz="4" w:space="0"/>
              <w:bottom w:val="single" w:color="auto" w:sz="4" w:space="0"/>
              <w:right w:val="single" w:color="auto" w:sz="4" w:space="0"/>
            </w:tcBorders>
            <w:vAlign w:val="center"/>
          </w:tcPr>
          <w:p w14:paraId="782B167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709" w:type="dxa"/>
            <w:tcBorders>
              <w:top w:val="single" w:color="auto" w:sz="4" w:space="0"/>
              <w:left w:val="single" w:color="auto" w:sz="4" w:space="0"/>
              <w:bottom w:val="single" w:color="auto" w:sz="4" w:space="0"/>
              <w:right w:val="single" w:color="auto" w:sz="4" w:space="0"/>
            </w:tcBorders>
            <w:vAlign w:val="center"/>
          </w:tcPr>
          <w:p w14:paraId="4DD6AAC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1A881F0C">
        <w:tblPrEx>
          <w:tblCellMar>
            <w:top w:w="0" w:type="dxa"/>
            <w:left w:w="108" w:type="dxa"/>
            <w:bottom w:w="0" w:type="dxa"/>
            <w:right w:w="108" w:type="dxa"/>
          </w:tblCellMar>
        </w:tblPrEx>
        <w:trPr>
          <w:trHeight w:val="4404" w:hRule="atLeast"/>
          <w:jc w:val="center"/>
        </w:trPr>
        <w:tc>
          <w:tcPr>
            <w:tcW w:w="8648" w:type="dxa"/>
            <w:gridSpan w:val="5"/>
            <w:tcBorders>
              <w:top w:val="single" w:color="auto" w:sz="4" w:space="0"/>
              <w:left w:val="single" w:color="auto" w:sz="4" w:space="0"/>
              <w:bottom w:val="single" w:color="auto" w:sz="4" w:space="0"/>
              <w:right w:val="single" w:color="auto" w:sz="4" w:space="0"/>
            </w:tcBorders>
            <w:vAlign w:val="center"/>
          </w:tcPr>
          <w:p w14:paraId="3894F20E">
            <w:pPr>
              <w:widowControl/>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备注：</w:t>
            </w:r>
          </w:p>
          <w:p w14:paraId="4600384C">
            <w:pPr>
              <w:widowControl/>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1、“岗位”要求（除项目负责人和专职安全员外）由招标人根据项目管理需要在本表备注中明确提出。以上项目管理团队人员信息将由交易系统提取后供各相关单位在履约时比对、查核。</w:t>
            </w:r>
          </w:p>
          <w:p w14:paraId="0AEE2801">
            <w:pPr>
              <w:widowControl/>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7AB0661F">
            <w:pPr>
              <w:widowControl/>
              <w:jc w:val="left"/>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w:t>
            </w:r>
            <w:r>
              <w:rPr>
                <w:rFonts w:hint="eastAsia" w:ascii="宋体" w:hAnsi="宋体" w:eastAsia="宋体" w:cs="宋体"/>
                <w:color w:val="auto"/>
                <w:sz w:val="20"/>
                <w:szCs w:val="20"/>
                <w:highlight w:val="none"/>
              </w:rPr>
              <w:t>相关证明材料为准。</w:t>
            </w:r>
          </w:p>
          <w:p w14:paraId="540BA39B">
            <w:pPr>
              <w:widowControl/>
              <w:jc w:val="left"/>
              <w:rPr>
                <w:rFonts w:hint="eastAsia" w:ascii="宋体" w:hAnsi="宋体" w:cs="宋体"/>
                <w:color w:val="auto"/>
                <w:sz w:val="21"/>
                <w:szCs w:val="21"/>
                <w:highlight w:val="none"/>
              </w:rPr>
            </w:pPr>
            <w:bookmarkStart w:id="0" w:name="_Toc19453"/>
            <w:r>
              <w:rPr>
                <w:rFonts w:hint="eastAsia" w:ascii="宋体" w:hAnsi="宋体" w:eastAsia="宋体" w:cs="宋体"/>
                <w:color w:val="auto"/>
                <w:sz w:val="20"/>
                <w:szCs w:val="20"/>
                <w:highlight w:val="none"/>
              </w:rPr>
              <w:t>4、本表中投标人提供的“技术负责人”需满足招标公告要求，其余人员不全或未满足招标文件要求的，中标后须按招标文件的要求补充完善并报发包人审批同意；涉及违约的，还需按合同约定承担相应的违约责任。</w:t>
            </w:r>
            <w:bookmarkEnd w:id="0"/>
          </w:p>
        </w:tc>
      </w:tr>
    </w:tbl>
    <w:p w14:paraId="4DAEA96F">
      <w:pPr>
        <w:rPr>
          <w:rFonts w:ascii="宋体" w:hAnsi="宋体"/>
          <w:color w:val="auto"/>
          <w:highlight w:val="none"/>
        </w:rPr>
      </w:pPr>
    </w:p>
    <w:p w14:paraId="42901DFA">
      <w:pPr>
        <w:spacing w:line="360" w:lineRule="auto"/>
        <w:rPr>
          <w:rFonts w:ascii="宋体" w:hAnsi="宋体" w:cs="宋体"/>
          <w:color w:val="auto"/>
          <w:sz w:val="24"/>
          <w:szCs w:val="24"/>
          <w:highlight w:val="none"/>
        </w:rPr>
      </w:pPr>
    </w:p>
    <w:p w14:paraId="1812FBF6">
      <w:pPr>
        <w:pStyle w:val="8"/>
        <w:spacing w:line="360" w:lineRule="auto"/>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85BB">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6</w:t>
    </w:r>
    <w:r>
      <w:fldChar w:fldCharType="end"/>
    </w:r>
  </w:p>
  <w:p w14:paraId="6AC93883">
    <w:pPr>
      <w:pStyle w:val="11"/>
      <w:spacing w:line="36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4B4E4">
    <w:pPr>
      <w:pStyle w:val="11"/>
      <w:framePr w:wrap="around" w:vAnchor="text" w:hAnchor="margin" w:xAlign="center" w:y="1"/>
      <w:rPr>
        <w:rStyle w:val="19"/>
      </w:rPr>
    </w:pPr>
    <w:r>
      <w:fldChar w:fldCharType="begin"/>
    </w:r>
    <w:r>
      <w:rPr>
        <w:rStyle w:val="19"/>
      </w:rPr>
      <w:instrText xml:space="preserve">PAGE  </w:instrText>
    </w:r>
    <w:r>
      <w:fldChar w:fldCharType="separate"/>
    </w:r>
    <w:r>
      <w:fldChar w:fldCharType="end"/>
    </w:r>
  </w:p>
  <w:p w14:paraId="64DF9DC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97037"/>
    <w:multiLevelType w:val="multilevel"/>
    <w:tmpl w:val="01A97037"/>
    <w:lvl w:ilvl="0" w:tentative="0">
      <w:start w:val="1"/>
      <w:numFmt w:val="decimal"/>
      <w:lvlText w:val="%1."/>
      <w:lvlJc w:val="left"/>
      <w:pPr>
        <w:ind w:left="42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98B7CEA"/>
    <w:multiLevelType w:val="singleLevel"/>
    <w:tmpl w:val="798B7CEA"/>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NTZkMWFkZWE2NjIzMDY3Zjc0YWI0M2NmMjYxOTUifQ=="/>
    <w:docVar w:name="KSO_WPS_MARK_KEY" w:val="0e661eda-c756-4a1e-81e8-1dcb1df6f3b3"/>
  </w:docVars>
  <w:rsids>
    <w:rsidRoot w:val="614617C1"/>
    <w:rsid w:val="0008436A"/>
    <w:rsid w:val="000979B4"/>
    <w:rsid w:val="00105D5D"/>
    <w:rsid w:val="001914B7"/>
    <w:rsid w:val="001D72AD"/>
    <w:rsid w:val="00204517"/>
    <w:rsid w:val="00243CFC"/>
    <w:rsid w:val="002A253D"/>
    <w:rsid w:val="00326E03"/>
    <w:rsid w:val="003626D4"/>
    <w:rsid w:val="00373584"/>
    <w:rsid w:val="00375A93"/>
    <w:rsid w:val="003914BB"/>
    <w:rsid w:val="003B1A01"/>
    <w:rsid w:val="00426501"/>
    <w:rsid w:val="00426D8A"/>
    <w:rsid w:val="004418BC"/>
    <w:rsid w:val="00446DC8"/>
    <w:rsid w:val="004C0029"/>
    <w:rsid w:val="004C1195"/>
    <w:rsid w:val="004E264F"/>
    <w:rsid w:val="00564142"/>
    <w:rsid w:val="00571FBB"/>
    <w:rsid w:val="00627744"/>
    <w:rsid w:val="0064424C"/>
    <w:rsid w:val="00662ED8"/>
    <w:rsid w:val="00687DA4"/>
    <w:rsid w:val="006A289C"/>
    <w:rsid w:val="006B44A7"/>
    <w:rsid w:val="006C4E9D"/>
    <w:rsid w:val="006F7185"/>
    <w:rsid w:val="00720F1C"/>
    <w:rsid w:val="00723C4B"/>
    <w:rsid w:val="007513B5"/>
    <w:rsid w:val="00774F5E"/>
    <w:rsid w:val="007A4F23"/>
    <w:rsid w:val="00810A74"/>
    <w:rsid w:val="00845D5D"/>
    <w:rsid w:val="00871BD1"/>
    <w:rsid w:val="00890EC4"/>
    <w:rsid w:val="008D5C84"/>
    <w:rsid w:val="0091529F"/>
    <w:rsid w:val="00944C8F"/>
    <w:rsid w:val="00951837"/>
    <w:rsid w:val="0097214D"/>
    <w:rsid w:val="009A264C"/>
    <w:rsid w:val="00A0468F"/>
    <w:rsid w:val="00A56B15"/>
    <w:rsid w:val="00AA515E"/>
    <w:rsid w:val="00AE4EAC"/>
    <w:rsid w:val="00B10141"/>
    <w:rsid w:val="00B12FFD"/>
    <w:rsid w:val="00B2021C"/>
    <w:rsid w:val="00B97C6C"/>
    <w:rsid w:val="00C048F9"/>
    <w:rsid w:val="00C141C3"/>
    <w:rsid w:val="00C31A92"/>
    <w:rsid w:val="00C63D82"/>
    <w:rsid w:val="00CB3F79"/>
    <w:rsid w:val="00CE0145"/>
    <w:rsid w:val="00D53611"/>
    <w:rsid w:val="00D755C2"/>
    <w:rsid w:val="00DB718E"/>
    <w:rsid w:val="00E106A9"/>
    <w:rsid w:val="00E163EA"/>
    <w:rsid w:val="00E417E0"/>
    <w:rsid w:val="00F163B9"/>
    <w:rsid w:val="00F20B97"/>
    <w:rsid w:val="00FD0CE3"/>
    <w:rsid w:val="01CA4BAF"/>
    <w:rsid w:val="01FE3A38"/>
    <w:rsid w:val="03577094"/>
    <w:rsid w:val="04A15406"/>
    <w:rsid w:val="05797EF0"/>
    <w:rsid w:val="06C947A0"/>
    <w:rsid w:val="06D956E9"/>
    <w:rsid w:val="07372DC8"/>
    <w:rsid w:val="088E5388"/>
    <w:rsid w:val="08A94889"/>
    <w:rsid w:val="0ACE7770"/>
    <w:rsid w:val="0AF25D2F"/>
    <w:rsid w:val="0D127408"/>
    <w:rsid w:val="0E671DFE"/>
    <w:rsid w:val="0EA2665A"/>
    <w:rsid w:val="10045D73"/>
    <w:rsid w:val="12F4200D"/>
    <w:rsid w:val="14E25E39"/>
    <w:rsid w:val="15175270"/>
    <w:rsid w:val="15F006FF"/>
    <w:rsid w:val="1606156C"/>
    <w:rsid w:val="177253D8"/>
    <w:rsid w:val="18CE7D56"/>
    <w:rsid w:val="1C36422E"/>
    <w:rsid w:val="1C63714D"/>
    <w:rsid w:val="1C663191"/>
    <w:rsid w:val="1CB72684"/>
    <w:rsid w:val="1E2B2A2E"/>
    <w:rsid w:val="1E4551C1"/>
    <w:rsid w:val="1ECF4104"/>
    <w:rsid w:val="1F234F3D"/>
    <w:rsid w:val="202B6799"/>
    <w:rsid w:val="20DD111C"/>
    <w:rsid w:val="2319693B"/>
    <w:rsid w:val="231D72ED"/>
    <w:rsid w:val="237815D0"/>
    <w:rsid w:val="237B0B11"/>
    <w:rsid w:val="24017E5B"/>
    <w:rsid w:val="24886D5A"/>
    <w:rsid w:val="2A2D630C"/>
    <w:rsid w:val="2A674CDD"/>
    <w:rsid w:val="2D8355C1"/>
    <w:rsid w:val="2EFF2A16"/>
    <w:rsid w:val="30AB49EB"/>
    <w:rsid w:val="31CC1988"/>
    <w:rsid w:val="31E11999"/>
    <w:rsid w:val="32CE3019"/>
    <w:rsid w:val="3331778D"/>
    <w:rsid w:val="33524DF9"/>
    <w:rsid w:val="33564EB3"/>
    <w:rsid w:val="33795EFA"/>
    <w:rsid w:val="34FC2693"/>
    <w:rsid w:val="35217A5E"/>
    <w:rsid w:val="35915A24"/>
    <w:rsid w:val="35C40D41"/>
    <w:rsid w:val="368708BE"/>
    <w:rsid w:val="377FDE4B"/>
    <w:rsid w:val="37F37238"/>
    <w:rsid w:val="38822B56"/>
    <w:rsid w:val="3A317203"/>
    <w:rsid w:val="3A9C399E"/>
    <w:rsid w:val="3B916D34"/>
    <w:rsid w:val="3BD86C58"/>
    <w:rsid w:val="3D9077EA"/>
    <w:rsid w:val="3DA71B32"/>
    <w:rsid w:val="3DF32424"/>
    <w:rsid w:val="3ED36B7D"/>
    <w:rsid w:val="3F8F587F"/>
    <w:rsid w:val="3FB424D4"/>
    <w:rsid w:val="40202CD2"/>
    <w:rsid w:val="41957094"/>
    <w:rsid w:val="41FA0B5F"/>
    <w:rsid w:val="4288553F"/>
    <w:rsid w:val="42896ACB"/>
    <w:rsid w:val="45D00D56"/>
    <w:rsid w:val="47AC50BD"/>
    <w:rsid w:val="48CD46B2"/>
    <w:rsid w:val="4AD2165A"/>
    <w:rsid w:val="4B546E6C"/>
    <w:rsid w:val="4B6D3432"/>
    <w:rsid w:val="4C2065CC"/>
    <w:rsid w:val="4C261319"/>
    <w:rsid w:val="4C41631E"/>
    <w:rsid w:val="4C8A5C1E"/>
    <w:rsid w:val="4D280422"/>
    <w:rsid w:val="4D365D25"/>
    <w:rsid w:val="4D451A68"/>
    <w:rsid w:val="4DB210B7"/>
    <w:rsid w:val="4F552BFD"/>
    <w:rsid w:val="50D11631"/>
    <w:rsid w:val="511E6F3F"/>
    <w:rsid w:val="52251E0C"/>
    <w:rsid w:val="52D379E9"/>
    <w:rsid w:val="553539DB"/>
    <w:rsid w:val="55BA485F"/>
    <w:rsid w:val="55BF480E"/>
    <w:rsid w:val="56383049"/>
    <w:rsid w:val="5679034C"/>
    <w:rsid w:val="56E01B30"/>
    <w:rsid w:val="58816720"/>
    <w:rsid w:val="5B462C1E"/>
    <w:rsid w:val="5C103A3D"/>
    <w:rsid w:val="5D177188"/>
    <w:rsid w:val="5DFF20DC"/>
    <w:rsid w:val="5E586547"/>
    <w:rsid w:val="5E712472"/>
    <w:rsid w:val="614617C1"/>
    <w:rsid w:val="625D388F"/>
    <w:rsid w:val="62F34CE0"/>
    <w:rsid w:val="64492766"/>
    <w:rsid w:val="67AC7BAF"/>
    <w:rsid w:val="691F1802"/>
    <w:rsid w:val="6AC14DAF"/>
    <w:rsid w:val="6AEC33EB"/>
    <w:rsid w:val="6BA6156F"/>
    <w:rsid w:val="6BDE2C52"/>
    <w:rsid w:val="6C417D7E"/>
    <w:rsid w:val="6C791C04"/>
    <w:rsid w:val="6D703470"/>
    <w:rsid w:val="6E5F5D4F"/>
    <w:rsid w:val="6E74466A"/>
    <w:rsid w:val="7112616B"/>
    <w:rsid w:val="71B734B4"/>
    <w:rsid w:val="722FF29A"/>
    <w:rsid w:val="72FC67AC"/>
    <w:rsid w:val="739D0383"/>
    <w:rsid w:val="75FF1BE4"/>
    <w:rsid w:val="76064DD0"/>
    <w:rsid w:val="79FF7910"/>
    <w:rsid w:val="7C7C61F6"/>
    <w:rsid w:val="7CAB05F7"/>
    <w:rsid w:val="7EAA3F5F"/>
    <w:rsid w:val="7ED58D6E"/>
    <w:rsid w:val="7F8D0E4E"/>
    <w:rsid w:val="7FDE02F1"/>
    <w:rsid w:val="FB37605B"/>
    <w:rsid w:val="FBBFA5CE"/>
    <w:rsid w:val="FCF7CFA1"/>
    <w:rsid w:val="FFBF0D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qFormat/>
    <w:uiPriority w:val="9"/>
    <w:pPr>
      <w:keepNext/>
      <w:keepLines/>
      <w:spacing w:line="416" w:lineRule="auto"/>
      <w:outlineLvl w:val="1"/>
    </w:pPr>
    <w:rPr>
      <w:rFonts w:ascii="Arial" w:hAnsi="Arial" w:eastAsia="黑体"/>
      <w:bCs/>
      <w:kern w:val="0"/>
      <w:sz w:val="24"/>
      <w:szCs w:val="32"/>
      <w:lang w:val="zh-CN"/>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99"/>
    <w:pPr>
      <w:ind w:firstLine="420"/>
    </w:pPr>
    <w:rPr>
      <w:kern w:val="0"/>
      <w:sz w:val="20"/>
      <w:szCs w:val="20"/>
    </w:rPr>
  </w:style>
  <w:style w:type="paragraph" w:styleId="5">
    <w:name w:val="annotation text"/>
    <w:basedOn w:val="1"/>
    <w:link w:val="21"/>
    <w:qFormat/>
    <w:uiPriority w:val="0"/>
    <w:pPr>
      <w:jc w:val="left"/>
    </w:pPr>
  </w:style>
  <w:style w:type="paragraph" w:styleId="6">
    <w:name w:val="Body Text"/>
    <w:basedOn w:val="1"/>
    <w:unhideWhenUsed/>
    <w:qFormat/>
    <w:uiPriority w:val="99"/>
    <w:pPr>
      <w:spacing w:after="120" w:afterLines="0"/>
    </w:pPr>
    <w:rPr>
      <w:rFonts w:ascii="Calibri" w:hAnsi="Calibri"/>
      <w:kern w:val="0"/>
      <w:sz w:val="20"/>
      <w:szCs w:val="20"/>
    </w:rPr>
  </w:style>
  <w:style w:type="paragraph" w:styleId="7">
    <w:name w:val="Body Text Indent"/>
    <w:basedOn w:val="1"/>
    <w:qFormat/>
    <w:uiPriority w:val="0"/>
    <w:pPr>
      <w:spacing w:after="120"/>
      <w:ind w:left="420" w:leftChars="200"/>
    </w:pPr>
  </w:style>
  <w:style w:type="paragraph" w:styleId="8">
    <w:name w:val="Plain Text"/>
    <w:basedOn w:val="1"/>
    <w:next w:val="1"/>
    <w:qFormat/>
    <w:uiPriority w:val="0"/>
    <w:rPr>
      <w:rFonts w:ascii="宋体" w:hAnsi="Courier New"/>
      <w:szCs w:val="20"/>
    </w:rPr>
  </w:style>
  <w:style w:type="paragraph" w:styleId="9">
    <w:name w:val="Body Text Indent 2"/>
    <w:basedOn w:val="1"/>
    <w:qFormat/>
    <w:uiPriority w:val="0"/>
    <w:pPr>
      <w:ind w:firstLine="640" w:firstLineChars="200"/>
    </w:pPr>
    <w:rPr>
      <w:rFonts w:ascii="宋体" w:hAnsi="宋体"/>
      <w:color w:val="000000"/>
      <w:sz w:val="32"/>
    </w:rPr>
  </w:style>
  <w:style w:type="paragraph" w:styleId="10">
    <w:name w:val="Balloon Text"/>
    <w:basedOn w:val="1"/>
    <w:link w:val="22"/>
    <w:qFormat/>
    <w:uiPriority w:val="0"/>
    <w:rPr>
      <w:sz w:val="18"/>
      <w:szCs w:val="18"/>
    </w:rPr>
  </w:style>
  <w:style w:type="paragraph" w:styleId="11">
    <w:name w:val="footer"/>
    <w:basedOn w:val="1"/>
    <w:unhideWhenUsed/>
    <w:qFormat/>
    <w:uiPriority w:val="0"/>
    <w:pPr>
      <w:tabs>
        <w:tab w:val="center" w:pos="4153"/>
        <w:tab w:val="right" w:pos="8306"/>
      </w:tabs>
      <w:snapToGrid w:val="0"/>
      <w:jc w:val="left"/>
    </w:pPr>
    <w:rPr>
      <w:kern w:val="0"/>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beforeLines="0" w:after="120" w:afterLines="0"/>
      <w:jc w:val="left"/>
    </w:pPr>
    <w:rPr>
      <w:rFonts w:ascii="Calibri" w:hAnsi="Calibri"/>
      <w:b/>
      <w:bCs/>
      <w:caps/>
      <w:sz w:val="20"/>
      <w:szCs w:val="20"/>
    </w:rPr>
  </w:style>
  <w:style w:type="paragraph" w:styleId="14">
    <w:name w:val="Body Text 2"/>
    <w:basedOn w:val="1"/>
    <w:qFormat/>
    <w:uiPriority w:val="0"/>
    <w:rPr>
      <w:rFonts w:ascii="宋体" w:hAnsi="宋体"/>
      <w:kern w:val="0"/>
      <w:sz w:val="20"/>
      <w:szCs w:val="24"/>
      <w:u w:val="single"/>
    </w:rPr>
  </w:style>
  <w:style w:type="paragraph" w:styleId="15">
    <w:name w:val="annotation subject"/>
    <w:basedOn w:val="5"/>
    <w:next w:val="5"/>
    <w:link w:val="24"/>
    <w:qFormat/>
    <w:uiPriority w:val="0"/>
    <w:rPr>
      <w:b/>
      <w:bCs/>
    </w:rPr>
  </w:style>
  <w:style w:type="paragraph" w:styleId="16">
    <w:name w:val="Body Text First Indent 2"/>
    <w:basedOn w:val="7"/>
    <w:qFormat/>
    <w:uiPriority w:val="0"/>
    <w:pPr>
      <w:ind w:firstLine="420" w:firstLineChars="200"/>
    </w:pPr>
  </w:style>
  <w:style w:type="character" w:styleId="19">
    <w:name w:val="page number"/>
    <w:qFormat/>
    <w:uiPriority w:val="0"/>
    <w:rPr>
      <w:rFonts w:cs="Times New Roman"/>
    </w:rPr>
  </w:style>
  <w:style w:type="character" w:styleId="20">
    <w:name w:val="annotation reference"/>
    <w:qFormat/>
    <w:uiPriority w:val="0"/>
    <w:rPr>
      <w:sz w:val="21"/>
      <w:szCs w:val="21"/>
    </w:rPr>
  </w:style>
  <w:style w:type="character" w:customStyle="1" w:styleId="21">
    <w:name w:val="批注文字 字符"/>
    <w:link w:val="5"/>
    <w:qFormat/>
    <w:uiPriority w:val="0"/>
    <w:rPr>
      <w:kern w:val="2"/>
      <w:sz w:val="21"/>
      <w:szCs w:val="22"/>
    </w:rPr>
  </w:style>
  <w:style w:type="character" w:customStyle="1" w:styleId="22">
    <w:name w:val="批注框文本 字符"/>
    <w:link w:val="10"/>
    <w:qFormat/>
    <w:uiPriority w:val="0"/>
    <w:rPr>
      <w:kern w:val="2"/>
      <w:sz w:val="18"/>
      <w:szCs w:val="18"/>
    </w:rPr>
  </w:style>
  <w:style w:type="character" w:customStyle="1" w:styleId="23">
    <w:name w:val="页眉 字符"/>
    <w:link w:val="12"/>
    <w:qFormat/>
    <w:uiPriority w:val="0"/>
    <w:rPr>
      <w:kern w:val="2"/>
      <w:sz w:val="18"/>
      <w:szCs w:val="18"/>
    </w:rPr>
  </w:style>
  <w:style w:type="character" w:customStyle="1" w:styleId="24">
    <w:name w:val="批注主题 字符"/>
    <w:link w:val="15"/>
    <w:qFormat/>
    <w:uiPriority w:val="0"/>
    <w:rPr>
      <w:b/>
      <w:bCs/>
      <w:kern w:val="2"/>
      <w:sz w:val="21"/>
      <w:szCs w:val="22"/>
    </w:rPr>
  </w:style>
  <w:style w:type="paragraph" w:customStyle="1" w:styleId="25">
    <w:name w:val="_Style 23"/>
    <w:unhideWhenUsed/>
    <w:qFormat/>
    <w:uiPriority w:val="99"/>
    <w:rPr>
      <w:rFonts w:ascii="Times New Roman" w:hAnsi="Times New Roman" w:eastAsia="宋体" w:cs="Times New Roman"/>
      <w:kern w:val="2"/>
      <w:sz w:val="21"/>
      <w:szCs w:val="22"/>
      <w:lang w:val="en-US" w:eastAsia="zh-CN" w:bidi="ar-SA"/>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7">
    <w:name w:val="发文落款"/>
    <w:basedOn w:val="26"/>
    <w:qFormat/>
    <w:uiPriority w:val="0"/>
    <w:pPr>
      <w:ind w:left="4094" w:right="607" w:firstLine="0"/>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8414</Words>
  <Characters>9082</Characters>
  <Lines>71</Lines>
  <Paragraphs>20</Paragraphs>
  <TotalTime>0</TotalTime>
  <ScaleCrop>false</ScaleCrop>
  <LinksUpToDate>false</LinksUpToDate>
  <CharactersWithSpaces>9340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2025-01-22T04:06:00Z</dcterms:created>
  <dc:creator>G</dc:creator>
  <cp:lastModifiedBy>YIP</cp:lastModifiedBy>
  <cp:lastPrinted>2024-09-30T08:16:00Z</cp:lastPrinted>
  <dcterms:modified xsi:type="dcterms:W3CDTF">2025-08-01T03:08:44Z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8904DCA975E94B9781513731E7048A21_13</vt:lpwstr>
  </property>
  <property fmtid="{D5CDD505-2E9C-101B-9397-08002B2CF9AE}" pid="4" name="KSOTemplateDocerSaveRecord">
    <vt:lpwstr>eyJoZGlkIjoiMzRkMzdiYWI4M2NlMzI0NzhkM2U4MDNkYTJiYTgwYjgiLCJ1c2VySWQiOiIzMjU5MTMwODYifQ==</vt:lpwstr>
  </property>
</Properties>
</file>